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报价文件编制要求</w:t>
      </w:r>
    </w:p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报价单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经</w:t>
            </w:r>
            <w:r>
              <w:rPr>
                <w:rFonts w:hint="eastAsia"/>
                <w:b w:val="0"/>
                <w:bCs w:val="0"/>
                <w:sz w:val="28"/>
                <w:szCs w:val="32"/>
                <w:lang w:val="en-US" w:eastAsia="zh-CN"/>
              </w:rPr>
              <w:t>工商注册审批的有效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房屋租赁经营业务年限证明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如有以下相关证书，需提供：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1.环境管理体系认证证书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2.质量管理体系认证证书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3.职业健康安全管理体系认证证书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4.企业诚信管理体系认证证书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5.园林绿化服务企业资质证书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自有物业管理服务证明文件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《维修服务承诺书》（加盖公章）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（日常问题2小时内响应，紧急问</w:t>
            </w:r>
            <w:bookmarkStart w:id="0" w:name="_GoBack"/>
            <w:bookmarkEnd w:id="0"/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题30分钟内到场）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sz w:val="28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56C50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636E96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DE319C3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10B2F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5E3A60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AA7097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蒋玲</cp:lastModifiedBy>
  <dcterms:modified xsi:type="dcterms:W3CDTF">2025-09-25T08:58:46Z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68286308BB9840DAB298EDFBBB302010</vt:lpwstr>
  </property>
</Properties>
</file>