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方正小标宋_GBK" w:hAnsi="方正小标宋_GBK" w:eastAsia="方正小标宋_GBK" w:cs="方正小标宋_GBK"/>
          <w:b w:val="0"/>
          <w:bCs w:val="0"/>
          <w:sz w:val="40"/>
          <w:szCs w:val="40"/>
          <w:lang w:val="en-US" w:eastAsia="zh-CN"/>
        </w:rPr>
      </w:pPr>
      <w:r>
        <w:rPr>
          <w:rFonts w:hint="eastAsia" w:ascii="方正小标宋_GBK" w:hAnsi="方正小标宋_GBK" w:eastAsia="方正小标宋_GBK" w:cs="方正小标宋_GBK"/>
          <w:b w:val="0"/>
          <w:bCs w:val="0"/>
          <w:sz w:val="40"/>
          <w:szCs w:val="40"/>
          <w:lang w:val="en-US" w:eastAsia="zh-CN"/>
        </w:rPr>
        <w:t>西部修试公司2026年-2027年电梯维保</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方正小标宋_GBK" w:hAnsi="方正小标宋_GBK" w:eastAsia="方正小标宋_GBK" w:cs="方正小标宋_GBK"/>
          <w:b w:val="0"/>
          <w:bCs w:val="0"/>
          <w:sz w:val="40"/>
          <w:szCs w:val="40"/>
          <w:lang w:val="en-US" w:eastAsia="zh-CN"/>
        </w:rPr>
      </w:pPr>
      <w:r>
        <w:rPr>
          <w:rFonts w:hint="eastAsia" w:ascii="方正小标宋_GBK" w:hAnsi="方正小标宋_GBK" w:eastAsia="方正小标宋_GBK" w:cs="方正小标宋_GBK"/>
          <w:b w:val="0"/>
          <w:bCs w:val="0"/>
          <w:sz w:val="40"/>
          <w:szCs w:val="40"/>
          <w:lang w:val="en-US" w:eastAsia="zh-CN"/>
        </w:rPr>
        <w:t>技术规范书</w:t>
      </w:r>
    </w:p>
    <w:p>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0" w:firstLineChars="0"/>
        <w:jc w:val="both"/>
        <w:textAlignment w:val="auto"/>
        <w:outlineLvl w:val="9"/>
        <w:rPr>
          <w:rFonts w:hint="eastAsia" w:ascii="黑体" w:hAnsi="黑体" w:eastAsia="黑体" w:cs="黑体"/>
          <w:b w:val="0"/>
          <w:bCs w:val="0"/>
          <w:sz w:val="32"/>
          <w:szCs w:val="32"/>
          <w:lang w:val="en-US" w:eastAsia="zh-CN"/>
        </w:rPr>
      </w:pPr>
    </w:p>
    <w:p>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_GB2312" w:hAnsi="仿宋_GB2312" w:eastAsia="仿宋_GB2312" w:cs="仿宋_GB2312"/>
          <w:b w:val="0"/>
          <w:bCs w:val="0"/>
          <w:sz w:val="32"/>
          <w:szCs w:val="32"/>
          <w:lang w:val="en-US" w:eastAsia="zh-CN"/>
        </w:rPr>
      </w:pPr>
      <w:bookmarkStart w:id="0" w:name="OLE_LINK1"/>
      <w:r>
        <w:rPr>
          <w:rFonts w:hint="eastAsia" w:ascii="黑体" w:hAnsi="黑体" w:eastAsia="黑体" w:cs="黑体"/>
          <w:b w:val="0"/>
          <w:bCs w:val="0"/>
          <w:sz w:val="32"/>
          <w:szCs w:val="32"/>
          <w:lang w:val="en-US" w:eastAsia="zh-CN"/>
        </w:rPr>
        <w:t>一、项目概况</w:t>
      </w:r>
    </w:p>
    <w:p>
      <w:pPr>
        <w:spacing w:line="560" w:lineRule="exact"/>
        <w:ind w:firstLine="640"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w:t>
      </w:r>
      <w:r>
        <w:rPr>
          <w:rFonts w:hint="eastAsia" w:ascii="仿宋_GB2312" w:hAnsi="仿宋_GB2312" w:eastAsia="仿宋_GB2312" w:cs="仿宋_GB2312"/>
          <w:kern w:val="2"/>
          <w:sz w:val="32"/>
          <w:szCs w:val="32"/>
          <w:lang w:val="en-US" w:eastAsia="zh-CN" w:bidi="ar-SA"/>
        </w:rPr>
        <w:t>项目简介</w:t>
      </w:r>
    </w:p>
    <w:bookmarkEnd w:id="0"/>
    <w:p>
      <w:pPr>
        <w:pStyle w:val="6"/>
        <w:spacing w:line="560" w:lineRule="exact"/>
        <w:ind w:left="0" w:leftChars="0" w:firstLine="640" w:firstLineChars="200"/>
        <w:jc w:val="both"/>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本项目采购范围是兴义水电生产运维中心及辅助用房在运电梯2026-2027年日常维护与消缺、半月保、月度保养、季度保养、半年保养和年度保养、电梯年检工作，维保设备情况详见招标附件1：西部修试公司电梯维保清单。</w:t>
      </w:r>
      <w:r>
        <w:rPr>
          <w:rFonts w:hint="eastAsia" w:ascii="仿宋_GB2312" w:hAnsi="仿宋_GB2312" w:eastAsia="仿宋_GB2312" w:cs="仿宋_GB2312"/>
          <w:kern w:val="2"/>
          <w:sz w:val="32"/>
          <w:szCs w:val="32"/>
          <w:lang w:val="en-US" w:eastAsia="zh-CN" w:bidi="ar-SA"/>
        </w:rPr>
        <w:t>根据《中华人民共和国特种设备安全法》《特种设备安全监察条例》《电梯使用管理与维护保养</w:t>
      </w:r>
      <w:bookmarkStart w:id="4" w:name="_GoBack"/>
      <w:bookmarkEnd w:id="4"/>
      <w:r>
        <w:rPr>
          <w:rFonts w:hint="eastAsia" w:ascii="仿宋_GB2312" w:hAnsi="仿宋_GB2312" w:eastAsia="仿宋_GB2312" w:cs="仿宋_GB2312"/>
          <w:kern w:val="2"/>
          <w:sz w:val="32"/>
          <w:szCs w:val="32"/>
          <w:lang w:val="en-US" w:eastAsia="zh-CN" w:bidi="ar-SA"/>
        </w:rPr>
        <w:t>规则》等相关规定，需对电梯进行经常性日常维护、定期检验、故障处理、应急响应等工作，确保电梯安全运行。</w:t>
      </w:r>
    </w:p>
    <w:p>
      <w:pPr>
        <w:spacing w:line="560" w:lineRule="exact"/>
        <w:ind w:firstLine="640"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2.项目地点</w:t>
      </w:r>
    </w:p>
    <w:p>
      <w:pPr>
        <w:spacing w:line="560" w:lineRule="exact"/>
        <w:ind w:firstLine="640" w:firstLineChars="200"/>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本项目位于</w:t>
      </w:r>
      <w:r>
        <w:rPr>
          <w:rFonts w:hint="eastAsia" w:ascii="仿宋_GB2312" w:hAnsi="仿宋_GB2312" w:eastAsia="仿宋_GB2312" w:cs="仿宋_GB2312"/>
          <w:kern w:val="2"/>
          <w:sz w:val="32"/>
          <w:szCs w:val="32"/>
          <w:lang w:val="en-US" w:eastAsia="zh-CN" w:bidi="ar-SA"/>
        </w:rPr>
        <w:t>贵州省兴义市桔山大道瑞金南路</w:t>
      </w:r>
      <w:bookmarkStart w:id="1" w:name="OLE_LINK2"/>
      <w:r>
        <w:rPr>
          <w:rFonts w:hint="eastAsia" w:ascii="仿宋_GB2312" w:hAnsi="仿宋_GB2312" w:eastAsia="仿宋_GB2312" w:cs="仿宋_GB2312"/>
          <w:kern w:val="2"/>
          <w:sz w:val="32"/>
          <w:szCs w:val="32"/>
          <w:lang w:val="en-US" w:eastAsia="zh-CN" w:bidi="ar-SA"/>
        </w:rPr>
        <w:t>水电生产运维中心</w:t>
      </w:r>
      <w:bookmarkEnd w:id="1"/>
      <w:r>
        <w:rPr>
          <w:rFonts w:hint="eastAsia" w:ascii="仿宋_GB2312" w:hAnsi="仿宋_GB2312" w:eastAsia="仿宋_GB2312" w:cs="仿宋_GB2312"/>
          <w:kern w:val="2"/>
          <w:sz w:val="32"/>
          <w:szCs w:val="32"/>
          <w:lang w:val="en-US" w:eastAsia="zh-CN" w:bidi="ar-SA"/>
        </w:rPr>
        <w:t>、桔山街道桔丰路水电生产辅助用房</w:t>
      </w:r>
      <w:r>
        <w:rPr>
          <w:rFonts w:hint="eastAsia" w:ascii="仿宋_GB2312" w:hAnsi="仿宋_GB2312" w:eastAsia="仿宋_GB2312" w:cs="仿宋_GB2312"/>
          <w:kern w:val="2"/>
          <w:sz w:val="32"/>
          <w:szCs w:val="32"/>
          <w:lang w:val="en-US" w:eastAsia="zh-CN" w:bidi="ar-SA"/>
        </w:rPr>
        <w:t>。</w:t>
      </w:r>
    </w:p>
    <w:p>
      <w:pPr>
        <w:spacing w:line="560" w:lineRule="exact"/>
        <w:ind w:firstLine="640" w:firstLineChars="200"/>
        <w:jc w:val="both"/>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二、维护保养方案要求</w:t>
      </w:r>
    </w:p>
    <w:p>
      <w:pPr>
        <w:pStyle w:val="6"/>
        <w:spacing w:line="560" w:lineRule="exact"/>
        <w:ind w:left="0" w:leftChars="0" w:firstLine="640" w:firstLineChars="200"/>
        <w:jc w:val="both"/>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w:t>
      </w:r>
      <w:r>
        <w:rPr>
          <w:rFonts w:hint="eastAsia" w:ascii="仿宋_GB2312" w:hAnsi="仿宋_GB2312" w:eastAsia="仿宋_GB2312" w:cs="仿宋_GB2312"/>
          <w:kern w:val="2"/>
          <w:sz w:val="32"/>
          <w:szCs w:val="32"/>
          <w:lang w:val="en-US" w:eastAsia="zh-CN" w:bidi="ar-SA"/>
        </w:rPr>
        <w:t>中标人须根据</w:t>
      </w:r>
      <w:r>
        <w:rPr>
          <w:rFonts w:hint="eastAsia" w:ascii="仿宋_GB2312" w:hAnsi="仿宋_GB2312" w:eastAsia="仿宋_GB2312" w:cs="仿宋_GB2312"/>
          <w:kern w:val="2"/>
          <w:sz w:val="32"/>
          <w:szCs w:val="32"/>
          <w:lang w:val="en-US" w:eastAsia="zh-CN" w:bidi="ar-SA"/>
        </w:rPr>
        <w:t>最新</w:t>
      </w:r>
      <w:r>
        <w:rPr>
          <w:rFonts w:hint="eastAsia" w:ascii="仿宋_GB2312" w:hAnsi="仿宋_GB2312" w:eastAsia="仿宋_GB2312" w:cs="仿宋_GB2312"/>
          <w:kern w:val="2"/>
          <w:sz w:val="32"/>
          <w:szCs w:val="32"/>
          <w:lang w:val="en-US" w:eastAsia="zh-CN" w:bidi="ar-SA"/>
        </w:rPr>
        <w:t>《特种设备安全法》《电梯使用管理与维护保养规则》《电梯维修规范》以及项目所在地</w:t>
      </w:r>
      <w:r>
        <w:rPr>
          <w:rFonts w:hint="eastAsia" w:ascii="仿宋_GB2312" w:hAnsi="仿宋_GB2312" w:eastAsia="仿宋_GB2312" w:cs="仿宋_GB2312"/>
          <w:kern w:val="2"/>
          <w:sz w:val="32"/>
          <w:szCs w:val="32"/>
          <w:lang w:val="en-US" w:eastAsia="zh-CN" w:bidi="ar-SA"/>
        </w:rPr>
        <w:t>、所在单位</w:t>
      </w:r>
      <w:r>
        <w:rPr>
          <w:rFonts w:hint="eastAsia" w:ascii="仿宋_GB2312" w:hAnsi="仿宋_GB2312" w:eastAsia="仿宋_GB2312" w:cs="仿宋_GB2312"/>
          <w:kern w:val="2"/>
          <w:sz w:val="32"/>
          <w:szCs w:val="32"/>
          <w:lang w:val="en-US" w:eastAsia="zh-CN" w:bidi="ar-SA"/>
        </w:rPr>
        <w:t>有关电梯的</w:t>
      </w:r>
      <w:r>
        <w:rPr>
          <w:rFonts w:hint="eastAsia" w:ascii="仿宋_GB2312" w:hAnsi="仿宋_GB2312" w:eastAsia="仿宋_GB2312" w:cs="仿宋_GB2312"/>
          <w:kern w:val="2"/>
          <w:sz w:val="32"/>
          <w:szCs w:val="32"/>
          <w:lang w:val="en-US" w:eastAsia="zh-CN" w:bidi="ar-SA"/>
        </w:rPr>
        <w:t>各项法律法规、标准规范、制度要求</w:t>
      </w:r>
      <w:r>
        <w:rPr>
          <w:rFonts w:hint="eastAsia" w:ascii="仿宋_GB2312" w:hAnsi="仿宋_GB2312" w:eastAsia="仿宋_GB2312" w:cs="仿宋_GB2312"/>
          <w:kern w:val="2"/>
          <w:sz w:val="32"/>
          <w:szCs w:val="32"/>
          <w:lang w:val="en-US" w:eastAsia="zh-CN" w:bidi="ar-SA"/>
        </w:rPr>
        <w:t>，对项目采购范围内</w:t>
      </w:r>
      <w:r>
        <w:rPr>
          <w:rFonts w:hint="eastAsia" w:ascii="仿宋_GB2312" w:hAnsi="仿宋_GB2312" w:eastAsia="仿宋_GB2312" w:cs="仿宋_GB2312"/>
          <w:kern w:val="2"/>
          <w:sz w:val="32"/>
          <w:szCs w:val="32"/>
          <w:lang w:val="en-US" w:eastAsia="zh-CN" w:bidi="ar-SA"/>
        </w:rPr>
        <w:t>的</w:t>
      </w:r>
      <w:r>
        <w:rPr>
          <w:rFonts w:hint="eastAsia" w:ascii="仿宋_GB2312" w:hAnsi="仿宋_GB2312" w:eastAsia="仿宋_GB2312" w:cs="仿宋_GB2312"/>
          <w:kern w:val="2"/>
          <w:sz w:val="32"/>
          <w:szCs w:val="32"/>
          <w:lang w:val="en-US" w:eastAsia="zh-CN" w:bidi="ar-SA"/>
        </w:rPr>
        <w:t>电梯进行</w:t>
      </w:r>
      <w:r>
        <w:rPr>
          <w:rFonts w:hint="eastAsia" w:ascii="仿宋_GB2312" w:hAnsi="仿宋_GB2312" w:eastAsia="仿宋_GB2312" w:cs="仿宋_GB2312"/>
          <w:kern w:val="2"/>
          <w:sz w:val="32"/>
          <w:szCs w:val="32"/>
          <w:lang w:val="en-US" w:eastAsia="zh-CN" w:bidi="ar-SA"/>
        </w:rPr>
        <w:t>规范、统一</w:t>
      </w:r>
      <w:r>
        <w:rPr>
          <w:rFonts w:hint="eastAsia" w:ascii="仿宋_GB2312" w:hAnsi="仿宋_GB2312" w:eastAsia="仿宋_GB2312" w:cs="仿宋_GB2312"/>
          <w:kern w:val="2"/>
          <w:sz w:val="32"/>
          <w:szCs w:val="32"/>
          <w:lang w:val="en-US" w:eastAsia="zh-CN" w:bidi="ar-SA"/>
        </w:rPr>
        <w:t>维护保养，并做好记录</w:t>
      </w:r>
      <w:r>
        <w:rPr>
          <w:rFonts w:hint="eastAsia" w:ascii="仿宋_GB2312" w:hAnsi="仿宋_GB2312" w:eastAsia="仿宋_GB2312" w:cs="仿宋_GB2312"/>
          <w:kern w:val="2"/>
          <w:sz w:val="32"/>
          <w:szCs w:val="32"/>
          <w:lang w:val="en-US" w:eastAsia="zh-CN" w:bidi="ar-SA"/>
        </w:rPr>
        <w:t>。</w:t>
      </w:r>
      <w:r>
        <w:rPr>
          <w:rFonts w:hint="eastAsia" w:ascii="仿宋_GB2312" w:hAnsi="仿宋_GB2312" w:eastAsia="仿宋_GB2312" w:cs="仿宋_GB2312"/>
          <w:kern w:val="2"/>
          <w:sz w:val="32"/>
          <w:szCs w:val="32"/>
          <w:lang w:val="en-US" w:eastAsia="zh-CN" w:bidi="ar-SA"/>
        </w:rPr>
        <w:t>同时</w:t>
      </w:r>
      <w:r>
        <w:rPr>
          <w:rFonts w:hint="eastAsia" w:ascii="仿宋_GB2312" w:hAnsi="仿宋_GB2312" w:eastAsia="仿宋_GB2312" w:cs="仿宋_GB2312"/>
          <w:kern w:val="2"/>
          <w:sz w:val="32"/>
          <w:szCs w:val="32"/>
          <w:lang w:val="en-US" w:eastAsia="zh-CN" w:bidi="ar-SA"/>
        </w:rPr>
        <w:t>，</w:t>
      </w:r>
      <w:r>
        <w:rPr>
          <w:rFonts w:hint="eastAsia" w:ascii="仿宋_GB2312" w:hAnsi="仿宋_GB2312" w:eastAsia="仿宋_GB2312" w:cs="仿宋_GB2312"/>
          <w:kern w:val="2"/>
          <w:sz w:val="32"/>
          <w:szCs w:val="32"/>
          <w:lang w:val="en-US" w:eastAsia="zh-CN" w:bidi="ar-SA"/>
        </w:rPr>
        <w:t>对电梯维护保养和日常运行中发现的异常问题</w:t>
      </w:r>
      <w:r>
        <w:rPr>
          <w:rFonts w:hint="eastAsia" w:ascii="仿宋_GB2312" w:hAnsi="仿宋_GB2312" w:eastAsia="仿宋_GB2312" w:cs="仿宋_GB2312"/>
          <w:kern w:val="2"/>
          <w:sz w:val="32"/>
          <w:szCs w:val="32"/>
          <w:lang w:val="en-US" w:eastAsia="zh-CN" w:bidi="ar-SA"/>
        </w:rPr>
        <w:t>应立即向甲方报告，并</w:t>
      </w:r>
      <w:r>
        <w:rPr>
          <w:rFonts w:hint="eastAsia" w:ascii="仿宋_GB2312" w:hAnsi="仿宋_GB2312" w:eastAsia="仿宋_GB2312" w:cs="仿宋_GB2312"/>
          <w:kern w:val="2"/>
          <w:sz w:val="32"/>
          <w:szCs w:val="32"/>
          <w:lang w:val="en-US" w:eastAsia="zh-CN" w:bidi="ar-SA"/>
        </w:rPr>
        <w:t>及时</w:t>
      </w:r>
      <w:r>
        <w:rPr>
          <w:rFonts w:hint="eastAsia" w:ascii="仿宋_GB2312" w:hAnsi="仿宋_GB2312" w:eastAsia="仿宋_GB2312" w:cs="仿宋_GB2312"/>
          <w:kern w:val="2"/>
          <w:sz w:val="32"/>
          <w:szCs w:val="32"/>
          <w:lang w:val="en-US" w:eastAsia="zh-CN" w:bidi="ar-SA"/>
        </w:rPr>
        <w:t>进行</w:t>
      </w:r>
      <w:r>
        <w:rPr>
          <w:rFonts w:hint="eastAsia" w:ascii="仿宋_GB2312" w:hAnsi="仿宋_GB2312" w:eastAsia="仿宋_GB2312" w:cs="仿宋_GB2312"/>
          <w:kern w:val="2"/>
          <w:sz w:val="32"/>
          <w:szCs w:val="32"/>
          <w:lang w:val="en-US" w:eastAsia="zh-CN" w:bidi="ar-SA"/>
        </w:rPr>
        <w:t>处理，以确保电梯的安全稳定</w:t>
      </w:r>
      <w:r>
        <w:rPr>
          <w:rFonts w:hint="eastAsia" w:ascii="仿宋_GB2312" w:hAnsi="仿宋_GB2312" w:eastAsia="仿宋_GB2312" w:cs="仿宋_GB2312"/>
          <w:kern w:val="2"/>
          <w:sz w:val="32"/>
          <w:szCs w:val="32"/>
          <w:lang w:val="en-US" w:eastAsia="zh-CN" w:bidi="ar-SA"/>
        </w:rPr>
        <w:t>可靠</w:t>
      </w:r>
      <w:r>
        <w:rPr>
          <w:rFonts w:hint="eastAsia" w:ascii="仿宋_GB2312" w:hAnsi="仿宋_GB2312" w:eastAsia="仿宋_GB2312" w:cs="仿宋_GB2312"/>
          <w:kern w:val="2"/>
          <w:sz w:val="32"/>
          <w:szCs w:val="32"/>
          <w:lang w:val="en-US" w:eastAsia="zh-CN" w:bidi="ar-SA"/>
        </w:rPr>
        <w:t>运行。</w:t>
      </w:r>
    </w:p>
    <w:p>
      <w:pPr>
        <w:pStyle w:val="6"/>
        <w:spacing w:line="560" w:lineRule="exact"/>
        <w:ind w:left="0" w:leftChars="0" w:firstLine="640" w:firstLineChars="200"/>
        <w:jc w:val="both"/>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w:t>
      </w:r>
      <w:r>
        <w:rPr>
          <w:rFonts w:hint="eastAsia" w:ascii="仿宋_GB2312" w:hAnsi="仿宋_GB2312" w:eastAsia="仿宋_GB2312" w:cs="仿宋_GB2312"/>
          <w:sz w:val="32"/>
          <w:szCs w:val="32"/>
        </w:rPr>
        <w:t>电梯维护保养、故障处理、应急响应、年检等工作由中标人全包，即电梯日常维护保养及故障处理等过程中所有电梯部件、耗材采购及修理均由中标人负责，按照合同条款确定结算费用。</w:t>
      </w:r>
    </w:p>
    <w:p>
      <w:pPr>
        <w:pStyle w:val="6"/>
        <w:spacing w:line="560" w:lineRule="exact"/>
        <w:ind w:left="0" w:leftChars="0" w:firstLine="640" w:firstLineChars="200"/>
        <w:jc w:val="both"/>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w:t>
      </w:r>
      <w:r>
        <w:rPr>
          <w:rFonts w:hint="eastAsia" w:ascii="仿宋_GB2312" w:hAnsi="仿宋_GB2312" w:eastAsia="仿宋_GB2312" w:cs="仿宋_GB2312"/>
          <w:kern w:val="2"/>
          <w:sz w:val="32"/>
          <w:szCs w:val="32"/>
          <w:lang w:val="en-US" w:eastAsia="zh-CN" w:bidi="ar-SA"/>
        </w:rPr>
        <w:t>中标人每月向招标人提供电梯动态运行维护管理需要的注意事项。</w:t>
      </w:r>
    </w:p>
    <w:p>
      <w:pPr>
        <w:pStyle w:val="6"/>
        <w:spacing w:line="560" w:lineRule="exact"/>
        <w:ind w:left="0" w:leftChars="0" w:firstLine="640" w:firstLineChars="200"/>
        <w:jc w:val="both"/>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w:t>
      </w:r>
      <w:r>
        <w:rPr>
          <w:rFonts w:hint="eastAsia" w:ascii="仿宋_GB2312" w:hAnsi="仿宋_GB2312" w:eastAsia="仿宋_GB2312" w:cs="仿宋_GB2312"/>
          <w:kern w:val="2"/>
          <w:sz w:val="32"/>
          <w:szCs w:val="32"/>
          <w:lang w:val="en-US" w:eastAsia="zh-CN" w:bidi="ar-SA"/>
        </w:rPr>
        <w:t>维护保养工作按照半月、月度、季度、</w:t>
      </w:r>
      <w:r>
        <w:rPr>
          <w:rFonts w:hint="eastAsia" w:ascii="仿宋_GB2312" w:hAnsi="仿宋_GB2312" w:eastAsia="仿宋_GB2312" w:cs="仿宋_GB2312"/>
          <w:kern w:val="2"/>
          <w:sz w:val="32"/>
          <w:szCs w:val="32"/>
          <w:lang w:val="en-US" w:eastAsia="zh-CN" w:bidi="ar-SA"/>
        </w:rPr>
        <w:t>半年、</w:t>
      </w:r>
      <w:r>
        <w:rPr>
          <w:rFonts w:hint="eastAsia" w:ascii="仿宋_GB2312" w:hAnsi="仿宋_GB2312" w:eastAsia="仿宋_GB2312" w:cs="仿宋_GB2312"/>
          <w:kern w:val="2"/>
          <w:sz w:val="32"/>
          <w:szCs w:val="32"/>
          <w:lang w:val="en-US" w:eastAsia="zh-CN" w:bidi="ar-SA"/>
        </w:rPr>
        <w:t>年度开展</w:t>
      </w:r>
      <w:r>
        <w:rPr>
          <w:rFonts w:hint="eastAsia" w:ascii="仿宋_GB2312" w:hAnsi="仿宋_GB2312" w:eastAsia="仿宋_GB2312" w:cs="仿宋_GB2312"/>
          <w:kern w:val="2"/>
          <w:sz w:val="32"/>
          <w:szCs w:val="32"/>
          <w:lang w:val="en-US" w:eastAsia="zh-CN" w:bidi="ar-SA"/>
        </w:rPr>
        <w:t>（半年保养可结合季度保养开展）</w:t>
      </w:r>
      <w:r>
        <w:rPr>
          <w:rFonts w:hint="eastAsia" w:ascii="仿宋_GB2312" w:hAnsi="仿宋_GB2312" w:eastAsia="仿宋_GB2312" w:cs="仿宋_GB2312"/>
          <w:kern w:val="2"/>
          <w:sz w:val="32"/>
          <w:szCs w:val="32"/>
          <w:lang w:val="en-US" w:eastAsia="zh-CN" w:bidi="ar-SA"/>
        </w:rPr>
        <w:t>，维保项目包含但不限于以下项目（如有国家特种设备主管部门规定、相关制度规定或厂家技术文件要求需增加相应维保项目，增加的项目不另外计费）</w:t>
      </w:r>
      <w:r>
        <w:rPr>
          <w:rFonts w:hint="eastAsia" w:ascii="仿宋_GB2312" w:hAnsi="仿宋_GB2312" w:eastAsia="仿宋_GB2312" w:cs="仿宋_GB2312"/>
          <w:kern w:val="2"/>
          <w:sz w:val="32"/>
          <w:szCs w:val="32"/>
          <w:lang w:val="en-US" w:eastAsia="zh-CN" w:bidi="ar-SA"/>
        </w:rPr>
        <w:t>：</w:t>
      </w:r>
    </w:p>
    <w:p>
      <w:pPr>
        <w:pStyle w:val="7"/>
        <w:numPr>
          <w:ilvl w:val="0"/>
          <w:numId w:val="0"/>
        </w:numPr>
        <w:spacing w:line="360" w:lineRule="auto"/>
        <w:rPr>
          <w:color w:val="000000"/>
          <w:sz w:val="28"/>
        </w:rPr>
      </w:pPr>
      <w:r>
        <w:rPr>
          <w:rFonts w:hint="eastAsia"/>
          <w:color w:val="000000"/>
          <w:sz w:val="28"/>
          <w:lang w:val="en-US" w:eastAsia="zh-CN"/>
        </w:rPr>
        <w:t>表1-</w:t>
      </w:r>
      <w:r>
        <w:rPr>
          <w:rFonts w:hint="eastAsia"/>
          <w:color w:val="000000"/>
          <w:sz w:val="28"/>
        </w:rPr>
        <w:t>半月维护保养</w:t>
      </w:r>
      <w:r>
        <w:rPr>
          <w:rFonts w:hint="eastAsia"/>
          <w:color w:val="000000"/>
          <w:sz w:val="28"/>
          <w:lang w:val="en-US" w:eastAsia="zh-CN"/>
        </w:rPr>
        <w:t>项目内容及</w:t>
      </w:r>
      <w:r>
        <w:rPr>
          <w:rFonts w:hint="eastAsia"/>
          <w:color w:val="000000"/>
          <w:sz w:val="28"/>
        </w:rPr>
        <w:t>要求</w:t>
      </w:r>
    </w:p>
    <w:tbl>
      <w:tblPr>
        <w:tblStyle w:val="4"/>
        <w:tblW w:w="8535"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1"/>
        <w:gridCol w:w="7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1" w:type="dxa"/>
            <w:noWrap w:val="0"/>
            <w:vAlign w:val="center"/>
          </w:tcPr>
          <w:p>
            <w:pPr>
              <w:spacing w:line="360" w:lineRule="auto"/>
              <w:jc w:val="center"/>
              <w:rPr>
                <w:rFonts w:ascii="黑体" w:hAnsi="宋体" w:eastAsia="黑体"/>
                <w:bCs/>
                <w:color w:val="000000"/>
                <w:sz w:val="21"/>
                <w:szCs w:val="21"/>
              </w:rPr>
            </w:pPr>
            <w:r>
              <w:rPr>
                <w:rFonts w:hint="eastAsia" w:ascii="黑体" w:hAnsi="宋体" w:eastAsia="黑体"/>
                <w:bCs/>
                <w:color w:val="000000"/>
                <w:sz w:val="21"/>
                <w:szCs w:val="21"/>
              </w:rPr>
              <w:t>内</w:t>
            </w:r>
            <w:r>
              <w:rPr>
                <w:rFonts w:hint="eastAsia" w:ascii="黑体" w:hAnsi="宋体" w:eastAsia="黑体"/>
                <w:bCs/>
                <w:color w:val="000000"/>
                <w:sz w:val="21"/>
                <w:szCs w:val="21"/>
                <w:lang w:val="en-US" w:eastAsia="zh-CN"/>
              </w:rPr>
              <w:t xml:space="preserve">  </w:t>
            </w:r>
            <w:r>
              <w:rPr>
                <w:rFonts w:hint="eastAsia" w:ascii="黑体" w:hAnsi="宋体" w:eastAsia="黑体"/>
                <w:bCs/>
                <w:color w:val="000000"/>
                <w:sz w:val="21"/>
                <w:szCs w:val="21"/>
              </w:rPr>
              <w:t>容</w:t>
            </w:r>
          </w:p>
        </w:tc>
        <w:tc>
          <w:tcPr>
            <w:tcW w:w="7344" w:type="dxa"/>
            <w:tcBorders>
              <w:bottom w:val="nil"/>
            </w:tcBorders>
            <w:noWrap w:val="0"/>
            <w:vAlign w:val="center"/>
          </w:tcPr>
          <w:p>
            <w:pPr>
              <w:spacing w:line="360" w:lineRule="auto"/>
              <w:jc w:val="center"/>
              <w:rPr>
                <w:rFonts w:ascii="黑体" w:hAnsi="宋体" w:eastAsia="黑体"/>
                <w:bCs/>
                <w:color w:val="000000"/>
                <w:sz w:val="21"/>
                <w:szCs w:val="21"/>
              </w:rPr>
            </w:pPr>
            <w:r>
              <w:rPr>
                <w:rFonts w:hint="eastAsia" w:ascii="黑体" w:hAnsi="宋体" w:eastAsia="黑体"/>
                <w:bCs/>
                <w:color w:val="000000"/>
                <w:sz w:val="21"/>
                <w:szCs w:val="21"/>
              </w:rPr>
              <w:t>要</w:t>
            </w:r>
            <w:r>
              <w:rPr>
                <w:rFonts w:hint="eastAsia" w:ascii="黑体" w:hAnsi="宋体" w:eastAsia="黑体"/>
                <w:bCs/>
                <w:color w:val="000000"/>
                <w:sz w:val="21"/>
                <w:szCs w:val="21"/>
                <w:lang w:val="en-US" w:eastAsia="zh-CN"/>
              </w:rPr>
              <w:t xml:space="preserve">  </w:t>
            </w:r>
            <w:r>
              <w:rPr>
                <w:rFonts w:hint="eastAsia" w:ascii="黑体" w:hAnsi="宋体" w:eastAsia="黑体"/>
                <w:bCs/>
                <w:color w:val="000000"/>
                <w:sz w:val="21"/>
                <w:szCs w:val="21"/>
              </w:rPr>
              <w:t>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91" w:type="dxa"/>
            <w:vMerge w:val="restart"/>
            <w:noWrap w:val="0"/>
            <w:vAlign w:val="center"/>
          </w:tcPr>
          <w:p>
            <w:pPr>
              <w:spacing w:line="360" w:lineRule="auto"/>
              <w:jc w:val="center"/>
              <w:rPr>
                <w:rFonts w:hint="eastAsia" w:ascii="宋体" w:hAnsi="宋体"/>
                <w:bCs/>
                <w:color w:val="000000"/>
                <w:sz w:val="21"/>
                <w:szCs w:val="21"/>
                <w:lang w:val="en-US" w:eastAsia="zh-CN"/>
              </w:rPr>
            </w:pPr>
            <w:r>
              <w:rPr>
                <w:rFonts w:hint="eastAsia" w:ascii="宋体" w:hAnsi="宋体"/>
                <w:bCs/>
                <w:color w:val="000000"/>
                <w:sz w:val="21"/>
                <w:szCs w:val="21"/>
                <w:lang w:val="en-US" w:eastAsia="zh-CN"/>
              </w:rPr>
              <w:t>半</w:t>
            </w:r>
          </w:p>
          <w:p>
            <w:pPr>
              <w:spacing w:line="360" w:lineRule="auto"/>
              <w:jc w:val="center"/>
              <w:rPr>
                <w:rFonts w:hint="eastAsia" w:ascii="宋体" w:hAnsi="宋体"/>
                <w:bCs/>
                <w:color w:val="000000"/>
                <w:sz w:val="21"/>
                <w:szCs w:val="21"/>
                <w:lang w:val="en-US" w:eastAsia="zh-CN"/>
              </w:rPr>
            </w:pPr>
          </w:p>
          <w:p>
            <w:pPr>
              <w:spacing w:line="360" w:lineRule="auto"/>
              <w:jc w:val="center"/>
              <w:rPr>
                <w:rFonts w:hint="eastAsia" w:ascii="宋体" w:hAnsi="宋体"/>
                <w:bCs/>
                <w:color w:val="000000"/>
                <w:sz w:val="21"/>
                <w:szCs w:val="21"/>
                <w:lang w:val="en-US" w:eastAsia="zh-CN"/>
              </w:rPr>
            </w:pPr>
            <w:r>
              <w:rPr>
                <w:rFonts w:hint="eastAsia" w:ascii="宋体" w:hAnsi="宋体"/>
                <w:bCs/>
                <w:color w:val="000000"/>
                <w:sz w:val="21"/>
                <w:szCs w:val="21"/>
                <w:lang w:val="en-US" w:eastAsia="zh-CN"/>
              </w:rPr>
              <w:t>月</w:t>
            </w:r>
          </w:p>
          <w:p>
            <w:pPr>
              <w:spacing w:line="360" w:lineRule="auto"/>
              <w:jc w:val="center"/>
              <w:rPr>
                <w:rFonts w:hint="eastAsia" w:ascii="宋体" w:hAnsi="宋体"/>
                <w:bCs/>
                <w:color w:val="000000"/>
                <w:sz w:val="21"/>
                <w:szCs w:val="21"/>
                <w:lang w:val="en-US" w:eastAsia="zh-CN"/>
              </w:rPr>
            </w:pPr>
          </w:p>
          <w:p>
            <w:pPr>
              <w:spacing w:line="360" w:lineRule="auto"/>
              <w:jc w:val="center"/>
              <w:rPr>
                <w:rFonts w:hint="eastAsia" w:ascii="宋体" w:hAnsi="宋体"/>
                <w:bCs/>
                <w:color w:val="000000"/>
                <w:sz w:val="21"/>
                <w:szCs w:val="21"/>
                <w:lang w:val="en-US" w:eastAsia="zh-CN"/>
              </w:rPr>
            </w:pPr>
            <w:r>
              <w:rPr>
                <w:rFonts w:hint="eastAsia" w:ascii="宋体" w:hAnsi="宋体"/>
                <w:bCs/>
                <w:color w:val="000000"/>
                <w:sz w:val="21"/>
                <w:szCs w:val="21"/>
                <w:lang w:val="en-US" w:eastAsia="zh-CN"/>
              </w:rPr>
              <w:t>维</w:t>
            </w:r>
          </w:p>
          <w:p>
            <w:pPr>
              <w:spacing w:line="360" w:lineRule="auto"/>
              <w:jc w:val="center"/>
              <w:rPr>
                <w:rFonts w:hint="eastAsia" w:ascii="宋体" w:hAnsi="宋体"/>
                <w:bCs/>
                <w:color w:val="000000"/>
                <w:sz w:val="21"/>
                <w:szCs w:val="21"/>
                <w:lang w:val="en-US" w:eastAsia="zh-CN"/>
              </w:rPr>
            </w:pPr>
          </w:p>
          <w:p>
            <w:pPr>
              <w:spacing w:line="360" w:lineRule="auto"/>
              <w:jc w:val="center"/>
              <w:rPr>
                <w:rFonts w:hint="default" w:ascii="宋体" w:hAnsi="宋体"/>
                <w:bCs/>
                <w:color w:val="000000"/>
                <w:sz w:val="21"/>
                <w:szCs w:val="21"/>
                <w:lang w:val="en-US"/>
              </w:rPr>
            </w:pPr>
            <w:r>
              <w:rPr>
                <w:rFonts w:hint="eastAsia" w:ascii="宋体" w:hAnsi="宋体"/>
                <w:bCs/>
                <w:color w:val="000000"/>
                <w:sz w:val="21"/>
                <w:szCs w:val="21"/>
                <w:lang w:val="en-US" w:eastAsia="zh-CN"/>
              </w:rPr>
              <w:t>保</w:t>
            </w:r>
          </w:p>
        </w:tc>
        <w:tc>
          <w:tcPr>
            <w:tcW w:w="7344" w:type="dxa"/>
            <w:noWrap w:val="0"/>
            <w:vAlign w:val="center"/>
          </w:tcPr>
          <w:p>
            <w:pPr>
              <w:pStyle w:val="8"/>
              <w:spacing w:before="0" w:line="360" w:lineRule="auto"/>
              <w:jc w:val="center"/>
              <w:rPr>
                <w:rFonts w:ascii="宋体" w:hAnsi="宋体" w:cs="宋体"/>
                <w:bCs/>
                <w:color w:val="000000"/>
                <w:sz w:val="21"/>
                <w:szCs w:val="21"/>
              </w:rPr>
            </w:pPr>
            <w:r>
              <w:rPr>
                <w:rFonts w:hint="eastAsia" w:ascii="宋体" w:hAnsi="宋体" w:cs="宋体"/>
                <w:bCs/>
                <w:color w:val="000000"/>
                <w:sz w:val="21"/>
                <w:szCs w:val="21"/>
              </w:rPr>
              <w:t>检查微处理系统故障记录，排除可能存在的故障隐患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191" w:type="dxa"/>
            <w:vMerge w:val="continue"/>
            <w:noWrap w:val="0"/>
            <w:vAlign w:val="center"/>
          </w:tcPr>
          <w:p>
            <w:pPr>
              <w:spacing w:line="360" w:lineRule="auto"/>
              <w:jc w:val="center"/>
              <w:rPr>
                <w:rFonts w:ascii="宋体" w:hAnsi="宋体"/>
                <w:bCs/>
                <w:color w:val="000000"/>
                <w:sz w:val="21"/>
                <w:szCs w:val="21"/>
              </w:rPr>
            </w:pPr>
          </w:p>
        </w:tc>
        <w:tc>
          <w:tcPr>
            <w:tcW w:w="7344" w:type="dxa"/>
            <w:noWrap w:val="0"/>
            <w:vAlign w:val="center"/>
          </w:tcPr>
          <w:p>
            <w:pPr>
              <w:pStyle w:val="8"/>
              <w:spacing w:before="0" w:line="360" w:lineRule="auto"/>
              <w:jc w:val="center"/>
              <w:rPr>
                <w:rFonts w:hint="eastAsia" w:ascii="宋体" w:hAnsi="宋体" w:cs="宋体"/>
                <w:color w:val="000000"/>
                <w:sz w:val="21"/>
                <w:szCs w:val="21"/>
              </w:rPr>
            </w:pPr>
            <w:r>
              <w:rPr>
                <w:rFonts w:hint="eastAsia" w:ascii="宋体" w:hAnsi="宋体" w:cs="宋体"/>
                <w:color w:val="000000"/>
                <w:sz w:val="21"/>
                <w:szCs w:val="21"/>
              </w:rPr>
              <w:t>机房</w:t>
            </w: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滑轮间</w:t>
            </w:r>
            <w:r>
              <w:rPr>
                <w:rFonts w:hint="eastAsia" w:ascii="宋体" w:hAnsi="宋体" w:cs="宋体"/>
                <w:color w:val="000000"/>
                <w:sz w:val="21"/>
                <w:szCs w:val="21"/>
              </w:rPr>
              <w:t>环境清洁程度、温湿度、门窗、照明等</w:t>
            </w:r>
          </w:p>
          <w:p>
            <w:pPr>
              <w:pStyle w:val="8"/>
              <w:spacing w:before="0" w:line="360" w:lineRule="auto"/>
              <w:jc w:val="center"/>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（清洁，</w:t>
            </w:r>
            <w:r>
              <w:rPr>
                <w:rFonts w:hint="eastAsia" w:ascii="宋体" w:hAnsi="宋体" w:cs="宋体"/>
                <w:color w:val="000000"/>
                <w:sz w:val="21"/>
                <w:szCs w:val="21"/>
                <w:lang w:val="en-US" w:eastAsia="zh-CN"/>
              </w:rPr>
              <w:t>温湿度符合要求、</w:t>
            </w:r>
            <w:r>
              <w:rPr>
                <w:rFonts w:hint="eastAsia" w:ascii="宋体" w:hAnsi="宋体" w:cs="宋体"/>
                <w:color w:val="000000"/>
                <w:sz w:val="21"/>
                <w:szCs w:val="21"/>
                <w:lang w:eastAsia="zh-CN"/>
              </w:rPr>
              <w:t>门窗完好，照明正常）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91" w:type="dxa"/>
            <w:vMerge w:val="continue"/>
            <w:noWrap w:val="0"/>
            <w:vAlign w:val="center"/>
          </w:tcPr>
          <w:p>
            <w:pPr>
              <w:spacing w:line="360" w:lineRule="auto"/>
              <w:jc w:val="center"/>
              <w:rPr>
                <w:rFonts w:ascii="宋体" w:hAnsi="宋体"/>
                <w:bCs/>
                <w:color w:val="000000"/>
                <w:sz w:val="21"/>
                <w:szCs w:val="21"/>
              </w:rPr>
            </w:pPr>
          </w:p>
        </w:tc>
        <w:tc>
          <w:tcPr>
            <w:tcW w:w="7344" w:type="dxa"/>
            <w:noWrap w:val="0"/>
            <w:vAlign w:val="center"/>
          </w:tcPr>
          <w:p>
            <w:pPr>
              <w:widowControl/>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制动器各销轴部位润滑良好，动作灵活可靠,保持有足够的制动力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91" w:type="dxa"/>
            <w:vMerge w:val="continue"/>
            <w:noWrap w:val="0"/>
            <w:vAlign w:val="center"/>
          </w:tcPr>
          <w:p>
            <w:pPr>
              <w:spacing w:line="360" w:lineRule="auto"/>
              <w:jc w:val="center"/>
              <w:rPr>
                <w:rFonts w:ascii="宋体" w:hAnsi="宋体"/>
                <w:bCs/>
                <w:color w:val="000000"/>
                <w:sz w:val="21"/>
                <w:szCs w:val="21"/>
              </w:rPr>
            </w:pPr>
          </w:p>
        </w:tc>
        <w:tc>
          <w:tcPr>
            <w:tcW w:w="7344" w:type="dxa"/>
            <w:noWrap w:val="0"/>
            <w:vAlign w:val="center"/>
          </w:tcPr>
          <w:p>
            <w:pPr>
              <w:widowControl/>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控制柜内各元器件整洁，无锈蚀，动作可靠，各仪表指示(显示)正确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91" w:type="dxa"/>
            <w:vMerge w:val="continue"/>
            <w:noWrap w:val="0"/>
            <w:vAlign w:val="center"/>
          </w:tcPr>
          <w:p>
            <w:pPr>
              <w:spacing w:line="360" w:lineRule="auto"/>
              <w:jc w:val="center"/>
              <w:rPr>
                <w:rFonts w:ascii="宋体" w:hAnsi="宋体"/>
                <w:bCs/>
                <w:color w:val="000000"/>
                <w:sz w:val="21"/>
                <w:szCs w:val="21"/>
              </w:rPr>
            </w:pPr>
          </w:p>
        </w:tc>
        <w:tc>
          <w:tcPr>
            <w:tcW w:w="7344" w:type="dxa"/>
            <w:noWrap w:val="0"/>
            <w:vAlign w:val="center"/>
          </w:tcPr>
          <w:p>
            <w:pPr>
              <w:widowControl/>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检查曳引机和电动机应运行平稳、无异响、无振动、无异常温升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91" w:type="dxa"/>
            <w:vMerge w:val="continue"/>
            <w:noWrap w:val="0"/>
            <w:vAlign w:val="center"/>
          </w:tcPr>
          <w:p>
            <w:pPr>
              <w:spacing w:line="360" w:lineRule="auto"/>
              <w:jc w:val="center"/>
              <w:rPr>
                <w:rFonts w:ascii="宋体" w:hAnsi="宋体"/>
                <w:bCs/>
                <w:color w:val="000000"/>
                <w:sz w:val="21"/>
                <w:szCs w:val="21"/>
              </w:rPr>
            </w:pPr>
          </w:p>
        </w:tc>
        <w:tc>
          <w:tcPr>
            <w:tcW w:w="7344" w:type="dxa"/>
            <w:noWrap w:val="0"/>
            <w:vAlign w:val="center"/>
          </w:tcPr>
          <w:p>
            <w:pPr>
              <w:widowControl/>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清洁检查限速器</w:t>
            </w:r>
            <w:r>
              <w:rPr>
                <w:rFonts w:hint="eastAsia" w:ascii="宋体" w:hAnsi="宋体" w:cs="宋体"/>
                <w:bCs/>
                <w:color w:val="000000"/>
                <w:kern w:val="0"/>
                <w:sz w:val="21"/>
                <w:szCs w:val="21"/>
              </w:rPr>
              <w:t>（销轴部位转动灵活）</w:t>
            </w:r>
            <w:r>
              <w:rPr>
                <w:rFonts w:hint="eastAsia" w:ascii="宋体" w:hAnsi="宋体" w:cs="宋体"/>
                <w:color w:val="000000"/>
                <w:kern w:val="0"/>
                <w:sz w:val="21"/>
                <w:szCs w:val="21"/>
              </w:rPr>
              <w:t>，限速器轮槽清洁无油腻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91" w:type="dxa"/>
            <w:vMerge w:val="continue"/>
            <w:noWrap w:val="0"/>
            <w:vAlign w:val="center"/>
          </w:tcPr>
          <w:p>
            <w:pPr>
              <w:spacing w:line="360" w:lineRule="auto"/>
              <w:jc w:val="center"/>
              <w:rPr>
                <w:rFonts w:ascii="宋体" w:hAnsi="宋体"/>
                <w:bCs/>
                <w:color w:val="000000"/>
                <w:sz w:val="21"/>
                <w:szCs w:val="21"/>
              </w:rPr>
            </w:pPr>
          </w:p>
        </w:tc>
        <w:tc>
          <w:tcPr>
            <w:tcW w:w="7344" w:type="dxa"/>
            <w:noWrap w:val="0"/>
            <w:vAlign w:val="center"/>
          </w:tcPr>
          <w:p>
            <w:pPr>
              <w:widowControl/>
              <w:spacing w:line="360" w:lineRule="auto"/>
              <w:jc w:val="center"/>
              <w:rPr>
                <w:rFonts w:ascii="宋体" w:hAnsi="宋体" w:cs="宋体"/>
                <w:color w:val="000000"/>
                <w:kern w:val="0"/>
                <w:sz w:val="21"/>
                <w:szCs w:val="21"/>
              </w:rPr>
            </w:pPr>
            <w:r>
              <w:rPr>
                <w:rFonts w:hint="eastAsia" w:ascii="宋体" w:hAnsi="宋体" w:cs="宋体"/>
                <w:color w:val="000000"/>
                <w:kern w:val="0"/>
                <w:sz w:val="21"/>
                <w:szCs w:val="21"/>
              </w:rPr>
              <w:t>检查钢丝绳绳头组合，无异常现象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191" w:type="dxa"/>
            <w:vMerge w:val="continue"/>
            <w:noWrap w:val="0"/>
            <w:vAlign w:val="center"/>
          </w:tcPr>
          <w:p>
            <w:pPr>
              <w:spacing w:line="360" w:lineRule="auto"/>
              <w:jc w:val="center"/>
              <w:rPr>
                <w:rFonts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bCs/>
                <w:color w:val="000000"/>
                <w:sz w:val="21"/>
                <w:szCs w:val="21"/>
              </w:rPr>
            </w:pPr>
            <w:r>
              <w:rPr>
                <w:rFonts w:hint="eastAsia" w:ascii="宋体" w:hAnsi="宋体"/>
                <w:bCs/>
                <w:color w:val="000000"/>
                <w:sz w:val="21"/>
                <w:szCs w:val="21"/>
              </w:rPr>
              <w:t>候梯厅按钮齐全有效、厅外显示正常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91" w:type="dxa"/>
            <w:vMerge w:val="continue"/>
            <w:noWrap w:val="0"/>
            <w:vAlign w:val="center"/>
          </w:tcPr>
          <w:p>
            <w:pPr>
              <w:spacing w:line="360" w:lineRule="auto"/>
              <w:jc w:val="center"/>
              <w:rPr>
                <w:rFonts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bCs/>
                <w:color w:val="000000"/>
                <w:sz w:val="21"/>
                <w:szCs w:val="21"/>
              </w:rPr>
            </w:pPr>
            <w:r>
              <w:rPr>
                <w:rFonts w:hint="eastAsia" w:ascii="宋体" w:hAnsi="宋体"/>
                <w:bCs/>
                <w:color w:val="000000"/>
                <w:sz w:val="21"/>
                <w:szCs w:val="21"/>
              </w:rPr>
              <w:t>清扫地坎、上坎架及门板背面，清洁门锁触点并调整门板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91" w:type="dxa"/>
            <w:vMerge w:val="continue"/>
            <w:noWrap w:val="0"/>
            <w:vAlign w:val="center"/>
          </w:tcPr>
          <w:p>
            <w:pPr>
              <w:spacing w:line="360" w:lineRule="auto"/>
              <w:jc w:val="center"/>
              <w:rPr>
                <w:rFonts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bCs/>
                <w:color w:val="000000"/>
                <w:sz w:val="21"/>
                <w:szCs w:val="21"/>
              </w:rPr>
            </w:pPr>
            <w:r>
              <w:rPr>
                <w:rFonts w:hint="eastAsia" w:ascii="宋体" w:hAnsi="宋体"/>
                <w:bCs/>
                <w:color w:val="000000"/>
                <w:sz w:val="21"/>
                <w:szCs w:val="21"/>
              </w:rPr>
              <w:t>层门自闭功能正常，用层门钥匙开锁释放后能自动复位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91" w:type="dxa"/>
            <w:vMerge w:val="continue"/>
            <w:noWrap w:val="0"/>
            <w:vAlign w:val="center"/>
          </w:tcPr>
          <w:p>
            <w:pPr>
              <w:spacing w:line="360" w:lineRule="auto"/>
              <w:jc w:val="center"/>
              <w:rPr>
                <w:rFonts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bCs/>
                <w:color w:val="000000"/>
                <w:sz w:val="21"/>
                <w:szCs w:val="21"/>
              </w:rPr>
            </w:pPr>
            <w:r>
              <w:rPr>
                <w:rFonts w:hint="eastAsia" w:ascii="宋体" w:hAnsi="宋体"/>
                <w:bCs/>
                <w:color w:val="000000"/>
                <w:sz w:val="21"/>
                <w:szCs w:val="21"/>
              </w:rPr>
              <w:t>层门在开启和关闭时平稳无振动、无卡阻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91" w:type="dxa"/>
            <w:vMerge w:val="continue"/>
            <w:noWrap w:val="0"/>
            <w:vAlign w:val="center"/>
          </w:tcPr>
          <w:p>
            <w:pPr>
              <w:spacing w:line="360" w:lineRule="auto"/>
              <w:jc w:val="center"/>
              <w:rPr>
                <w:rFonts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bCs/>
                <w:color w:val="000000"/>
                <w:sz w:val="21"/>
                <w:szCs w:val="21"/>
              </w:rPr>
            </w:pPr>
            <w:r>
              <w:rPr>
                <w:rFonts w:hint="eastAsia" w:ascii="宋体" w:hAnsi="宋体"/>
                <w:bCs/>
                <w:color w:val="000000"/>
                <w:sz w:val="21"/>
                <w:szCs w:val="21"/>
              </w:rPr>
              <w:t>层门锁紧元件啮合深度不小于7mm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91" w:type="dxa"/>
            <w:vMerge w:val="continue"/>
            <w:noWrap w:val="0"/>
            <w:vAlign w:val="center"/>
          </w:tcPr>
          <w:p>
            <w:pPr>
              <w:spacing w:line="360" w:lineRule="auto"/>
              <w:jc w:val="center"/>
              <w:rPr>
                <w:rFonts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bCs/>
                <w:color w:val="000000"/>
                <w:sz w:val="21"/>
                <w:szCs w:val="21"/>
              </w:rPr>
            </w:pPr>
            <w:r>
              <w:rPr>
                <w:rFonts w:hint="eastAsia" w:ascii="宋体" w:hAnsi="宋体"/>
                <w:bCs/>
                <w:color w:val="000000"/>
                <w:sz w:val="21"/>
                <w:szCs w:val="21"/>
              </w:rPr>
              <w:t>检查调整层门联锁机构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91" w:type="dxa"/>
            <w:vMerge w:val="continue"/>
            <w:noWrap w:val="0"/>
            <w:vAlign w:val="center"/>
          </w:tcPr>
          <w:p>
            <w:pPr>
              <w:spacing w:line="360" w:lineRule="auto"/>
              <w:jc w:val="center"/>
              <w:rPr>
                <w:rFonts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bCs/>
                <w:color w:val="000000"/>
                <w:sz w:val="21"/>
                <w:szCs w:val="21"/>
              </w:rPr>
            </w:pPr>
            <w:r>
              <w:rPr>
                <w:rFonts w:hint="eastAsia" w:ascii="宋体" w:hAnsi="宋体"/>
                <w:bCs/>
                <w:color w:val="000000"/>
                <w:sz w:val="21"/>
                <w:szCs w:val="21"/>
              </w:rPr>
              <w:t>清扫轿顶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91" w:type="dxa"/>
            <w:vMerge w:val="continue"/>
            <w:noWrap w:val="0"/>
            <w:vAlign w:val="center"/>
          </w:tcPr>
          <w:p>
            <w:pPr>
              <w:spacing w:line="360" w:lineRule="auto"/>
              <w:jc w:val="center"/>
              <w:rPr>
                <w:rFonts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bCs/>
                <w:color w:val="000000"/>
                <w:sz w:val="21"/>
                <w:szCs w:val="21"/>
              </w:rPr>
            </w:pPr>
            <w:r>
              <w:rPr>
                <w:rFonts w:hint="eastAsia" w:ascii="宋体" w:hAnsi="宋体"/>
                <w:bCs/>
                <w:color w:val="000000"/>
                <w:sz w:val="21"/>
                <w:szCs w:val="21"/>
              </w:rPr>
              <w:t>轿顶检修装置、紧急停止开关及安全窗开关有效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91" w:type="dxa"/>
            <w:vMerge w:val="continue"/>
            <w:noWrap w:val="0"/>
            <w:vAlign w:val="center"/>
          </w:tcPr>
          <w:p>
            <w:pPr>
              <w:spacing w:line="360" w:lineRule="auto"/>
              <w:jc w:val="center"/>
              <w:rPr>
                <w:rFonts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bCs/>
                <w:color w:val="000000"/>
                <w:sz w:val="21"/>
                <w:szCs w:val="21"/>
              </w:rPr>
            </w:pPr>
            <w:r>
              <w:rPr>
                <w:rFonts w:hint="eastAsia" w:ascii="宋体" w:hAnsi="宋体"/>
                <w:bCs/>
                <w:color w:val="000000"/>
                <w:sz w:val="21"/>
                <w:szCs w:val="21"/>
              </w:rPr>
              <w:t>导靴、油杯、吸油毛毡齐全，油量适宜，保证油质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91" w:type="dxa"/>
            <w:vMerge w:val="continue"/>
            <w:noWrap w:val="0"/>
            <w:vAlign w:val="center"/>
          </w:tcPr>
          <w:p>
            <w:pPr>
              <w:spacing w:line="360" w:lineRule="auto"/>
              <w:jc w:val="center"/>
              <w:rPr>
                <w:rFonts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bCs/>
                <w:color w:val="000000"/>
                <w:sz w:val="21"/>
                <w:szCs w:val="21"/>
              </w:rPr>
            </w:pPr>
            <w:r>
              <w:rPr>
                <w:rFonts w:hint="eastAsia" w:ascii="宋体" w:hAnsi="宋体"/>
                <w:bCs/>
                <w:color w:val="000000"/>
                <w:sz w:val="21"/>
                <w:szCs w:val="21"/>
              </w:rPr>
              <w:t>上下极限开关、限位开关、强迫换速开关应工作正常有效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91" w:type="dxa"/>
            <w:vMerge w:val="continue"/>
            <w:noWrap w:val="0"/>
            <w:vAlign w:val="center"/>
          </w:tcPr>
          <w:p>
            <w:pPr>
              <w:spacing w:line="360" w:lineRule="auto"/>
              <w:jc w:val="center"/>
              <w:rPr>
                <w:rFonts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bCs/>
                <w:color w:val="000000"/>
                <w:sz w:val="21"/>
                <w:szCs w:val="21"/>
              </w:rPr>
            </w:pPr>
            <w:r>
              <w:rPr>
                <w:rFonts w:hint="eastAsia" w:ascii="宋体" w:hAnsi="宋体"/>
                <w:bCs/>
                <w:color w:val="000000"/>
                <w:sz w:val="21"/>
                <w:szCs w:val="21"/>
              </w:rPr>
              <w:t>轿厢内照明装置齐全,风扇工作正常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91" w:type="dxa"/>
            <w:vMerge w:val="continue"/>
            <w:noWrap w:val="0"/>
            <w:vAlign w:val="center"/>
          </w:tcPr>
          <w:p>
            <w:pPr>
              <w:spacing w:line="360" w:lineRule="auto"/>
              <w:jc w:val="center"/>
              <w:rPr>
                <w:rFonts w:ascii="宋体" w:hAnsi="宋体"/>
                <w:b/>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bCs/>
                <w:color w:val="000000"/>
                <w:sz w:val="21"/>
                <w:szCs w:val="21"/>
              </w:rPr>
            </w:pPr>
            <w:r>
              <w:rPr>
                <w:rFonts w:hint="eastAsia" w:ascii="宋体" w:hAnsi="宋体"/>
                <w:bCs/>
                <w:color w:val="000000"/>
                <w:sz w:val="21"/>
                <w:szCs w:val="21"/>
              </w:rPr>
              <w:t>轿厢内应急照明装置能正常工作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91" w:type="dxa"/>
            <w:vMerge w:val="continue"/>
            <w:noWrap w:val="0"/>
            <w:vAlign w:val="center"/>
          </w:tcPr>
          <w:p>
            <w:pPr>
              <w:spacing w:line="360" w:lineRule="auto"/>
              <w:jc w:val="center"/>
              <w:rPr>
                <w:rFonts w:ascii="宋体" w:hAnsi="宋体"/>
                <w:b/>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bCs/>
                <w:color w:val="000000"/>
                <w:sz w:val="21"/>
                <w:szCs w:val="21"/>
              </w:rPr>
            </w:pPr>
            <w:r>
              <w:rPr>
                <w:rFonts w:hint="eastAsia" w:ascii="宋体" w:hAnsi="宋体"/>
                <w:bCs/>
                <w:color w:val="000000"/>
                <w:sz w:val="21"/>
                <w:szCs w:val="21"/>
              </w:rPr>
              <w:t>轿厢内按钮齐全有效、显示正确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91" w:type="dxa"/>
            <w:vMerge w:val="continue"/>
            <w:noWrap w:val="0"/>
            <w:vAlign w:val="center"/>
          </w:tcPr>
          <w:p>
            <w:pPr>
              <w:spacing w:line="360" w:lineRule="auto"/>
              <w:jc w:val="center"/>
              <w:rPr>
                <w:rFonts w:ascii="宋体" w:hAnsi="宋体"/>
                <w:b/>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bCs/>
                <w:color w:val="000000"/>
                <w:sz w:val="21"/>
                <w:szCs w:val="21"/>
              </w:rPr>
            </w:pPr>
            <w:r>
              <w:rPr>
                <w:rFonts w:hint="eastAsia" w:ascii="宋体" w:hAnsi="宋体"/>
                <w:bCs/>
                <w:color w:val="000000"/>
                <w:sz w:val="21"/>
                <w:szCs w:val="21"/>
              </w:rPr>
              <w:t>警铃、通讯系统可靠有效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91" w:type="dxa"/>
            <w:vMerge w:val="continue"/>
            <w:noWrap w:val="0"/>
            <w:vAlign w:val="center"/>
          </w:tcPr>
          <w:p>
            <w:pPr>
              <w:spacing w:line="360" w:lineRule="auto"/>
              <w:jc w:val="center"/>
              <w:rPr>
                <w:rFonts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bCs/>
                <w:color w:val="000000"/>
                <w:sz w:val="21"/>
                <w:szCs w:val="21"/>
              </w:rPr>
            </w:pPr>
            <w:r>
              <w:rPr>
                <w:rFonts w:hint="eastAsia" w:ascii="宋体" w:hAnsi="宋体"/>
                <w:bCs/>
                <w:color w:val="000000"/>
                <w:sz w:val="21"/>
                <w:szCs w:val="21"/>
              </w:rPr>
              <w:t>轿门在开启和关闭时平稳无振动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91" w:type="dxa"/>
            <w:vMerge w:val="continue"/>
            <w:noWrap w:val="0"/>
            <w:vAlign w:val="center"/>
          </w:tcPr>
          <w:p>
            <w:pPr>
              <w:spacing w:line="360" w:lineRule="auto"/>
              <w:jc w:val="center"/>
              <w:rPr>
                <w:rFonts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bCs/>
                <w:color w:val="000000"/>
                <w:sz w:val="21"/>
                <w:szCs w:val="21"/>
              </w:rPr>
            </w:pPr>
            <w:r>
              <w:rPr>
                <w:rFonts w:hint="eastAsia" w:ascii="宋体" w:hAnsi="宋体"/>
                <w:bCs/>
                <w:color w:val="000000"/>
                <w:sz w:val="21"/>
                <w:szCs w:val="21"/>
              </w:rPr>
              <w:t>底坑清洁，无渗水、积水</w:t>
            </w:r>
          </w:p>
        </w:tc>
      </w:tr>
    </w:tbl>
    <w:p>
      <w:pPr>
        <w:spacing w:line="360" w:lineRule="auto"/>
        <w:rPr>
          <w:rFonts w:ascii="黑体" w:eastAsia="黑体"/>
          <w:sz w:val="28"/>
        </w:rPr>
      </w:pPr>
    </w:p>
    <w:p>
      <w:pPr>
        <w:pStyle w:val="7"/>
        <w:numPr>
          <w:ilvl w:val="0"/>
          <w:numId w:val="0"/>
        </w:numPr>
        <w:spacing w:line="360" w:lineRule="auto"/>
        <w:rPr>
          <w:color w:val="000000"/>
          <w:sz w:val="28"/>
        </w:rPr>
      </w:pPr>
      <w:r>
        <w:rPr>
          <w:rFonts w:hint="eastAsia"/>
          <w:color w:val="000000"/>
          <w:sz w:val="28"/>
          <w:lang w:val="en-US" w:eastAsia="zh-CN"/>
        </w:rPr>
        <w:t>表2-</w:t>
      </w:r>
      <w:r>
        <w:rPr>
          <w:rFonts w:hint="eastAsia"/>
          <w:color w:val="000000"/>
          <w:sz w:val="28"/>
        </w:rPr>
        <w:t>月度维护</w:t>
      </w:r>
      <w:r>
        <w:rPr>
          <w:rFonts w:hint="eastAsia"/>
          <w:color w:val="000000"/>
          <w:sz w:val="28"/>
          <w:lang w:val="en-US" w:eastAsia="zh-CN"/>
        </w:rPr>
        <w:t>项目</w:t>
      </w:r>
      <w:r>
        <w:rPr>
          <w:rFonts w:hint="eastAsia"/>
          <w:color w:val="000000"/>
          <w:sz w:val="28"/>
        </w:rPr>
        <w:t>保养</w:t>
      </w:r>
      <w:r>
        <w:rPr>
          <w:rFonts w:hint="eastAsia"/>
          <w:color w:val="000000"/>
          <w:sz w:val="28"/>
          <w:lang w:val="en-US" w:eastAsia="zh-CN"/>
        </w:rPr>
        <w:t>内容及</w:t>
      </w:r>
      <w:r>
        <w:rPr>
          <w:rFonts w:hint="eastAsia"/>
          <w:color w:val="000000"/>
          <w:sz w:val="28"/>
        </w:rPr>
        <w:t>要求</w:t>
      </w:r>
    </w:p>
    <w:tbl>
      <w:tblPr>
        <w:tblStyle w:val="4"/>
        <w:tblW w:w="8550" w:type="dxa"/>
        <w:tblInd w:w="-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6"/>
        <w:gridCol w:w="7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6" w:type="dxa"/>
            <w:noWrap w:val="0"/>
            <w:vAlign w:val="center"/>
          </w:tcPr>
          <w:p>
            <w:pPr>
              <w:spacing w:line="360" w:lineRule="auto"/>
              <w:jc w:val="center"/>
              <w:rPr>
                <w:rFonts w:hint="eastAsia" w:ascii="黑体" w:hAnsi="黑体" w:eastAsia="黑体" w:cs="黑体"/>
                <w:b/>
                <w:bCs w:val="0"/>
                <w:color w:val="000000"/>
                <w:sz w:val="21"/>
                <w:szCs w:val="21"/>
              </w:rPr>
            </w:pPr>
            <w:r>
              <w:rPr>
                <w:rFonts w:hint="eastAsia" w:ascii="黑体" w:hAnsi="黑体" w:eastAsia="黑体" w:cs="黑体"/>
                <w:b/>
                <w:bCs w:val="0"/>
                <w:color w:val="000000"/>
                <w:sz w:val="21"/>
                <w:szCs w:val="21"/>
              </w:rPr>
              <w:t>内</w:t>
            </w:r>
            <w:r>
              <w:rPr>
                <w:rFonts w:hint="eastAsia" w:ascii="黑体" w:hAnsi="黑体" w:eastAsia="黑体" w:cs="黑体"/>
                <w:b/>
                <w:bCs w:val="0"/>
                <w:color w:val="000000"/>
                <w:sz w:val="21"/>
                <w:szCs w:val="21"/>
                <w:lang w:val="en-US" w:eastAsia="zh-CN"/>
              </w:rPr>
              <w:t xml:space="preserve">  </w:t>
            </w:r>
            <w:r>
              <w:rPr>
                <w:rFonts w:hint="eastAsia" w:ascii="黑体" w:hAnsi="黑体" w:eastAsia="黑体" w:cs="黑体"/>
                <w:b/>
                <w:bCs w:val="0"/>
                <w:color w:val="000000"/>
                <w:sz w:val="21"/>
                <w:szCs w:val="21"/>
              </w:rPr>
              <w:t>容</w:t>
            </w:r>
          </w:p>
        </w:tc>
        <w:tc>
          <w:tcPr>
            <w:tcW w:w="7344" w:type="dxa"/>
            <w:tcBorders>
              <w:bottom w:val="nil"/>
            </w:tcBorders>
            <w:noWrap w:val="0"/>
            <w:vAlign w:val="center"/>
          </w:tcPr>
          <w:p>
            <w:pPr>
              <w:spacing w:line="360" w:lineRule="auto"/>
              <w:jc w:val="center"/>
              <w:rPr>
                <w:rFonts w:hint="eastAsia" w:ascii="黑体" w:hAnsi="黑体" w:eastAsia="黑体" w:cs="黑体"/>
                <w:b/>
                <w:bCs w:val="0"/>
                <w:color w:val="000000"/>
                <w:sz w:val="21"/>
                <w:szCs w:val="21"/>
              </w:rPr>
            </w:pPr>
            <w:r>
              <w:rPr>
                <w:rFonts w:hint="eastAsia" w:ascii="黑体" w:hAnsi="黑体" w:eastAsia="黑体" w:cs="黑体"/>
                <w:b/>
                <w:bCs w:val="0"/>
                <w:color w:val="000000"/>
                <w:sz w:val="21"/>
                <w:szCs w:val="21"/>
              </w:rPr>
              <w:t>要</w:t>
            </w:r>
            <w:r>
              <w:rPr>
                <w:rFonts w:hint="eastAsia" w:ascii="黑体" w:hAnsi="黑体" w:eastAsia="黑体" w:cs="黑体"/>
                <w:b/>
                <w:bCs w:val="0"/>
                <w:color w:val="000000"/>
                <w:sz w:val="21"/>
                <w:szCs w:val="21"/>
                <w:lang w:val="en-US" w:eastAsia="zh-CN"/>
              </w:rPr>
              <w:t xml:space="preserve">  </w:t>
            </w:r>
            <w:r>
              <w:rPr>
                <w:rFonts w:hint="eastAsia" w:ascii="黑体" w:hAnsi="黑体" w:eastAsia="黑体" w:cs="黑体"/>
                <w:b/>
                <w:bCs w:val="0"/>
                <w:color w:val="000000"/>
                <w:sz w:val="21"/>
                <w:szCs w:val="21"/>
              </w:rPr>
              <w:t>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restart"/>
            <w:noWrap w:val="0"/>
            <w:vAlign w:val="center"/>
          </w:tcPr>
          <w:p>
            <w:pPr>
              <w:spacing w:line="360" w:lineRule="auto"/>
              <w:jc w:val="center"/>
              <w:rPr>
                <w:rFonts w:hint="eastAsia" w:ascii="宋体" w:hAnsi="宋体"/>
                <w:bCs/>
                <w:color w:val="000000"/>
                <w:sz w:val="21"/>
                <w:szCs w:val="21"/>
                <w:lang w:val="en-US" w:eastAsia="zh-CN"/>
              </w:rPr>
            </w:pPr>
            <w:r>
              <w:rPr>
                <w:rFonts w:hint="eastAsia" w:ascii="宋体" w:hAnsi="宋体"/>
                <w:bCs/>
                <w:color w:val="000000"/>
                <w:sz w:val="21"/>
                <w:szCs w:val="21"/>
                <w:lang w:val="en-US" w:eastAsia="zh-CN"/>
              </w:rPr>
              <w:t>月</w:t>
            </w:r>
          </w:p>
          <w:p>
            <w:pPr>
              <w:spacing w:line="360" w:lineRule="auto"/>
              <w:jc w:val="center"/>
              <w:rPr>
                <w:rFonts w:hint="eastAsia" w:ascii="宋体" w:hAnsi="宋体"/>
                <w:bCs/>
                <w:color w:val="000000"/>
                <w:sz w:val="21"/>
                <w:szCs w:val="21"/>
                <w:lang w:val="en-US" w:eastAsia="zh-CN"/>
              </w:rPr>
            </w:pPr>
          </w:p>
          <w:p>
            <w:pPr>
              <w:spacing w:line="360" w:lineRule="auto"/>
              <w:jc w:val="center"/>
              <w:rPr>
                <w:rFonts w:hint="eastAsia" w:ascii="宋体" w:hAnsi="宋体"/>
                <w:bCs/>
                <w:color w:val="000000"/>
                <w:sz w:val="21"/>
                <w:szCs w:val="21"/>
                <w:lang w:val="en-US" w:eastAsia="zh-CN"/>
              </w:rPr>
            </w:pPr>
            <w:r>
              <w:rPr>
                <w:rFonts w:hint="eastAsia" w:ascii="宋体" w:hAnsi="宋体"/>
                <w:bCs/>
                <w:color w:val="000000"/>
                <w:sz w:val="21"/>
                <w:szCs w:val="21"/>
                <w:lang w:val="en-US" w:eastAsia="zh-CN"/>
              </w:rPr>
              <w:t>度</w:t>
            </w:r>
          </w:p>
          <w:p>
            <w:pPr>
              <w:spacing w:line="360" w:lineRule="auto"/>
              <w:jc w:val="center"/>
              <w:rPr>
                <w:rFonts w:hint="eastAsia" w:ascii="宋体" w:hAnsi="宋体"/>
                <w:bCs/>
                <w:color w:val="000000"/>
                <w:sz w:val="21"/>
                <w:szCs w:val="21"/>
                <w:lang w:val="en-US" w:eastAsia="zh-CN"/>
              </w:rPr>
            </w:pPr>
          </w:p>
          <w:p>
            <w:pPr>
              <w:spacing w:line="360" w:lineRule="auto"/>
              <w:jc w:val="center"/>
              <w:rPr>
                <w:rFonts w:hint="eastAsia" w:ascii="宋体" w:hAnsi="宋体"/>
                <w:bCs/>
                <w:color w:val="000000"/>
                <w:sz w:val="21"/>
                <w:szCs w:val="21"/>
                <w:lang w:val="en-US" w:eastAsia="zh-CN"/>
              </w:rPr>
            </w:pPr>
            <w:r>
              <w:rPr>
                <w:rFonts w:hint="eastAsia" w:ascii="宋体" w:hAnsi="宋体"/>
                <w:bCs/>
                <w:color w:val="000000"/>
                <w:sz w:val="21"/>
                <w:szCs w:val="21"/>
                <w:lang w:val="en-US" w:eastAsia="zh-CN"/>
              </w:rPr>
              <w:t>维</w:t>
            </w:r>
          </w:p>
          <w:p>
            <w:pPr>
              <w:spacing w:line="360" w:lineRule="auto"/>
              <w:jc w:val="center"/>
              <w:rPr>
                <w:rFonts w:hint="eastAsia" w:ascii="宋体" w:hAnsi="宋体"/>
                <w:bCs/>
                <w:color w:val="000000"/>
                <w:sz w:val="21"/>
                <w:szCs w:val="21"/>
                <w:lang w:val="en-US" w:eastAsia="zh-CN"/>
              </w:rPr>
            </w:pPr>
          </w:p>
          <w:p>
            <w:pPr>
              <w:spacing w:line="360" w:lineRule="auto"/>
              <w:jc w:val="center"/>
              <w:rPr>
                <w:rFonts w:hint="default" w:ascii="宋体" w:hAnsi="宋体" w:eastAsia="宋体"/>
                <w:bCs/>
                <w:color w:val="000000"/>
                <w:sz w:val="21"/>
                <w:szCs w:val="21"/>
                <w:lang w:val="en-US" w:eastAsia="zh-CN"/>
              </w:rPr>
            </w:pPr>
            <w:r>
              <w:rPr>
                <w:rFonts w:hint="eastAsia" w:ascii="宋体" w:hAnsi="宋体"/>
                <w:bCs/>
                <w:color w:val="000000"/>
                <w:sz w:val="21"/>
                <w:szCs w:val="21"/>
                <w:lang w:val="en-US" w:eastAsia="zh-CN"/>
              </w:rPr>
              <w:t>保</w:t>
            </w:r>
          </w:p>
        </w:tc>
        <w:tc>
          <w:tcPr>
            <w:tcW w:w="7344"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向公司管理人员或操作人员了解电梯使用状况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检查微处理系统故障记录，排除可能存在的故障隐患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检查机房环境如清洁程度、温湿度、门窗、照明等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制动器各销轴部位润滑良好，动作灵活可靠,保持有足够的制动力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制动衬磨损不应大于原厚度1/3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制动器打开时,闸瓦与制动轮不应发生摩擦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控制柜内各元器件应整洁，无锈蚀，动作可靠，各仪表指示(显示)正确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检查曳引机和电动机应运行平稳、无异响、无振动、无异常温升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曳引机与电动机连轴器螺栓无松动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清洁检查限速器（销轴部位转动灵活），限速器轮槽清洁无油腻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限速器夹绳钳口无磨损，应有足够夹持力，限速绳清洁无油腻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减速箱内油量适宜，除蜗杆伸出端外均无渗漏，箱体内油温不宜高于85℃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检查钢丝绳绳头组合，无异常现象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候梯厅按钮齐全有效、显示正常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清扫地坎、上坎架及门板背面，清洁门锁触点并调整门板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层门自闭功能正常，用层门钥匙开锁释放后能自动复位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层门在开启和关闭时平稳无振动、无卡阻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厅外消防开关正常、有效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层门锁紧元件啮合深度不小于7mm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层门门头、地坎及各固定部位无松动，间隙尺寸符合要求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检查调整层门联锁机构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清扫轿顶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轿顶检修装置、紧急停止开关、安全钳开关及安全窗开关有效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轿门开关门机构清洁灵活、位置开关有效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导靴、油杯、吸油毛毡齐全，油量适宜，保证油质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上下极限开关、限位开关、强迫换速开关应工作正常有效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井道照明正常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安全钳钳座固定无松动，传动机构灵活，开关触点有效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安全钳楔块与导轨间隙均匀，动作一致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轿厢内照明装置齐全,风扇工作正常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轿厢内应急照明装置能正常工作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轿门的安全装置（安全触板、光电保护和光幕保护）有效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轿厢内按钮齐全有效、显示正确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警铃、通讯系统可靠有效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轿门在开启和关闭时平稳无振动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轿厢称量装置有效、准确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底坑清洁，无渗水、积水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耗能缓冲器油量适宜，柱塞无锈蚀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电梯运行舒适感良好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06" w:type="dxa"/>
            <w:vMerge w:val="continue"/>
            <w:noWrap w:val="0"/>
            <w:vAlign w:val="center"/>
          </w:tcPr>
          <w:p>
            <w:pPr>
              <w:spacing w:line="360" w:lineRule="auto"/>
              <w:jc w:val="center"/>
              <w:rPr>
                <w:rFonts w:hint="eastAsia" w:ascii="宋体" w:hAnsi="宋体"/>
                <w:bCs/>
                <w:color w:val="000000"/>
                <w:sz w:val="21"/>
                <w:szCs w:val="21"/>
              </w:rPr>
            </w:pPr>
          </w:p>
        </w:tc>
        <w:tc>
          <w:tcPr>
            <w:tcW w:w="734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电梯平层精度达到标准要求</w:t>
            </w:r>
          </w:p>
        </w:tc>
      </w:tr>
    </w:tbl>
    <w:p>
      <w:pPr>
        <w:spacing w:line="360" w:lineRule="auto"/>
        <w:jc w:val="center"/>
        <w:rPr>
          <w:rFonts w:ascii="黑体" w:eastAsia="黑体"/>
          <w:sz w:val="28"/>
        </w:rPr>
      </w:pPr>
    </w:p>
    <w:p>
      <w:pPr>
        <w:pStyle w:val="7"/>
        <w:numPr>
          <w:ilvl w:val="0"/>
          <w:numId w:val="0"/>
        </w:numPr>
        <w:spacing w:line="360" w:lineRule="auto"/>
        <w:rPr>
          <w:color w:val="000000"/>
          <w:sz w:val="28"/>
        </w:rPr>
      </w:pPr>
      <w:r>
        <w:rPr>
          <w:rFonts w:hint="eastAsia"/>
          <w:color w:val="000000"/>
          <w:sz w:val="28"/>
          <w:lang w:val="en-US" w:eastAsia="zh-CN"/>
        </w:rPr>
        <w:t>表3-</w:t>
      </w:r>
      <w:r>
        <w:rPr>
          <w:rFonts w:hint="eastAsia"/>
          <w:color w:val="000000"/>
          <w:sz w:val="28"/>
        </w:rPr>
        <w:t>季度维护保养</w:t>
      </w:r>
      <w:r>
        <w:rPr>
          <w:rFonts w:hint="eastAsia"/>
          <w:color w:val="000000"/>
          <w:sz w:val="28"/>
          <w:lang w:val="en-US" w:eastAsia="zh-CN"/>
        </w:rPr>
        <w:t>项目内容及</w:t>
      </w:r>
      <w:r>
        <w:rPr>
          <w:rFonts w:hint="eastAsia"/>
          <w:color w:val="000000"/>
          <w:sz w:val="28"/>
        </w:rPr>
        <w:t>要求</w:t>
      </w:r>
    </w:p>
    <w:tbl>
      <w:tblPr>
        <w:tblStyle w:val="4"/>
        <w:tblW w:w="8538" w:type="dxa"/>
        <w:tblInd w:w="-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7"/>
        <w:gridCol w:w="73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7" w:type="dxa"/>
            <w:noWrap w:val="0"/>
            <w:vAlign w:val="center"/>
          </w:tcPr>
          <w:p>
            <w:pPr>
              <w:spacing w:line="360" w:lineRule="auto"/>
              <w:jc w:val="center"/>
              <w:rPr>
                <w:rFonts w:hint="eastAsia" w:ascii="黑体" w:hAnsi="黑体" w:eastAsia="黑体" w:cs="黑体"/>
                <w:b/>
                <w:bCs w:val="0"/>
                <w:color w:val="000000"/>
                <w:sz w:val="21"/>
                <w:szCs w:val="21"/>
              </w:rPr>
            </w:pPr>
            <w:r>
              <w:rPr>
                <w:rFonts w:hint="eastAsia" w:ascii="黑体" w:hAnsi="黑体" w:eastAsia="黑体" w:cs="黑体"/>
                <w:b/>
                <w:bCs w:val="0"/>
                <w:color w:val="000000"/>
                <w:sz w:val="21"/>
                <w:szCs w:val="21"/>
              </w:rPr>
              <w:t>内</w:t>
            </w:r>
            <w:r>
              <w:rPr>
                <w:rFonts w:hint="eastAsia" w:ascii="黑体" w:hAnsi="黑体" w:eastAsia="黑体" w:cs="黑体"/>
                <w:b/>
                <w:bCs w:val="0"/>
                <w:color w:val="000000"/>
                <w:sz w:val="21"/>
                <w:szCs w:val="21"/>
                <w:lang w:val="en-US" w:eastAsia="zh-CN"/>
              </w:rPr>
              <w:t xml:space="preserve">  </w:t>
            </w:r>
            <w:r>
              <w:rPr>
                <w:rFonts w:hint="eastAsia" w:ascii="黑体" w:hAnsi="黑体" w:eastAsia="黑体" w:cs="黑体"/>
                <w:b/>
                <w:bCs w:val="0"/>
                <w:color w:val="000000"/>
                <w:sz w:val="21"/>
                <w:szCs w:val="21"/>
              </w:rPr>
              <w:t>容</w:t>
            </w:r>
          </w:p>
        </w:tc>
        <w:tc>
          <w:tcPr>
            <w:tcW w:w="7331" w:type="dxa"/>
            <w:tcBorders>
              <w:bottom w:val="nil"/>
            </w:tcBorders>
            <w:noWrap w:val="0"/>
            <w:vAlign w:val="center"/>
          </w:tcPr>
          <w:p>
            <w:pPr>
              <w:spacing w:line="360" w:lineRule="auto"/>
              <w:jc w:val="center"/>
              <w:rPr>
                <w:rFonts w:hint="eastAsia" w:ascii="黑体" w:hAnsi="黑体" w:eastAsia="黑体" w:cs="黑体"/>
                <w:b/>
                <w:bCs w:val="0"/>
                <w:color w:val="000000"/>
                <w:sz w:val="21"/>
                <w:szCs w:val="21"/>
              </w:rPr>
            </w:pPr>
            <w:r>
              <w:rPr>
                <w:rFonts w:hint="eastAsia" w:ascii="黑体" w:hAnsi="黑体" w:eastAsia="黑体" w:cs="黑体"/>
                <w:b/>
                <w:bCs w:val="0"/>
                <w:color w:val="000000"/>
                <w:sz w:val="21"/>
                <w:szCs w:val="21"/>
              </w:rPr>
              <w:t>要</w:t>
            </w:r>
            <w:r>
              <w:rPr>
                <w:rFonts w:hint="eastAsia" w:ascii="黑体" w:hAnsi="黑体" w:eastAsia="黑体" w:cs="黑体"/>
                <w:b/>
                <w:bCs w:val="0"/>
                <w:color w:val="000000"/>
                <w:sz w:val="21"/>
                <w:szCs w:val="21"/>
                <w:lang w:val="en-US" w:eastAsia="zh-CN"/>
              </w:rPr>
              <w:t xml:space="preserve">  </w:t>
            </w:r>
            <w:r>
              <w:rPr>
                <w:rFonts w:hint="eastAsia" w:ascii="黑体" w:hAnsi="黑体" w:eastAsia="黑体" w:cs="黑体"/>
                <w:b/>
                <w:bCs w:val="0"/>
                <w:color w:val="000000"/>
                <w:sz w:val="21"/>
                <w:szCs w:val="21"/>
              </w:rPr>
              <w:t>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restart"/>
            <w:noWrap w:val="0"/>
            <w:vAlign w:val="center"/>
          </w:tcPr>
          <w:p>
            <w:pPr>
              <w:spacing w:line="360" w:lineRule="auto"/>
              <w:jc w:val="center"/>
              <w:rPr>
                <w:rFonts w:hint="eastAsia" w:ascii="宋体" w:hAnsi="宋体"/>
                <w:bCs/>
                <w:color w:val="000000"/>
                <w:sz w:val="21"/>
                <w:szCs w:val="21"/>
                <w:lang w:val="en-US" w:eastAsia="zh-CN"/>
              </w:rPr>
            </w:pPr>
          </w:p>
          <w:p>
            <w:pPr>
              <w:spacing w:line="360" w:lineRule="auto"/>
              <w:jc w:val="center"/>
              <w:rPr>
                <w:rFonts w:hint="eastAsia" w:ascii="宋体" w:hAnsi="宋体"/>
                <w:bCs/>
                <w:color w:val="000000"/>
                <w:sz w:val="21"/>
                <w:szCs w:val="21"/>
                <w:lang w:val="en-US" w:eastAsia="zh-CN"/>
              </w:rPr>
            </w:pPr>
          </w:p>
          <w:p>
            <w:pPr>
              <w:spacing w:line="360" w:lineRule="auto"/>
              <w:jc w:val="center"/>
              <w:rPr>
                <w:rFonts w:hint="eastAsia" w:ascii="宋体" w:hAnsi="宋体"/>
                <w:bCs/>
                <w:color w:val="000000"/>
                <w:sz w:val="21"/>
                <w:szCs w:val="21"/>
                <w:lang w:val="en-US" w:eastAsia="zh-CN"/>
              </w:rPr>
            </w:pPr>
          </w:p>
          <w:p>
            <w:pPr>
              <w:spacing w:line="360" w:lineRule="auto"/>
              <w:jc w:val="center"/>
              <w:rPr>
                <w:rFonts w:hint="eastAsia" w:ascii="宋体" w:hAnsi="宋体"/>
                <w:bCs/>
                <w:color w:val="000000"/>
                <w:sz w:val="21"/>
                <w:szCs w:val="21"/>
                <w:lang w:val="en-US" w:eastAsia="zh-CN"/>
              </w:rPr>
            </w:pPr>
          </w:p>
          <w:p>
            <w:pPr>
              <w:spacing w:line="360" w:lineRule="auto"/>
              <w:jc w:val="center"/>
              <w:rPr>
                <w:rFonts w:hint="eastAsia" w:ascii="宋体" w:hAnsi="宋体"/>
                <w:bCs/>
                <w:color w:val="000000"/>
                <w:sz w:val="21"/>
                <w:szCs w:val="21"/>
                <w:lang w:val="en-US" w:eastAsia="zh-CN"/>
              </w:rPr>
            </w:pPr>
          </w:p>
          <w:p>
            <w:pPr>
              <w:spacing w:line="360" w:lineRule="auto"/>
              <w:jc w:val="center"/>
              <w:rPr>
                <w:rFonts w:hint="eastAsia" w:ascii="宋体" w:hAnsi="宋体"/>
                <w:bCs/>
                <w:color w:val="000000"/>
                <w:sz w:val="21"/>
                <w:szCs w:val="21"/>
                <w:lang w:val="en-US" w:eastAsia="zh-CN"/>
              </w:rPr>
            </w:pPr>
          </w:p>
          <w:p>
            <w:pPr>
              <w:spacing w:line="360" w:lineRule="auto"/>
              <w:jc w:val="center"/>
              <w:rPr>
                <w:rFonts w:hint="eastAsia" w:ascii="宋体" w:hAnsi="宋体"/>
                <w:bCs/>
                <w:color w:val="000000"/>
                <w:sz w:val="21"/>
                <w:szCs w:val="21"/>
                <w:lang w:val="en-US" w:eastAsia="zh-CN"/>
              </w:rPr>
            </w:pPr>
          </w:p>
          <w:p>
            <w:pPr>
              <w:spacing w:line="360" w:lineRule="auto"/>
              <w:jc w:val="center"/>
              <w:rPr>
                <w:rFonts w:hint="eastAsia" w:ascii="宋体" w:hAnsi="宋体"/>
                <w:bCs/>
                <w:color w:val="000000"/>
                <w:sz w:val="21"/>
                <w:szCs w:val="21"/>
                <w:lang w:val="en-US" w:eastAsia="zh-CN"/>
              </w:rPr>
            </w:pPr>
            <w:r>
              <w:rPr>
                <w:rFonts w:hint="eastAsia" w:ascii="宋体" w:hAnsi="宋体"/>
                <w:bCs/>
                <w:color w:val="000000"/>
                <w:sz w:val="21"/>
                <w:szCs w:val="21"/>
                <w:lang w:val="en-US" w:eastAsia="zh-CN"/>
              </w:rPr>
              <w:t>季</w:t>
            </w:r>
          </w:p>
          <w:p>
            <w:pPr>
              <w:spacing w:line="360" w:lineRule="auto"/>
              <w:jc w:val="center"/>
              <w:rPr>
                <w:rFonts w:hint="eastAsia" w:ascii="宋体" w:hAnsi="宋体"/>
                <w:bCs/>
                <w:color w:val="000000"/>
                <w:sz w:val="21"/>
                <w:szCs w:val="21"/>
                <w:lang w:val="en-US" w:eastAsia="zh-CN"/>
              </w:rPr>
            </w:pPr>
          </w:p>
          <w:p>
            <w:pPr>
              <w:spacing w:line="360" w:lineRule="auto"/>
              <w:jc w:val="center"/>
              <w:rPr>
                <w:rFonts w:hint="eastAsia" w:ascii="宋体" w:hAnsi="宋体"/>
                <w:bCs/>
                <w:color w:val="000000"/>
                <w:sz w:val="21"/>
                <w:szCs w:val="21"/>
                <w:lang w:val="en-US" w:eastAsia="zh-CN"/>
              </w:rPr>
            </w:pPr>
            <w:r>
              <w:rPr>
                <w:rFonts w:hint="eastAsia" w:ascii="宋体" w:hAnsi="宋体"/>
                <w:bCs/>
                <w:color w:val="000000"/>
                <w:sz w:val="21"/>
                <w:szCs w:val="21"/>
                <w:lang w:val="en-US" w:eastAsia="zh-CN"/>
              </w:rPr>
              <w:t>度</w:t>
            </w:r>
          </w:p>
          <w:p>
            <w:pPr>
              <w:spacing w:line="360" w:lineRule="auto"/>
              <w:jc w:val="center"/>
              <w:rPr>
                <w:rFonts w:hint="eastAsia" w:ascii="宋体" w:hAnsi="宋体"/>
                <w:bCs/>
                <w:color w:val="000000"/>
                <w:sz w:val="21"/>
                <w:szCs w:val="21"/>
                <w:lang w:val="en-US" w:eastAsia="zh-CN"/>
              </w:rPr>
            </w:pPr>
          </w:p>
          <w:p>
            <w:pPr>
              <w:spacing w:line="360" w:lineRule="auto"/>
              <w:jc w:val="center"/>
              <w:rPr>
                <w:rFonts w:hint="eastAsia" w:ascii="宋体" w:hAnsi="宋体"/>
                <w:bCs/>
                <w:color w:val="000000"/>
                <w:sz w:val="21"/>
                <w:szCs w:val="21"/>
                <w:lang w:val="en-US" w:eastAsia="zh-CN"/>
              </w:rPr>
            </w:pPr>
            <w:r>
              <w:rPr>
                <w:rFonts w:hint="eastAsia" w:ascii="宋体" w:hAnsi="宋体"/>
                <w:bCs/>
                <w:color w:val="000000"/>
                <w:sz w:val="21"/>
                <w:szCs w:val="21"/>
                <w:lang w:val="en-US" w:eastAsia="zh-CN"/>
              </w:rPr>
              <w:t>维</w:t>
            </w:r>
          </w:p>
          <w:p>
            <w:pPr>
              <w:spacing w:line="360" w:lineRule="auto"/>
              <w:jc w:val="center"/>
              <w:rPr>
                <w:rFonts w:hint="eastAsia" w:ascii="宋体" w:hAnsi="宋体"/>
                <w:bCs/>
                <w:color w:val="000000"/>
                <w:sz w:val="21"/>
                <w:szCs w:val="21"/>
                <w:lang w:val="en-US" w:eastAsia="zh-CN"/>
              </w:rPr>
            </w:pPr>
          </w:p>
          <w:p>
            <w:pPr>
              <w:spacing w:line="360" w:lineRule="auto"/>
              <w:jc w:val="center"/>
              <w:rPr>
                <w:rFonts w:hint="default" w:ascii="宋体" w:hAnsi="宋体" w:eastAsia="宋体"/>
                <w:bCs/>
                <w:color w:val="000000"/>
                <w:sz w:val="21"/>
                <w:szCs w:val="21"/>
                <w:lang w:val="en-US" w:eastAsia="zh-CN"/>
              </w:rPr>
            </w:pPr>
            <w:r>
              <w:rPr>
                <w:rFonts w:hint="eastAsia" w:ascii="宋体" w:hAnsi="宋体"/>
                <w:bCs/>
                <w:color w:val="000000"/>
                <w:sz w:val="21"/>
                <w:szCs w:val="21"/>
                <w:lang w:val="en-US" w:eastAsia="zh-CN"/>
              </w:rPr>
              <w:t>保</w:t>
            </w: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检查微处理系统故障记录，排除可能存在的故障隐患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检查机房环境如清洁程度、温湿度、门窗、照明等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制动器各销轴部位应润滑，动作灵活可靠,应保持有足够的制动力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制动衬磨损不应大于原厚度1/3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制动器打开时,闸瓦与制动轮不应发生摩擦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控制柜内各元器件应整洁，无锈蚀，动作可靠，各仪表指示(显示)正确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检查曳引机和电动机应运行平稳、无异响、无振动、无异常温升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曳引机与电动机连轴器螺栓无松动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曳引轮轮槽无变形,磨损不超标,轮槽无油腻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清洁检查限速器（销轴部位转动灵活），限速器轮槽清洁无油腻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限速器夹绳钳口无磨损，应有足够夹持力，限速绳清洁无油腻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上行超速保护装置的机械装置应动作灵活可靠，电气开关触点有效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减速箱内油量适宜，除蜗杆伸出端外均无渗漏，箱体内油温不宜高于85℃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检修速度下行安全钳功能试验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候梯厅按钮齐全有效、显示正常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清扫地坎、上坎架及门板背面，清洁门锁触点并调整门板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层门自闭功能正常，用层门钥匙开锁释放后能自动复位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层门在开启和关闭时平稳无振动、无卡阻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厅外消防开关有效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层门锁紧元件啮合深度不小于7mm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层门门头、地坎及各固定部位无松动，间隙尺寸符合要求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检查调整层门联锁机构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清扫轿顶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轿顶检修装置、紧急停止开关、安全钳开关及安全窗开关有效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轿门开关门机构清洁灵活、位置开关有效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直流门机碳刷及换向器工作正常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导靴、油杯、吸油毛毡齐全，油量适宜，保证油质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靴衬、滚轮无变形、脱落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曳引绳磨损、断丝未超标，无油腻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限速绳磨损、断丝未超标，无油腻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曳引绳张力均匀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曳引绳绳头组合螺母无松动，开口销齐全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井道内的电缆完好无损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上下极限开关、限位开关、强迫换速开关应工作正常有效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导轨支架、压导板固定无松动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井道照明装置正常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安全钳钳座固定无松动，传动机构灵活，开关触点有效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安全钳楔块与导轨间隙均匀，动作一致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轿厢内照明装置齐全,风扇工作正常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轿厢内应急照明装置能正常工作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轿门的安全装置（安全触板、光电保护和光幕保护）有效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轿厢内按钮齐全有效、显示正确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警铃、通讯系统可靠有效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轿门在开启和关闭时平稳无振动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轿厢称量装置有效、准确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底坑清洁，无渗水、积水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清洁轿厢导靴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缓冲器固定无松动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耗能缓冲器油量适宜，柱塞无锈蚀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缓冲器复位性能试验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对重距缓冲器距离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补偿绳磨损、断丝未超标，无油腻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电梯运行舒适感良好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电梯平层精度达到标准要求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rPr>
        <w:tc>
          <w:tcPr>
            <w:tcW w:w="1207"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应急平层装置有效</w:t>
            </w:r>
          </w:p>
        </w:tc>
      </w:tr>
    </w:tbl>
    <w:p>
      <w:pPr>
        <w:spacing w:line="360" w:lineRule="auto"/>
        <w:jc w:val="center"/>
        <w:rPr>
          <w:rFonts w:ascii="黑体" w:eastAsia="黑体"/>
          <w:sz w:val="28"/>
        </w:rPr>
      </w:pPr>
    </w:p>
    <w:p>
      <w:pPr>
        <w:pStyle w:val="7"/>
        <w:numPr>
          <w:ilvl w:val="0"/>
          <w:numId w:val="0"/>
        </w:numPr>
        <w:spacing w:line="360" w:lineRule="auto"/>
        <w:rPr>
          <w:color w:val="000000"/>
          <w:sz w:val="28"/>
        </w:rPr>
      </w:pPr>
      <w:r>
        <w:rPr>
          <w:rFonts w:hint="eastAsia"/>
          <w:color w:val="000000"/>
          <w:sz w:val="28"/>
          <w:lang w:val="en-US" w:eastAsia="zh-CN"/>
        </w:rPr>
        <w:t>表4-</w:t>
      </w:r>
      <w:r>
        <w:rPr>
          <w:rFonts w:hint="eastAsia"/>
          <w:color w:val="000000"/>
          <w:sz w:val="28"/>
        </w:rPr>
        <w:t>年度维护保养</w:t>
      </w:r>
      <w:r>
        <w:rPr>
          <w:rFonts w:hint="eastAsia"/>
          <w:color w:val="000000"/>
          <w:sz w:val="28"/>
          <w:lang w:val="en-US" w:eastAsia="zh-CN"/>
        </w:rPr>
        <w:t>项目及</w:t>
      </w:r>
      <w:r>
        <w:rPr>
          <w:rFonts w:hint="eastAsia"/>
          <w:color w:val="000000"/>
          <w:sz w:val="28"/>
        </w:rPr>
        <w:t>要求</w:t>
      </w:r>
    </w:p>
    <w:tbl>
      <w:tblPr>
        <w:tblStyle w:val="4"/>
        <w:tblW w:w="8487"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6"/>
        <w:gridCol w:w="73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156" w:type="dxa"/>
            <w:tcBorders>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内容</w:t>
            </w:r>
          </w:p>
        </w:tc>
        <w:tc>
          <w:tcPr>
            <w:tcW w:w="7331" w:type="dxa"/>
            <w:tcBorders>
              <w:left w:val="single" w:color="auto" w:sz="4" w:space="0"/>
              <w:bottom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要      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restart"/>
            <w:tcBorders>
              <w:top w:val="single" w:color="auto" w:sz="4" w:space="0"/>
            </w:tcBorders>
            <w:noWrap w:val="0"/>
            <w:vAlign w:val="center"/>
          </w:tcPr>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r>
              <w:rPr>
                <w:rFonts w:hint="eastAsia" w:ascii="宋体" w:hAnsi="宋体"/>
                <w:bCs/>
                <w:color w:val="000000"/>
                <w:sz w:val="21"/>
                <w:szCs w:val="21"/>
              </w:rPr>
              <w:t>年</w:t>
            </w: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r>
              <w:rPr>
                <w:rFonts w:hint="eastAsia" w:ascii="宋体" w:hAnsi="宋体"/>
                <w:bCs/>
                <w:color w:val="000000"/>
                <w:sz w:val="21"/>
                <w:szCs w:val="21"/>
              </w:rPr>
              <w:t>度</w:t>
            </w: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r>
              <w:rPr>
                <w:rFonts w:hint="eastAsia" w:ascii="宋体" w:hAnsi="宋体"/>
                <w:bCs/>
                <w:color w:val="000000"/>
                <w:sz w:val="21"/>
                <w:szCs w:val="21"/>
              </w:rPr>
              <w:t>维</w:t>
            </w: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r>
              <w:rPr>
                <w:rFonts w:hint="eastAsia" w:ascii="宋体" w:hAnsi="宋体"/>
                <w:bCs/>
                <w:color w:val="000000"/>
                <w:sz w:val="21"/>
                <w:szCs w:val="21"/>
              </w:rPr>
              <w:t>保</w:t>
            </w: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p>
            <w:pPr>
              <w:spacing w:line="360" w:lineRule="auto"/>
              <w:jc w:val="center"/>
              <w:rPr>
                <w:rFonts w:hint="eastAsia" w:ascii="宋体" w:hAnsi="宋体"/>
                <w:bCs/>
                <w:color w:val="000000"/>
                <w:sz w:val="21"/>
                <w:szCs w:val="21"/>
              </w:rPr>
            </w:pPr>
          </w:p>
        </w:tc>
        <w:tc>
          <w:tcPr>
            <w:tcW w:w="7331" w:type="dxa"/>
            <w:tcBorders>
              <w:top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向公司管理人员或操作人员了解电梯使用状况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检查微处理系统故障记录，排除可能存在的故障隐患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检查机房环境如清洁程度、温湿度、门窗、照明等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润滑制动器各销轴部、部件，使其动作灵活可靠,保持有足够的制动力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制动衬磨损不应大于原厚度的1/3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制动器打开时,闸瓦与制动轮不发生摩擦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清理制动器铁芯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控制柜内各元器件整洁，无锈蚀，动作可靠，各仪表指示（显示）正确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控制柜接线整齐,线号齐全清晰，各接线紧固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曳引机和电动机应运行平稳、无异响、无振动、无异常温升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曳引机与电动机连轴器螺栓无松动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曳引轮轮槽无变形,磨损不超标,轮槽无油腻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导向轮轴承无异常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清洁检查限速器，销轴部位转动灵活，限速器轮槽清洁无油腻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限速器夹绳钳口无磨损，应有足够夹持力，限速绳清洁无油腻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上行超速保护装置的机械装置应动作灵活可靠，电气开关触点有效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更换减速箱内齿轮油（按使用维护说明书）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减速箱内油量适宜，除蜗杆伸出端外均无渗漏，箱体内油温不宜高于85℃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检修速度下行安全钳功能试验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安全钳钳座固定无松动，传动机构灵活，开关触点有效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安全钳楔块与导轨间隙均匀，动作一致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nil"/>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候梯厅按钮齐全有效、显示正常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清扫地坎、上坎架及门板背面，清洁门锁触点并调整门板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层门自闭功能正常，用层门钥匙开锁释放后能自动复位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层门在开启和关闭时平稳无振动、无卡阻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厅外消防开关有效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层门锁紧元件啮合深度不小于7mm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层门门头、地坎及各固定部位无松动，间隙尺寸符合要求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检查调整层门联锁机构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清扫轿顶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轿顶检修装置、紧急停止开关、安全钳开关及安全窗开关有效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轿门开关门机构清洁灵活、位置开关有效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直流门机碳刷及换向器工作正常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导靴、油杯、吸油毛毡齐全，油量适宜，保证油质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靴衬、滚轮无变形、脱落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曳引绳磨损、断丝未超标，无油腻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限速绳磨损、断丝未超标，无油腻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曳引绳张力均匀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曳引绳绳头组合螺母无松动，开口销齐全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井道内的电缆完好无损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上下极限开关、限位开关、强迫换速开关应工作正常有效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导轨支架、压导板固定无松动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井道照明正常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随行电缆检查，应无损伤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轿厢内照明装置齐全,风扇工作正常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轿厢内应急照明装置能正常工作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轿门安全装置（安全触板、光电保护和光幕保护）有效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轿厢内按钮齐全有效、显示正确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警铃、通讯系统可靠有效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轿门在开启和关闭时平稳无振动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轿厢称量装置有效、准确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底坑清洁，无渗水、积水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清洁轿厢导靴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缓冲器固定无松动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耗能缓冲器油量适宜，柱塞无锈蚀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缓冲器复位性能试验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对重距缓冲器距离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补偿绳磨损、断丝未超标，无油腻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补偿链（绳）与轿厢、对重连接处固定无松动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电梯运行舒适感良好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电梯平层精度达到标准要求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应急平层装置有效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1156" w:type="dxa"/>
            <w:vMerge w:val="continue"/>
            <w:noWrap w:val="0"/>
            <w:vAlign w:val="center"/>
          </w:tcPr>
          <w:p>
            <w:pPr>
              <w:spacing w:line="360" w:lineRule="auto"/>
              <w:jc w:val="center"/>
              <w:rPr>
                <w:rFonts w:hint="eastAsia" w:ascii="宋体" w:hAnsi="宋体"/>
                <w:bCs/>
                <w:color w:val="000000"/>
                <w:sz w:val="21"/>
                <w:szCs w:val="21"/>
              </w:rPr>
            </w:pPr>
          </w:p>
        </w:tc>
        <w:tc>
          <w:tcPr>
            <w:tcW w:w="733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bCs/>
                <w:color w:val="000000"/>
                <w:sz w:val="21"/>
                <w:szCs w:val="21"/>
              </w:rPr>
            </w:pPr>
            <w:r>
              <w:rPr>
                <w:rFonts w:hint="eastAsia" w:ascii="宋体" w:hAnsi="宋体"/>
                <w:bCs/>
                <w:color w:val="000000"/>
                <w:sz w:val="21"/>
                <w:szCs w:val="21"/>
              </w:rPr>
              <w:t>消防联动功能试验</w:t>
            </w:r>
          </w:p>
        </w:tc>
      </w:tr>
    </w:tbl>
    <w:p>
      <w:pPr>
        <w:spacing w:line="560" w:lineRule="exact"/>
        <w:ind w:firstLine="640" w:firstLineChars="200"/>
        <w:jc w:val="both"/>
        <w:rPr>
          <w:rFonts w:hint="eastAsia" w:ascii="黑体" w:hAnsi="黑体" w:eastAsia="黑体" w:cs="黑体"/>
          <w:b w:val="0"/>
          <w:bCs/>
          <w:sz w:val="32"/>
          <w:szCs w:val="32"/>
        </w:rPr>
      </w:pPr>
      <w:r>
        <w:rPr>
          <w:rFonts w:hint="eastAsia" w:ascii="黑体" w:hAnsi="黑体" w:eastAsia="黑体" w:cs="黑体"/>
          <w:b w:val="0"/>
          <w:bCs/>
          <w:sz w:val="32"/>
          <w:szCs w:val="32"/>
        </w:rPr>
        <w:t>三、维护保养技术要求</w:t>
      </w:r>
    </w:p>
    <w:p>
      <w:pPr>
        <w:spacing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3.1  设备维护及消缺要求</w:t>
      </w:r>
    </w:p>
    <w:p>
      <w:pPr>
        <w:spacing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3.1.1中标人参与投标时应提交项目年度维护工作计划。</w:t>
      </w:r>
    </w:p>
    <w:p>
      <w:pPr>
        <w:spacing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3.1.2中标人应在合同签订后15自然日内提供项目范围内电梯维保实施方案，并报招标人审批。</w:t>
      </w:r>
    </w:p>
    <w:p>
      <w:pPr>
        <w:spacing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3.1.2中标人需自备维护作业中需要用到的物料与工、器具，即包工包料，但涉及安全的零部件必须有质量保证书、合格证等证明材料，且在更换前需由招标人确认后方可使用。</w:t>
      </w:r>
    </w:p>
    <w:p>
      <w:pPr>
        <w:spacing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3.1.3中标人在接到故障通知后，应当在1小时内抵达现场进行处理。故障处理须按照招标人故障处理的具体要求及流程执行，并在故障处理完成后3个工作日内提交故障处理报告。</w:t>
      </w:r>
    </w:p>
    <w:p>
      <w:pPr>
        <w:spacing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3.1.4中标人维护中发现设备存在缺陷或安全隐患时，应在1个小时内通知招标人。</w:t>
      </w:r>
    </w:p>
    <w:p>
      <w:pPr>
        <w:spacing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3.2  </w:t>
      </w:r>
      <w:bookmarkStart w:id="2" w:name="OLE_LINK3"/>
      <w:r>
        <w:rPr>
          <w:rFonts w:hint="eastAsia" w:ascii="仿宋_GB2312" w:hAnsi="仿宋_GB2312" w:eastAsia="仿宋_GB2312" w:cs="仿宋_GB2312"/>
          <w:sz w:val="32"/>
          <w:szCs w:val="32"/>
          <w:lang w:val="en-US" w:eastAsia="zh-CN"/>
        </w:rPr>
        <w:t>中标人需提交的过程资料</w:t>
      </w:r>
      <w:bookmarkEnd w:id="2"/>
    </w:p>
    <w:p>
      <w:pPr>
        <w:spacing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3.2.1中标人必须对项目实施的方案、技术资料、设备缺陷等说明文档和验收文档等资料进行整理，形成纸质台帐和电子台帐。</w:t>
      </w:r>
    </w:p>
    <w:p>
      <w:pPr>
        <w:spacing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3.2.2中标人必须在每次工作结束后及全部工作结束后向买方提交规范、合格的项目维护记录。</w:t>
      </w:r>
    </w:p>
    <w:p>
      <w:pPr>
        <w:spacing w:line="56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3.2.3日常维护保养：中标人需准时到现场进行维护保养工作，每次维保结束后当日内向招标人提供书面报告。报告必须招标人和中标人双方代表签字方能认可。</w:t>
      </w:r>
    </w:p>
    <w:p>
      <w:pPr>
        <w:spacing w:line="560" w:lineRule="exact"/>
        <w:ind w:firstLine="640" w:firstLineChars="200"/>
        <w:jc w:val="both"/>
        <w:rPr>
          <w:rFonts w:hint="eastAsia" w:ascii="黑体" w:hAnsi="黑体" w:eastAsia="黑体" w:cs="黑体"/>
          <w:b w:val="0"/>
          <w:bCs/>
          <w:sz w:val="32"/>
          <w:szCs w:val="32"/>
        </w:rPr>
      </w:pPr>
      <w:r>
        <w:rPr>
          <w:rFonts w:hint="eastAsia" w:ascii="黑体" w:hAnsi="黑体" w:eastAsia="黑体" w:cs="黑体"/>
          <w:b w:val="0"/>
          <w:bCs/>
          <w:sz w:val="32"/>
          <w:szCs w:val="32"/>
        </w:rPr>
        <w:t>四、项目服务团队要求</w:t>
      </w:r>
    </w:p>
    <w:p>
      <w:pPr>
        <w:spacing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4.1  </w:t>
      </w:r>
      <w:r>
        <w:rPr>
          <w:rFonts w:hint="eastAsia" w:ascii="仿宋_GB2312" w:hAnsi="仿宋_GB2312" w:eastAsia="仿宋_GB2312" w:cs="仿宋_GB2312"/>
          <w:sz w:val="32"/>
          <w:szCs w:val="32"/>
          <w:lang w:val="en-US" w:eastAsia="zh-CN"/>
        </w:rPr>
        <w:t>所有工作必须由中标人具有电梯修理相关特种作业人员证的人员进行。</w:t>
      </w:r>
    </w:p>
    <w:p>
      <w:pPr>
        <w:spacing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4.2  每次维保现场作业人员不得少于两人。</w:t>
      </w:r>
    </w:p>
    <w:p>
      <w:pPr>
        <w:spacing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4.3  </w:t>
      </w:r>
      <w:r>
        <w:rPr>
          <w:rFonts w:hint="eastAsia" w:ascii="仿宋_GB2312" w:hAnsi="仿宋_GB2312" w:eastAsia="仿宋_GB2312" w:cs="仿宋_GB2312"/>
          <w:sz w:val="32"/>
          <w:szCs w:val="32"/>
          <w:lang w:val="en-US" w:eastAsia="zh-CN"/>
        </w:rPr>
        <w:t>对于</w:t>
      </w:r>
      <w:r>
        <w:rPr>
          <w:rFonts w:hint="eastAsia" w:ascii="仿宋_GB2312" w:hAnsi="仿宋_GB2312" w:eastAsia="仿宋_GB2312" w:cs="仿宋_GB2312"/>
          <w:sz w:val="32"/>
          <w:szCs w:val="32"/>
          <w:lang w:val="en-US" w:eastAsia="zh-CN"/>
        </w:rPr>
        <w:t>季</w:t>
      </w:r>
      <w:r>
        <w:rPr>
          <w:rFonts w:hint="eastAsia" w:ascii="仿宋_GB2312" w:hAnsi="仿宋_GB2312" w:eastAsia="仿宋_GB2312" w:cs="仿宋_GB2312"/>
          <w:sz w:val="32"/>
          <w:szCs w:val="32"/>
          <w:lang w:val="en-US" w:eastAsia="zh-CN"/>
        </w:rPr>
        <w:t>度、</w:t>
      </w:r>
      <w:r>
        <w:rPr>
          <w:rFonts w:hint="eastAsia" w:ascii="仿宋_GB2312" w:hAnsi="仿宋_GB2312" w:eastAsia="仿宋_GB2312" w:cs="仿宋_GB2312"/>
          <w:sz w:val="32"/>
          <w:szCs w:val="32"/>
          <w:lang w:val="en-US" w:eastAsia="zh-CN"/>
        </w:rPr>
        <w:t>年度维护</w:t>
      </w:r>
      <w:r>
        <w:rPr>
          <w:rFonts w:hint="eastAsia" w:ascii="仿宋_GB2312" w:hAnsi="仿宋_GB2312" w:eastAsia="仿宋_GB2312" w:cs="仿宋_GB2312"/>
          <w:sz w:val="32"/>
          <w:szCs w:val="32"/>
          <w:lang w:val="en-US" w:eastAsia="zh-CN"/>
        </w:rPr>
        <w:t>保养</w:t>
      </w:r>
      <w:r>
        <w:rPr>
          <w:rFonts w:hint="eastAsia" w:ascii="仿宋_GB2312" w:hAnsi="仿宋_GB2312" w:eastAsia="仿宋_GB2312" w:cs="仿宋_GB2312"/>
          <w:sz w:val="32"/>
          <w:szCs w:val="32"/>
          <w:lang w:val="en-US" w:eastAsia="zh-CN"/>
        </w:rPr>
        <w:t>工作</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中标人必须派本公司项目负责人到现场进行。</w:t>
      </w:r>
    </w:p>
    <w:p>
      <w:pPr>
        <w:spacing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4.4  进场作业前</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需接受招标人组织的安全教育培训，并通过安规考试方能取得现场作业资格。</w:t>
      </w:r>
    </w:p>
    <w:p>
      <w:pPr>
        <w:spacing w:line="560" w:lineRule="exact"/>
        <w:ind w:firstLine="640" w:firstLineChars="200"/>
        <w:jc w:val="both"/>
        <w:rPr>
          <w:rFonts w:hint="eastAsia" w:ascii="黑体" w:hAnsi="黑体" w:eastAsia="黑体" w:cs="黑体"/>
          <w:b w:val="0"/>
          <w:bCs/>
          <w:sz w:val="32"/>
          <w:szCs w:val="32"/>
        </w:rPr>
      </w:pPr>
      <w:r>
        <w:rPr>
          <w:rFonts w:hint="eastAsia" w:ascii="黑体" w:hAnsi="黑体" w:eastAsia="黑体" w:cs="黑体"/>
          <w:b w:val="0"/>
          <w:bCs/>
          <w:sz w:val="32"/>
          <w:szCs w:val="32"/>
        </w:rPr>
        <w:t>五、验收要求</w:t>
      </w:r>
    </w:p>
    <w:p>
      <w:pPr>
        <w:spacing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5.1</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val="en-US" w:eastAsia="zh-CN"/>
        </w:rPr>
        <w:t>本项目工作按照《中华人民共和国特种设备安全法》、国务院第549号令特种设备安全监察条例、《电梯自行检测规则》（TSG T7008-2023）《电梯监督检验和定期检验规则》（TSG T7001-2023）《电梯、自动扶梯和自动人行道维修规范（GB/T 18775）》《电梯制造与安装安全规范（GB 7588）》的最新版本以及项目所在省市有关电梯的强制性规定为验收标准。</w:t>
      </w:r>
    </w:p>
    <w:p>
      <w:pPr>
        <w:spacing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5.2</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val="en-US" w:eastAsia="zh-CN"/>
        </w:rPr>
        <w:t>按照“3.</w:t>
      </w:r>
      <w:r>
        <w:rPr>
          <w:rFonts w:hint="eastAsia" w:ascii="仿宋_GB2312" w:hAnsi="仿宋_GB2312" w:eastAsia="仿宋_GB2312" w:cs="仿宋_GB2312"/>
          <w:sz w:val="32"/>
          <w:szCs w:val="32"/>
          <w:lang w:val="en-US" w:eastAsia="zh-CN"/>
        </w:rPr>
        <w:t>2中标人需提交的过程资料</w:t>
      </w:r>
      <w:r>
        <w:rPr>
          <w:rFonts w:hint="eastAsia" w:ascii="仿宋_GB2312" w:hAnsi="仿宋_GB2312" w:eastAsia="仿宋_GB2312" w:cs="仿宋_GB2312"/>
          <w:sz w:val="32"/>
          <w:szCs w:val="32"/>
          <w:lang w:val="en-US" w:eastAsia="zh-CN"/>
        </w:rPr>
        <w:t>”要求</w:t>
      </w:r>
      <w:r>
        <w:rPr>
          <w:rFonts w:hint="eastAsia" w:ascii="仿宋_GB2312" w:hAnsi="仿宋_GB2312" w:eastAsia="仿宋_GB2312" w:cs="仿宋_GB2312"/>
          <w:sz w:val="32"/>
          <w:szCs w:val="32"/>
          <w:lang w:val="en-US" w:eastAsia="zh-CN"/>
        </w:rPr>
        <w:t>，按时、完整</w:t>
      </w:r>
      <w:r>
        <w:rPr>
          <w:rFonts w:hint="eastAsia" w:ascii="仿宋_GB2312" w:hAnsi="仿宋_GB2312" w:eastAsia="仿宋_GB2312" w:cs="仿宋_GB2312"/>
          <w:sz w:val="32"/>
          <w:szCs w:val="32"/>
          <w:lang w:val="en-US" w:eastAsia="zh-CN"/>
        </w:rPr>
        <w:t>提交相关资料。</w:t>
      </w:r>
    </w:p>
    <w:p>
      <w:pPr>
        <w:numPr>
          <w:ilvl w:val="-1"/>
          <w:numId w:val="0"/>
        </w:numPr>
        <w:spacing w:line="560" w:lineRule="exact"/>
        <w:ind w:firstLine="640" w:firstLineChars="200"/>
        <w:jc w:val="both"/>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t>六、</w:t>
      </w:r>
      <w:r>
        <w:rPr>
          <w:rFonts w:hint="eastAsia" w:ascii="黑体" w:hAnsi="黑体" w:eastAsia="黑体" w:cs="黑体"/>
          <w:b w:val="0"/>
          <w:bCs/>
          <w:sz w:val="32"/>
          <w:szCs w:val="32"/>
        </w:rPr>
        <w:t>项目进度或工期要求</w:t>
      </w:r>
    </w:p>
    <w:p>
      <w:pPr>
        <w:spacing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6.1</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val="en-US" w:eastAsia="zh-CN"/>
        </w:rPr>
        <w:t>半月保养须在当月1日-15日间完成。</w:t>
      </w:r>
    </w:p>
    <w:p>
      <w:pPr>
        <w:spacing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6.2</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val="en-US" w:eastAsia="zh-CN"/>
        </w:rPr>
        <w:t>月度保养可以与半月保养同时开展，但须在当月15日-月底之间完成，季度、年度以此类推。</w:t>
      </w:r>
    </w:p>
    <w:p>
      <w:pPr>
        <w:numPr>
          <w:ilvl w:val="-1"/>
          <w:numId w:val="0"/>
        </w:numPr>
        <w:spacing w:line="560" w:lineRule="exact"/>
        <w:ind w:leftChars="0" w:firstLine="640" w:firstLineChars="200"/>
        <w:jc w:val="both"/>
        <w:rPr>
          <w:rFonts w:hint="eastAsia" w:ascii="宋体"/>
          <w:color w:val="auto"/>
          <w:sz w:val="32"/>
          <w:szCs w:val="32"/>
        </w:rPr>
      </w:pPr>
      <w:r>
        <w:rPr>
          <w:rFonts w:hint="eastAsia" w:ascii="仿宋_GB2312" w:hAnsi="仿宋_GB2312" w:eastAsia="仿宋_GB2312" w:cs="仿宋_GB2312"/>
          <w:sz w:val="32"/>
          <w:szCs w:val="32"/>
          <w:lang w:val="en-US" w:eastAsia="zh-CN"/>
        </w:rPr>
        <w:t>6.3</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val="en-US" w:eastAsia="zh-CN"/>
        </w:rPr>
        <w:t>提供24小时应急响应电话，发生紧急情况应在1小时内到达现场，应急故障处理应在24小时内解决。</w:t>
      </w:r>
    </w:p>
    <w:p>
      <w:pPr>
        <w:widowControl/>
        <w:numPr>
          <w:ilvl w:val="-1"/>
          <w:numId w:val="0"/>
        </w:numPr>
        <w:adjustRightInd/>
        <w:snapToGrid/>
        <w:spacing w:line="560" w:lineRule="exact"/>
        <w:ind w:firstLine="640" w:firstLineChars="200"/>
        <w:jc w:val="both"/>
        <w:rPr>
          <w:rFonts w:hint="eastAsia" w:ascii="黑体" w:hAnsi="黑体" w:eastAsia="黑体" w:cs="黑体"/>
          <w:b w:val="0"/>
          <w:bCs/>
          <w:color w:val="auto"/>
          <w:sz w:val="32"/>
          <w:szCs w:val="32"/>
        </w:rPr>
      </w:pPr>
      <w:r>
        <w:rPr>
          <w:rFonts w:hint="eastAsia" w:ascii="黑体" w:hAnsi="黑体" w:eastAsia="黑体" w:cs="黑体"/>
          <w:b w:val="0"/>
          <w:bCs/>
          <w:sz w:val="32"/>
          <w:szCs w:val="32"/>
          <w:lang w:val="en-US" w:eastAsia="zh-CN"/>
        </w:rPr>
        <w:t>七、</w:t>
      </w:r>
      <w:r>
        <w:rPr>
          <w:rFonts w:hint="eastAsia" w:ascii="黑体" w:hAnsi="黑体" w:eastAsia="黑体" w:cs="黑体"/>
          <w:b w:val="0"/>
          <w:bCs/>
          <w:color w:val="auto"/>
          <w:sz w:val="32"/>
          <w:szCs w:val="32"/>
        </w:rPr>
        <w:t>其他要求</w:t>
      </w:r>
    </w:p>
    <w:p>
      <w:pPr>
        <w:spacing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7.1</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val="en-US" w:eastAsia="zh-CN"/>
        </w:rPr>
        <w:t>维保过程中必须严格按照招标人要求的承包商安全管理规定执行，接受招标人安全管理人员的建议和指导,并接受招标人安监部门的检查、监督及处理，保证工程质量的同时，做到文明施工。如出现因中标人人为原因造成人身伤亡、设备损失等安全事故，由中标人承担全部责任。</w:t>
      </w:r>
    </w:p>
    <w:p>
      <w:pPr>
        <w:spacing w:line="560" w:lineRule="exact"/>
        <w:ind w:firstLine="640" w:firstLineChars="200"/>
        <w:jc w:val="both"/>
        <w:rPr>
          <w:rFonts w:hint="eastAsia" w:ascii="仿宋_GB2312" w:hAnsi="仿宋_GB2312" w:eastAsia="仿宋_GB2312" w:cs="仿宋_GB2312"/>
          <w:sz w:val="32"/>
          <w:szCs w:val="32"/>
          <w:lang w:val="en-US" w:eastAsia="zh-CN"/>
        </w:rPr>
      </w:pPr>
      <w:bookmarkStart w:id="3" w:name="_Toc163525830"/>
      <w:r>
        <w:rPr>
          <w:rFonts w:hint="eastAsia" w:ascii="仿宋_GB2312" w:hAnsi="仿宋_GB2312" w:eastAsia="仿宋_GB2312" w:cs="仿宋_GB2312"/>
          <w:sz w:val="32"/>
          <w:szCs w:val="32"/>
          <w:lang w:val="en-US" w:eastAsia="zh-CN"/>
        </w:rPr>
        <w:t>7.2</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val="en-US" w:eastAsia="zh-CN"/>
        </w:rPr>
        <w:t>中标人所提供货物的设计、制造、产品性能、材料的选择和材料的检验及产品的测试等，都应按国内外通行的现行标准和相应的技术规范执行。而这些标准和技术规范应为合同签字日为止最新公布发行的标准和技术规范。</w:t>
      </w:r>
      <w:bookmarkEnd w:id="3"/>
    </w:p>
    <w:p>
      <w:pPr>
        <w:spacing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7.3</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val="en-US" w:eastAsia="zh-CN"/>
        </w:rPr>
        <w:t>中标人免费为招标人人员提电梯相关技术咨询与培训。</w:t>
      </w:r>
    </w:p>
    <w:p>
      <w:pPr>
        <w:spacing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7.4</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val="en-US" w:eastAsia="zh-CN"/>
        </w:rPr>
        <w:t>中标人报价中包维保期内全部电梯的年检费用,中标人负责与质监部门配合,确保全部电梯的年审合格。</w:t>
      </w:r>
    </w:p>
    <w:p>
      <w:pPr>
        <w:spacing w:line="560" w:lineRule="exact"/>
        <w:ind w:firstLine="960" w:firstLineChars="300"/>
        <w:rPr>
          <w:rFonts w:hint="default"/>
          <w:lang w:val="en-US" w:eastAsia="zh-CN"/>
        </w:rPr>
      </w:pPr>
      <w:r>
        <w:rPr>
          <w:rFonts w:hint="eastAsia" w:ascii="仿宋_GB2312" w:hAnsi="仿宋_GB2312" w:eastAsia="仿宋_GB2312" w:cs="仿宋_GB2312"/>
          <w:sz w:val="32"/>
          <w:szCs w:val="32"/>
          <w:lang w:val="en-US" w:eastAsia="zh-CN"/>
        </w:rPr>
        <w:t>7.5  为保障电梯乘客在乘客出现紧急情况时能够得到及时解决，维保方需提供电梯困人、突发停电、发生火灾、发生地震、发生漏水等情况下的应急预案。</w:t>
      </w: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方正小标宋_GBK">
    <w:panose1 w:val="03000509000000000000"/>
    <w:charset w:val="86"/>
    <w:family w:val="auto"/>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46260FA"/>
    <w:multiLevelType w:val="multilevel"/>
    <w:tmpl w:val="646260FA"/>
    <w:lvl w:ilvl="0" w:tentative="0">
      <w:start w:val="1"/>
      <w:numFmt w:val="decimal"/>
      <w:pStyle w:val="7"/>
      <w:suff w:val="nothing"/>
      <w:lvlText w:val="表%1　"/>
      <w:lvlJc w:val="left"/>
      <w:pPr>
        <w:ind w:left="0" w:firstLine="0"/>
      </w:pPr>
      <w:rPr>
        <w:rFonts w:hint="eastAsia" w:ascii="黑体" w:hAnsi="Times New Roman" w:eastAsia="黑体"/>
        <w:b w:val="0"/>
        <w:i w:val="0"/>
        <w:sz w:val="21"/>
        <w:lang w:val="en-US"/>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AD45B0"/>
    <w:rsid w:val="00C34A7A"/>
    <w:rsid w:val="04144D41"/>
    <w:rsid w:val="049D76C3"/>
    <w:rsid w:val="0A237C8A"/>
    <w:rsid w:val="0AA1709B"/>
    <w:rsid w:val="0AB35937"/>
    <w:rsid w:val="0BAD45B0"/>
    <w:rsid w:val="0C46551C"/>
    <w:rsid w:val="14E36AD2"/>
    <w:rsid w:val="165C0B3C"/>
    <w:rsid w:val="1BCE454E"/>
    <w:rsid w:val="206802C6"/>
    <w:rsid w:val="223F7F0F"/>
    <w:rsid w:val="23BB4A6C"/>
    <w:rsid w:val="2A403E1A"/>
    <w:rsid w:val="2BE912BD"/>
    <w:rsid w:val="3BCE0D7F"/>
    <w:rsid w:val="3D4B5AFD"/>
    <w:rsid w:val="43770669"/>
    <w:rsid w:val="47B13483"/>
    <w:rsid w:val="497524EA"/>
    <w:rsid w:val="50A64DA5"/>
    <w:rsid w:val="55951B43"/>
    <w:rsid w:val="657A1FF1"/>
    <w:rsid w:val="66515BBF"/>
    <w:rsid w:val="67067539"/>
    <w:rsid w:val="674B1DEA"/>
    <w:rsid w:val="6A260A78"/>
    <w:rsid w:val="6AB75263"/>
    <w:rsid w:val="6D775F5D"/>
    <w:rsid w:val="71F70331"/>
    <w:rsid w:val="7CE33D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sz w:val="24"/>
    </w:rPr>
  </w:style>
  <w:style w:type="paragraph" w:styleId="3">
    <w:name w:val="Title"/>
    <w:basedOn w:val="1"/>
    <w:next w:val="2"/>
    <w:qFormat/>
    <w:uiPriority w:val="0"/>
    <w:pPr>
      <w:spacing w:before="240" w:beforeLines="0" w:after="60" w:afterLines="0"/>
      <w:jc w:val="center"/>
      <w:outlineLvl w:val="0"/>
    </w:pPr>
    <w:rPr>
      <w:rFonts w:ascii="Cambria" w:hAnsi="Cambria"/>
      <w:b/>
      <w:bCs/>
      <w:kern w:val="0"/>
      <w:sz w:val="32"/>
      <w:szCs w:val="32"/>
    </w:rPr>
  </w:style>
  <w:style w:type="paragraph" w:customStyle="1" w:styleId="6">
    <w:name w:val="列出段落1"/>
    <w:basedOn w:val="1"/>
    <w:qFormat/>
    <w:uiPriority w:val="34"/>
    <w:pPr>
      <w:ind w:firstLine="420" w:firstLineChars="200"/>
    </w:pPr>
    <w:rPr>
      <w:rFonts w:ascii="Times New Roman" w:hAnsi="Times New Roman"/>
      <w:szCs w:val="24"/>
    </w:rPr>
  </w:style>
  <w:style w:type="paragraph" w:customStyle="1" w:styleId="7">
    <w:name w:val="正文表标题"/>
    <w:next w:val="1"/>
    <w:qFormat/>
    <w:uiPriority w:val="0"/>
    <w:pPr>
      <w:numPr>
        <w:ilvl w:val="0"/>
        <w:numId w:val="1"/>
      </w:numPr>
      <w:jc w:val="center"/>
    </w:pPr>
    <w:rPr>
      <w:rFonts w:ascii="黑体" w:hAnsi="Times New Roman" w:eastAsia="黑体" w:cs="Times New Roman"/>
      <w:sz w:val="21"/>
      <w:lang w:val="en-US" w:eastAsia="zh-CN" w:bidi="ar-SA"/>
    </w:rPr>
  </w:style>
  <w:style w:type="paragraph" w:customStyle="1" w:styleId="8">
    <w:name w:val="标准书脚_偶数页"/>
    <w:qFormat/>
    <w:uiPriority w:val="0"/>
    <w:pPr>
      <w:spacing w:before="120"/>
    </w:pPr>
    <w:rPr>
      <w:rFonts w:ascii="Times New Roman" w:hAnsi="Times New Roman" w:eastAsia="宋体" w:cs="Times New Roman"/>
      <w:sz w:val="18"/>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4</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2024-05-23T08:25:00Z</dcterms:created>
  <dc:creator>陶洋</dc:creator>
  <cp:lastModifiedBy>李乘羽</cp:lastModifiedBy>
  <dcterms:modified xsi:type="dcterms:W3CDTF">2026-09-20T10:18:36Z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2EF13E469E994CBF824C59A620B28ADE</vt:lpwstr>
  </property>
</Properties>
</file>