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after="312" w:afterLines="100" w:line="360" w:lineRule="auto"/>
        <w:jc w:val="center"/>
        <w:rPr>
          <w:rFonts w:hint="eastAsia" w:ascii="宋体" w:hAnsi="宋体" w:eastAsia="宋体"/>
          <w:b/>
          <w:bCs/>
          <w:kern w:val="0"/>
          <w:sz w:val="36"/>
          <w:szCs w:val="36"/>
          <w:lang w:eastAsia="zh-CN"/>
        </w:rPr>
      </w:pPr>
      <w:r>
        <w:rPr>
          <w:rFonts w:hint="eastAsia" w:ascii="宋体" w:hAnsi="宋体"/>
          <w:b/>
          <w:bCs/>
          <w:kern w:val="0"/>
          <w:sz w:val="36"/>
          <w:szCs w:val="36"/>
        </w:rPr>
        <w:t>承包商安全协议</w:t>
      </w:r>
      <w:r>
        <w:rPr>
          <w:rFonts w:hint="eastAsia" w:ascii="宋体" w:hAnsi="宋体"/>
          <w:b/>
          <w:bCs/>
          <w:kern w:val="0"/>
          <w:sz w:val="36"/>
          <w:szCs w:val="36"/>
          <w:lang w:eastAsia="zh-CN"/>
        </w:rPr>
        <w:t>（</w:t>
      </w:r>
      <w:r>
        <w:rPr>
          <w:rFonts w:hint="eastAsia" w:ascii="宋体" w:hAnsi="宋体"/>
          <w:b/>
          <w:bCs/>
          <w:kern w:val="0"/>
          <w:sz w:val="36"/>
          <w:szCs w:val="36"/>
          <w:lang w:val="en-US" w:eastAsia="zh-CN"/>
        </w:rPr>
        <w:t>模板</w:t>
      </w:r>
      <w:r>
        <w:rPr>
          <w:rFonts w:hint="eastAsia" w:ascii="宋体" w:hAnsi="宋体"/>
          <w:b/>
          <w:bCs/>
          <w:kern w:val="0"/>
          <w:sz w:val="36"/>
          <w:szCs w:val="36"/>
          <w:lang w:eastAsia="zh-CN"/>
        </w:rPr>
        <w:t>）</w:t>
      </w:r>
    </w:p>
    <w:p>
      <w:pPr>
        <w:spacing w:line="470" w:lineRule="exact"/>
        <w:ind w:firstLine="480" w:firstLineChars="200"/>
        <w:rPr>
          <w:sz w:val="24"/>
        </w:rPr>
      </w:pPr>
      <w:r>
        <w:rPr>
          <w:rFonts w:hint="eastAsia"/>
          <w:sz w:val="24"/>
        </w:rPr>
        <w:t>项目名称：</w:t>
      </w:r>
    </w:p>
    <w:p>
      <w:pPr>
        <w:spacing w:line="470" w:lineRule="exact"/>
        <w:ind w:firstLine="480" w:firstLineChars="200"/>
        <w:rPr>
          <w:sz w:val="24"/>
        </w:rPr>
      </w:pPr>
      <w:r>
        <w:rPr>
          <w:rFonts w:hint="eastAsia"/>
          <w:sz w:val="24"/>
        </w:rPr>
        <w:t>甲方：</w:t>
      </w:r>
    </w:p>
    <w:p>
      <w:pPr>
        <w:spacing w:line="470" w:lineRule="exact"/>
        <w:ind w:firstLine="480" w:firstLineChars="200"/>
        <w:rPr>
          <w:rFonts w:hint="eastAsia" w:ascii="Times New Roman" w:hAnsi="Times New Roman" w:eastAsia="宋体" w:cs="Times New Roman"/>
          <w:sz w:val="24"/>
          <w:u w:val="single"/>
        </w:rPr>
      </w:pPr>
      <w:r>
        <w:rPr>
          <w:rFonts w:hint="eastAsia"/>
          <w:sz w:val="24"/>
        </w:rPr>
        <w:t>乙方：</w:t>
      </w:r>
    </w:p>
    <w:p>
      <w:pPr>
        <w:spacing w:line="470" w:lineRule="exact"/>
        <w:ind w:firstLine="480" w:firstLineChars="200"/>
        <w:rPr>
          <w:sz w:val="24"/>
        </w:rPr>
      </w:pPr>
      <w:r>
        <w:rPr>
          <w:rFonts w:hint="eastAsia"/>
          <w:sz w:val="24"/>
        </w:rPr>
        <w:t>为进一步明确双方的安全管理责任，确保施工中人身、设备的安全，根据《中华人民共和国安全生产法》《建设工程安全生产管理条例》</w:t>
      </w:r>
      <w:r>
        <w:rPr>
          <w:rFonts w:hint="eastAsia"/>
          <w:sz w:val="24"/>
          <w:lang w:val="en-US" w:eastAsia="zh-CN"/>
        </w:rPr>
        <w:t>《中国南方电网有限责任公司承包商管理业务指导书》</w:t>
      </w:r>
      <w:r>
        <w:rPr>
          <w:rFonts w:hint="eastAsia"/>
          <w:sz w:val="24"/>
        </w:rPr>
        <w:t>及有关政策的相关规定，按照“安全第一、预防为主、综合治理”的方针，经甲乙双方协商同意并达成如下协议，本协议作为合同的附件，具有同等的法律效力。</w:t>
      </w:r>
    </w:p>
    <w:p>
      <w:pPr>
        <w:spacing w:line="470" w:lineRule="exact"/>
        <w:ind w:firstLine="482" w:firstLineChars="200"/>
        <w:rPr>
          <w:b/>
          <w:sz w:val="24"/>
        </w:rPr>
      </w:pPr>
      <w:r>
        <w:rPr>
          <w:rFonts w:hint="eastAsia"/>
          <w:b/>
          <w:sz w:val="24"/>
        </w:rPr>
        <w:t>第一条</w:t>
      </w:r>
      <w:r>
        <w:rPr>
          <w:rFonts w:hint="eastAsia"/>
          <w:b/>
          <w:sz w:val="24"/>
          <w:lang w:val="en-US" w:eastAsia="zh-CN"/>
        </w:rPr>
        <w:t xml:space="preserve"> </w:t>
      </w:r>
      <w:r>
        <w:rPr>
          <w:rFonts w:hint="eastAsia"/>
          <w:b/>
          <w:sz w:val="24"/>
        </w:rPr>
        <w:t>甲方安全责任</w:t>
      </w:r>
    </w:p>
    <w:p>
      <w:pPr>
        <w:spacing w:line="470" w:lineRule="exact"/>
        <w:ind w:firstLine="480" w:firstLineChars="200"/>
        <w:rPr>
          <w:sz w:val="24"/>
        </w:rPr>
      </w:pPr>
      <w:r>
        <w:rPr>
          <w:rFonts w:hint="eastAsia"/>
          <w:sz w:val="24"/>
        </w:rPr>
        <w:t>1、甲方不得对乙方提出不符合安全生产法律、法规和强制性标准规定的要求。</w:t>
      </w:r>
    </w:p>
    <w:p>
      <w:pPr>
        <w:spacing w:line="470" w:lineRule="exact"/>
        <w:ind w:firstLine="480" w:firstLineChars="200"/>
        <w:rPr>
          <w:sz w:val="24"/>
        </w:rPr>
      </w:pPr>
      <w:r>
        <w:rPr>
          <w:rFonts w:hint="eastAsia"/>
          <w:sz w:val="24"/>
        </w:rPr>
        <w:t>2、甲方应按合同支付建设工程安全文明施工措施费用。</w:t>
      </w:r>
    </w:p>
    <w:p>
      <w:pPr>
        <w:spacing w:line="470" w:lineRule="exact"/>
        <w:ind w:firstLine="480" w:firstLineChars="200"/>
        <w:rPr>
          <w:sz w:val="24"/>
        </w:rPr>
      </w:pPr>
      <w:r>
        <w:rPr>
          <w:rFonts w:hint="eastAsia"/>
          <w:sz w:val="24"/>
        </w:rPr>
        <w:t>3、甲方不得明示或者暗示乙方购买、租赁、使用不符合安全施工要求的安全防护用具、机械设备、施工机具及配件、消防设施和器材。</w:t>
      </w:r>
    </w:p>
    <w:p>
      <w:pPr>
        <w:spacing w:line="470" w:lineRule="exact"/>
        <w:ind w:firstLine="480" w:firstLineChars="200"/>
        <w:rPr>
          <w:sz w:val="24"/>
        </w:rPr>
      </w:pPr>
      <w:r>
        <w:rPr>
          <w:rFonts w:hint="eastAsia"/>
          <w:sz w:val="24"/>
        </w:rPr>
        <w:t>4、甲方在开工前，应对乙方项目负责人、工程技术人员和安全管理人员进行项目全面交底，并经双方相关人员当面签字确认。其中包括项目主要和重大风险辨识和应急预案等内容。</w:t>
      </w:r>
    </w:p>
    <w:p>
      <w:pPr>
        <w:spacing w:line="470" w:lineRule="exact"/>
        <w:ind w:firstLine="480" w:firstLineChars="200"/>
        <w:rPr>
          <w:sz w:val="24"/>
        </w:rPr>
      </w:pPr>
      <w:r>
        <w:rPr>
          <w:rFonts w:hint="eastAsia"/>
          <w:sz w:val="24"/>
        </w:rPr>
        <w:t>5、甲方在乙方进场前，应对乙方项目负责人、工程技术人员和安全管理人员等进行安全教育培训，考试合格方可进场。</w:t>
      </w:r>
    </w:p>
    <w:p>
      <w:pPr>
        <w:spacing w:line="470" w:lineRule="exact"/>
        <w:ind w:firstLine="480" w:firstLineChars="200"/>
        <w:rPr>
          <w:sz w:val="24"/>
        </w:rPr>
      </w:pPr>
      <w:r>
        <w:rPr>
          <w:rFonts w:hint="eastAsia"/>
          <w:sz w:val="24"/>
          <w:lang w:val="en-US" w:eastAsia="zh-CN"/>
        </w:rPr>
        <w:t>6</w:t>
      </w:r>
      <w:r>
        <w:rPr>
          <w:rFonts w:hint="eastAsia"/>
          <w:sz w:val="24"/>
        </w:rPr>
        <w:t>、负责施工合同中规定的由甲方承担的其他安全生产责任。</w:t>
      </w:r>
    </w:p>
    <w:p>
      <w:pPr>
        <w:spacing w:line="470" w:lineRule="exact"/>
        <w:ind w:firstLine="482" w:firstLineChars="200"/>
        <w:rPr>
          <w:b/>
          <w:sz w:val="24"/>
        </w:rPr>
      </w:pPr>
      <w:r>
        <w:rPr>
          <w:rFonts w:hint="eastAsia"/>
          <w:b/>
          <w:sz w:val="24"/>
        </w:rPr>
        <w:t>第二条</w:t>
      </w:r>
      <w:r>
        <w:rPr>
          <w:rFonts w:hint="eastAsia"/>
          <w:b/>
          <w:sz w:val="24"/>
          <w:lang w:val="en-US" w:eastAsia="zh-CN"/>
        </w:rPr>
        <w:t xml:space="preserve"> </w:t>
      </w:r>
      <w:r>
        <w:rPr>
          <w:rFonts w:hint="eastAsia"/>
          <w:b/>
          <w:sz w:val="24"/>
        </w:rPr>
        <w:t>乙方安全责任</w:t>
      </w:r>
    </w:p>
    <w:p>
      <w:pPr>
        <w:spacing w:line="470" w:lineRule="exact"/>
        <w:ind w:firstLine="480" w:firstLineChars="200"/>
        <w:rPr>
          <w:sz w:val="24"/>
        </w:rPr>
      </w:pPr>
      <w:r>
        <w:rPr>
          <w:rFonts w:hint="eastAsia"/>
          <w:sz w:val="24"/>
        </w:rPr>
        <w:t>1、乙方应严格遵守国家相关安全管理法律、法规及甲方相关安全管理规章制度，切实做好安全生产。</w:t>
      </w:r>
    </w:p>
    <w:p>
      <w:pPr>
        <w:spacing w:line="470" w:lineRule="exact"/>
        <w:ind w:firstLine="480" w:firstLineChars="200"/>
        <w:rPr>
          <w:sz w:val="24"/>
        </w:rPr>
      </w:pPr>
      <w:r>
        <w:rPr>
          <w:rFonts w:hint="eastAsia"/>
          <w:sz w:val="24"/>
        </w:rPr>
        <w:t>2、工程实行乙方施工总承包的，由乙方对施工现场的安全生产负总责，乙方不能因为工程分包而转移其安全生产责任，除合同约定外，所有工程分包须经过甲方同意。</w:t>
      </w:r>
    </w:p>
    <w:p>
      <w:pPr>
        <w:spacing w:line="470" w:lineRule="exact"/>
        <w:ind w:firstLine="480" w:firstLineChars="200"/>
        <w:rPr>
          <w:sz w:val="24"/>
        </w:rPr>
      </w:pPr>
      <w:r>
        <w:rPr>
          <w:rFonts w:hint="eastAsia"/>
          <w:sz w:val="24"/>
        </w:rPr>
        <w:t>3、乙方应当建立健全安全生产责任制，制定各项安全生产规章制度和操作规程。</w:t>
      </w:r>
    </w:p>
    <w:p>
      <w:pPr>
        <w:spacing w:line="470" w:lineRule="exact"/>
        <w:ind w:firstLine="480" w:firstLineChars="200"/>
        <w:rPr>
          <w:sz w:val="24"/>
        </w:rPr>
      </w:pPr>
      <w:r>
        <w:rPr>
          <w:rFonts w:hint="eastAsia"/>
          <w:sz w:val="24"/>
          <w:lang w:val="en-US" w:eastAsia="zh-CN"/>
        </w:rPr>
        <w:t>4</w:t>
      </w:r>
      <w:r>
        <w:rPr>
          <w:rFonts w:hint="eastAsia"/>
          <w:sz w:val="24"/>
        </w:rPr>
        <w:t>、乙方应当设立安全管理机构，并按照国家相关法规要求配备专（兼）职安全员，须在开工前将项目安全负责人、专（兼）安全员名单以书面方式通知甲方，并附资格证书的复印件。</w:t>
      </w:r>
    </w:p>
    <w:p>
      <w:pPr>
        <w:spacing w:line="470" w:lineRule="exact"/>
        <w:ind w:firstLine="480" w:firstLineChars="200"/>
        <w:rPr>
          <w:sz w:val="24"/>
        </w:rPr>
      </w:pPr>
      <w:r>
        <w:rPr>
          <w:rFonts w:hint="eastAsia"/>
          <w:sz w:val="24"/>
          <w:lang w:val="en-US" w:eastAsia="zh-CN"/>
        </w:rPr>
        <w:t>5</w:t>
      </w:r>
      <w:r>
        <w:rPr>
          <w:rFonts w:hint="eastAsia"/>
          <w:sz w:val="24"/>
        </w:rPr>
        <w:t>、乙方应当保证本单位安全生产条件所需资金的投入，对所承担的建设工程进行安全检查并做好记录。</w:t>
      </w:r>
    </w:p>
    <w:p>
      <w:pPr>
        <w:spacing w:line="470" w:lineRule="exact"/>
        <w:ind w:firstLine="480" w:firstLineChars="200"/>
        <w:rPr>
          <w:sz w:val="24"/>
        </w:rPr>
      </w:pPr>
      <w:r>
        <w:rPr>
          <w:rFonts w:hint="eastAsia"/>
          <w:sz w:val="24"/>
          <w:lang w:val="en-US" w:eastAsia="zh-CN"/>
        </w:rPr>
        <w:t>6</w:t>
      </w:r>
      <w:r>
        <w:rPr>
          <w:rFonts w:hint="eastAsia"/>
          <w:sz w:val="24"/>
        </w:rPr>
        <w:t>、乙方的项目负责人应当由取得相应执业资格的人员担任，对建设工程项目的安全施工负责，落实安全生产责任制度、安全生产规章制度和操作规程，确保安全生产费用的有效使用，并根据工程的特点组织制定安全施工措施，消除安全事故隐患，按照国家、地方及甲方有关安全生产事故事件报告处理的规定及时、如实报告生产安全事故事件。</w:t>
      </w:r>
    </w:p>
    <w:p>
      <w:pPr>
        <w:spacing w:line="470" w:lineRule="exact"/>
        <w:ind w:firstLine="480" w:firstLineChars="200"/>
        <w:rPr>
          <w:sz w:val="24"/>
        </w:rPr>
      </w:pPr>
      <w:r>
        <w:rPr>
          <w:rFonts w:hint="eastAsia"/>
          <w:sz w:val="24"/>
          <w:lang w:val="en-US" w:eastAsia="zh-CN"/>
        </w:rPr>
        <w:t>7</w:t>
      </w:r>
      <w:r>
        <w:rPr>
          <w:rFonts w:hint="eastAsia"/>
          <w:sz w:val="24"/>
        </w:rPr>
        <w:t>、乙方对安全文明施工措施费用，应当按以下范围使用，不得挪作他用。</w:t>
      </w:r>
    </w:p>
    <w:p>
      <w:pPr>
        <w:spacing w:line="470" w:lineRule="exact"/>
        <w:ind w:firstLine="480" w:firstLineChars="200"/>
        <w:rPr>
          <w:sz w:val="24"/>
        </w:rPr>
      </w:pPr>
      <w:r>
        <w:rPr>
          <w:rFonts w:hint="eastAsia"/>
          <w:sz w:val="24"/>
        </w:rPr>
        <w:t>（1）完善、改造和维护安全防护设施设备支出（不含“三同时”要求初期投入的安全设施），包括施工现场临时用电系统、洞口、高处作业防护、防火、防尘、通风、临时安全防护等设施设备支出；</w:t>
      </w:r>
      <w:r>
        <w:rPr>
          <w:rFonts w:hint="eastAsia"/>
          <w:sz w:val="24"/>
        </w:rPr>
        <w:br w:type="textWrapping"/>
      </w:r>
      <w:r>
        <w:rPr>
          <w:rFonts w:hint="eastAsia"/>
          <w:sz w:val="24"/>
        </w:rPr>
        <w:t>　　（2）配备、维护、保养应急救援器材、设备支出和应急演练支出；</w:t>
      </w:r>
      <w:r>
        <w:rPr>
          <w:rFonts w:hint="eastAsia"/>
          <w:sz w:val="24"/>
        </w:rPr>
        <w:br w:type="textWrapping"/>
      </w:r>
      <w:r>
        <w:rPr>
          <w:rFonts w:hint="eastAsia"/>
          <w:sz w:val="24"/>
        </w:rPr>
        <w:t>　　（3）开展重大危险源和事故隐患评估、监控和整改支出；</w:t>
      </w:r>
      <w:r>
        <w:rPr>
          <w:rFonts w:hint="eastAsia"/>
          <w:sz w:val="24"/>
        </w:rPr>
        <w:br w:type="textWrapping"/>
      </w:r>
      <w:r>
        <w:rPr>
          <w:rFonts w:hint="eastAsia"/>
          <w:sz w:val="24"/>
        </w:rPr>
        <w:t>　　（4）安全生产检查、评价、咨询和标准化建设支出；</w:t>
      </w:r>
      <w:r>
        <w:rPr>
          <w:rFonts w:hint="eastAsia"/>
          <w:sz w:val="24"/>
        </w:rPr>
        <w:br w:type="textWrapping"/>
      </w:r>
      <w:r>
        <w:rPr>
          <w:rFonts w:hint="eastAsia"/>
          <w:sz w:val="24"/>
        </w:rPr>
        <w:t>　　（5）配备和更新现场作业人员安全防护用品支出；</w:t>
      </w:r>
      <w:r>
        <w:rPr>
          <w:rFonts w:hint="eastAsia"/>
          <w:sz w:val="24"/>
        </w:rPr>
        <w:br w:type="textWrapping"/>
      </w:r>
      <w:r>
        <w:rPr>
          <w:rFonts w:hint="eastAsia"/>
          <w:sz w:val="24"/>
        </w:rPr>
        <w:t>　　（6）安全生产宣传、教育、培训支出；</w:t>
      </w:r>
      <w:r>
        <w:rPr>
          <w:rFonts w:hint="eastAsia"/>
          <w:sz w:val="24"/>
        </w:rPr>
        <w:br w:type="textWrapping"/>
      </w:r>
      <w:r>
        <w:rPr>
          <w:rFonts w:hint="eastAsia"/>
          <w:sz w:val="24"/>
        </w:rPr>
        <w:t>　　（7）安全生产适用的新技术、新标准、新工艺、新装备的推广应用支出；</w:t>
      </w:r>
      <w:r>
        <w:rPr>
          <w:rFonts w:hint="eastAsia"/>
          <w:sz w:val="24"/>
        </w:rPr>
        <w:br w:type="textWrapping"/>
      </w:r>
      <w:r>
        <w:rPr>
          <w:rFonts w:hint="eastAsia"/>
          <w:sz w:val="24"/>
        </w:rPr>
        <w:t>　　（8）安全设施及特种设备检测检验支出；</w:t>
      </w:r>
      <w:r>
        <w:rPr>
          <w:rFonts w:hint="eastAsia"/>
          <w:sz w:val="24"/>
        </w:rPr>
        <w:br w:type="textWrapping"/>
      </w:r>
      <w:r>
        <w:rPr>
          <w:rFonts w:hint="eastAsia"/>
          <w:sz w:val="24"/>
        </w:rPr>
        <w:t>　　（9）其他与安全生产直接相关的支出。</w:t>
      </w:r>
    </w:p>
    <w:p>
      <w:pPr>
        <w:spacing w:line="470" w:lineRule="exact"/>
        <w:ind w:firstLine="480" w:firstLineChars="200"/>
        <w:rPr>
          <w:sz w:val="24"/>
        </w:rPr>
      </w:pPr>
      <w:r>
        <w:rPr>
          <w:rFonts w:hint="eastAsia"/>
          <w:sz w:val="24"/>
          <w:lang w:val="en-US" w:eastAsia="zh-CN"/>
        </w:rPr>
        <w:t>8</w:t>
      </w:r>
      <w:r>
        <w:rPr>
          <w:rFonts w:hint="eastAsia"/>
          <w:sz w:val="24"/>
        </w:rPr>
        <w:t>、安装拆卸人员、登高架设作业人员等特种作业人员，必须按照国家有关规定经过专门的安全作业培训，并取得特种作业操作资格证书，特种作业人员的操作资格证书应报监理（无监理时报业主）审核后，方可上岗作业。</w:t>
      </w:r>
    </w:p>
    <w:p>
      <w:pPr>
        <w:spacing w:line="470" w:lineRule="exact"/>
        <w:ind w:firstLine="480" w:firstLineChars="200"/>
        <w:rPr>
          <w:sz w:val="24"/>
        </w:rPr>
      </w:pPr>
      <w:r>
        <w:rPr>
          <w:rFonts w:hint="eastAsia"/>
          <w:sz w:val="24"/>
          <w:lang w:val="en-US" w:eastAsia="zh-CN"/>
        </w:rPr>
        <w:t>9</w:t>
      </w:r>
      <w:r>
        <w:rPr>
          <w:rFonts w:hint="eastAsia"/>
          <w:sz w:val="24"/>
        </w:rPr>
        <w:t>、乙方应当在施工组织设计中编制安全技术措施和施工现场临时用电方案，对危险性较大的分部分项工程编制专项施工方案，并附具安全验算结果，经过乙方技术负责人审核，在开工前5个工作日报总监理工程师（无监理时报业主）审批后实施，由专职安全生产管理人员进行现场监督</w:t>
      </w:r>
      <w:r>
        <w:rPr>
          <w:rFonts w:hint="eastAsia"/>
          <w:sz w:val="24"/>
          <w:lang w:eastAsia="zh-CN"/>
        </w:rPr>
        <w:t>。</w:t>
      </w:r>
    </w:p>
    <w:p>
      <w:pPr>
        <w:spacing w:line="470" w:lineRule="exact"/>
        <w:ind w:firstLine="480" w:firstLineChars="200"/>
        <w:rPr>
          <w:sz w:val="24"/>
        </w:rPr>
      </w:pPr>
      <w:r>
        <w:rPr>
          <w:rFonts w:hint="eastAsia"/>
          <w:sz w:val="24"/>
        </w:rPr>
        <w:t>1</w:t>
      </w:r>
      <w:r>
        <w:rPr>
          <w:rFonts w:hint="eastAsia"/>
          <w:sz w:val="24"/>
          <w:lang w:val="en-US" w:eastAsia="zh-CN"/>
        </w:rPr>
        <w:t>0</w:t>
      </w:r>
      <w:r>
        <w:rPr>
          <w:rFonts w:hint="eastAsia"/>
          <w:sz w:val="24"/>
        </w:rPr>
        <w:t>、工程施工前，乙方应做好风险分析，布置相应的安全措施，并填写安全施工作业票。乙方负责项目管理的技术人员对有关安全施工的技术要求向施工作业班组、作业人员作出详细说明，并由双方签字确认。每日施工前，通过“班前会”对作业人员交待安全措施和注意事项</w:t>
      </w:r>
      <w:r>
        <w:rPr>
          <w:rFonts w:hint="eastAsia"/>
          <w:sz w:val="24"/>
          <w:highlight w:val="none"/>
          <w:lang w:eastAsia="zh-CN"/>
        </w:rPr>
        <w:t>，</w:t>
      </w:r>
      <w:r>
        <w:rPr>
          <w:rFonts w:hint="eastAsia"/>
          <w:sz w:val="24"/>
        </w:rPr>
        <w:t>人员出入现场精神状态检查。</w:t>
      </w:r>
    </w:p>
    <w:p>
      <w:pPr>
        <w:spacing w:line="470" w:lineRule="exact"/>
        <w:ind w:firstLine="480" w:firstLineChars="200"/>
        <w:rPr>
          <w:sz w:val="24"/>
        </w:rPr>
      </w:pPr>
      <w:r>
        <w:rPr>
          <w:rFonts w:hint="eastAsia"/>
          <w:sz w:val="24"/>
        </w:rPr>
        <w:t>1</w:t>
      </w:r>
      <w:r>
        <w:rPr>
          <w:rFonts w:hint="eastAsia"/>
          <w:sz w:val="24"/>
          <w:lang w:val="en-US" w:eastAsia="zh-CN"/>
        </w:rPr>
        <w:t>1、</w:t>
      </w:r>
      <w:r>
        <w:rPr>
          <w:rFonts w:hint="eastAsia"/>
          <w:sz w:val="24"/>
        </w:rPr>
        <w:t>乙方应当在施工现场入口处、临时用电设施、出入通道口、楼梯口、电梯井口、孔洞口等危险部位，设置明显的安全警示标志。安全警示标志应符合南方电网安健环标准。</w:t>
      </w:r>
    </w:p>
    <w:p>
      <w:pPr>
        <w:spacing w:line="470" w:lineRule="exact"/>
        <w:ind w:firstLine="480" w:firstLineChars="200"/>
        <w:rPr>
          <w:sz w:val="24"/>
        </w:rPr>
      </w:pPr>
      <w:r>
        <w:rPr>
          <w:rFonts w:hint="eastAsia"/>
          <w:sz w:val="24"/>
        </w:rPr>
        <w:t>1</w:t>
      </w:r>
      <w:r>
        <w:rPr>
          <w:rFonts w:hint="eastAsia"/>
          <w:sz w:val="24"/>
          <w:lang w:val="en-US" w:eastAsia="zh-CN"/>
        </w:rPr>
        <w:t>2</w:t>
      </w:r>
      <w:r>
        <w:rPr>
          <w:rFonts w:hint="eastAsia"/>
          <w:sz w:val="24"/>
        </w:rPr>
        <w:t>、乙方应当根据不同施工阶段和周围环境及季节、气候的变化，在施工现场采取相应的安全施工措施。施工现场暂时停止施工的，乙方应当做好现场防护。</w:t>
      </w:r>
    </w:p>
    <w:p>
      <w:pPr>
        <w:spacing w:line="470" w:lineRule="exact"/>
        <w:ind w:firstLine="480" w:firstLineChars="200"/>
        <w:rPr>
          <w:sz w:val="24"/>
        </w:rPr>
      </w:pPr>
      <w:r>
        <w:rPr>
          <w:rFonts w:hint="eastAsia"/>
          <w:sz w:val="24"/>
        </w:rPr>
        <w:t>1</w:t>
      </w:r>
      <w:r>
        <w:rPr>
          <w:rFonts w:hint="eastAsia"/>
          <w:sz w:val="24"/>
          <w:lang w:val="en-US" w:eastAsia="zh-CN"/>
        </w:rPr>
        <w:t>3</w:t>
      </w:r>
      <w:r>
        <w:rPr>
          <w:rFonts w:hint="eastAsia"/>
          <w:sz w:val="24"/>
        </w:rPr>
        <w:t>、乙方应当遵守有关环境保护法律、法规的规定，在施工现场采取措施，防止或者减少粉尘、固体废物和施工照明对人和环境的危害和污染。</w:t>
      </w:r>
    </w:p>
    <w:p>
      <w:pPr>
        <w:spacing w:line="470" w:lineRule="exact"/>
        <w:ind w:firstLine="480" w:firstLineChars="200"/>
        <w:rPr>
          <w:sz w:val="24"/>
        </w:rPr>
      </w:pPr>
      <w:r>
        <w:rPr>
          <w:rFonts w:hint="eastAsia"/>
          <w:sz w:val="24"/>
        </w:rPr>
        <w:t>1</w:t>
      </w:r>
      <w:r>
        <w:rPr>
          <w:rFonts w:hint="eastAsia"/>
          <w:sz w:val="24"/>
          <w:lang w:val="en-US" w:eastAsia="zh-CN"/>
        </w:rPr>
        <w:t>4</w:t>
      </w:r>
      <w:r>
        <w:rPr>
          <w:rFonts w:hint="eastAsia"/>
          <w:sz w:val="24"/>
        </w:rPr>
        <w:t>、乙方应当在施工现场建立消防安全责任制度，确定消防安全责任人，制定用火、用电等各项消防安全管理制度和操作规程，配备消防设施和灭火器材，并定期检查维护。</w:t>
      </w:r>
    </w:p>
    <w:p>
      <w:pPr>
        <w:spacing w:line="470" w:lineRule="exact"/>
        <w:ind w:firstLine="480" w:firstLineChars="200"/>
        <w:rPr>
          <w:rFonts w:hint="eastAsia"/>
          <w:sz w:val="24"/>
        </w:rPr>
      </w:pPr>
      <w:r>
        <w:rPr>
          <w:rFonts w:hint="eastAsia"/>
          <w:sz w:val="24"/>
          <w:lang w:val="en-US" w:eastAsia="zh-CN"/>
        </w:rPr>
        <w:t>15</w:t>
      </w:r>
      <w:r>
        <w:rPr>
          <w:rFonts w:hint="eastAsia"/>
          <w:sz w:val="24"/>
        </w:rPr>
        <w:t>、乙方应当向作业人员提供合格的安全防护用品，并书面告知危险岗位的操作规程和违章操作的危害。乙方应监督作业人员遵守安全施工的强制性标准、规章制度和操作规程，正确使用安全防护用具。</w:t>
      </w:r>
    </w:p>
    <w:p>
      <w:pPr>
        <w:spacing w:line="470" w:lineRule="exact"/>
        <w:ind w:firstLine="480" w:firstLineChars="200"/>
        <w:rPr>
          <w:rFonts w:hint="eastAsia"/>
          <w:sz w:val="24"/>
          <w:lang w:eastAsia="zh-CN"/>
        </w:rPr>
      </w:pPr>
      <w:r>
        <w:rPr>
          <w:rFonts w:hint="eastAsia"/>
          <w:sz w:val="24"/>
          <w:lang w:val="en-US" w:eastAsia="zh-CN"/>
        </w:rPr>
        <w:t>16</w:t>
      </w:r>
      <w:r>
        <w:rPr>
          <w:rFonts w:hint="eastAsia"/>
          <w:sz w:val="24"/>
        </w:rPr>
        <w:t>、乙方应</w:t>
      </w:r>
      <w:r>
        <w:rPr>
          <w:rFonts w:hint="eastAsia"/>
          <w:sz w:val="24"/>
          <w:lang w:eastAsia="zh-CN"/>
        </w:rPr>
        <w:t>为</w:t>
      </w:r>
      <w:r>
        <w:rPr>
          <w:rFonts w:hint="eastAsia"/>
          <w:sz w:val="24"/>
        </w:rPr>
        <w:t>作业人员</w:t>
      </w:r>
      <w:r>
        <w:rPr>
          <w:rFonts w:hint="eastAsia"/>
          <w:sz w:val="24"/>
          <w:lang w:eastAsia="zh-CN"/>
        </w:rPr>
        <w:t>购买意外伤害保险。</w:t>
      </w:r>
    </w:p>
    <w:p>
      <w:pPr>
        <w:spacing w:line="470" w:lineRule="exact"/>
        <w:ind w:firstLine="480" w:firstLineChars="200"/>
        <w:rPr>
          <w:rFonts w:hint="eastAsia"/>
          <w:sz w:val="24"/>
        </w:rPr>
      </w:pPr>
      <w:r>
        <w:rPr>
          <w:rFonts w:hint="eastAsia"/>
          <w:sz w:val="24"/>
          <w:lang w:val="en-US" w:eastAsia="zh-CN"/>
        </w:rPr>
        <w:t>17、</w:t>
      </w:r>
      <w:r>
        <w:rPr>
          <w:rFonts w:hint="eastAsia"/>
          <w:sz w:val="24"/>
        </w:rPr>
        <w:t>乙方应</w:t>
      </w:r>
      <w:r>
        <w:rPr>
          <w:rFonts w:hint="eastAsia"/>
          <w:sz w:val="24"/>
          <w:lang w:eastAsia="zh-CN"/>
        </w:rPr>
        <w:t>与</w:t>
      </w:r>
      <w:r>
        <w:rPr>
          <w:rFonts w:hint="eastAsia"/>
          <w:sz w:val="24"/>
        </w:rPr>
        <w:t>作业</w:t>
      </w:r>
      <w:r>
        <w:rPr>
          <w:rFonts w:hint="eastAsia"/>
          <w:sz w:val="24"/>
          <w:lang w:eastAsia="zh-CN"/>
        </w:rPr>
        <w:t>人员签订</w:t>
      </w:r>
      <w:r>
        <w:rPr>
          <w:rFonts w:hint="eastAsia"/>
          <w:b w:val="0"/>
          <w:sz w:val="24"/>
          <w:szCs w:val="24"/>
        </w:rPr>
        <w:t>用工</w:t>
      </w:r>
      <w:r>
        <w:rPr>
          <w:rFonts w:hint="eastAsia" w:ascii="Times New Roman" w:hAnsi="Times New Roman" w:eastAsia="宋体" w:cs="Times New Roman"/>
          <w:b w:val="0"/>
          <w:sz w:val="24"/>
          <w:szCs w:val="24"/>
          <w:shd w:val="clear"/>
          <w:lang w:val="zh-CN"/>
        </w:rPr>
        <w:t>协议</w:t>
      </w:r>
      <w:r>
        <w:rPr>
          <w:rFonts w:hint="eastAsia"/>
          <w:sz w:val="24"/>
          <w:lang w:eastAsia="zh-CN"/>
        </w:rPr>
        <w:t>或合同。</w:t>
      </w:r>
    </w:p>
    <w:p>
      <w:pPr>
        <w:spacing w:line="470" w:lineRule="exact"/>
        <w:ind w:firstLine="480" w:firstLineChars="200"/>
        <w:rPr>
          <w:sz w:val="24"/>
        </w:rPr>
      </w:pPr>
      <w:r>
        <w:rPr>
          <w:rFonts w:hint="eastAsia"/>
          <w:sz w:val="24"/>
          <w:lang w:val="en-US" w:eastAsia="zh-CN"/>
        </w:rPr>
        <w:t>18</w:t>
      </w:r>
      <w:r>
        <w:rPr>
          <w:rFonts w:hint="eastAsia"/>
          <w:sz w:val="24"/>
        </w:rPr>
        <w:t>、施工现场的安全防护用品必须定期进行检查、维修和保养，并按照国家有关规定及时报废。</w:t>
      </w:r>
    </w:p>
    <w:p>
      <w:pPr>
        <w:spacing w:line="470" w:lineRule="exact"/>
        <w:ind w:firstLine="480" w:firstLineChars="200"/>
        <w:rPr>
          <w:sz w:val="24"/>
        </w:rPr>
      </w:pPr>
      <w:r>
        <w:rPr>
          <w:rFonts w:hint="eastAsia"/>
          <w:sz w:val="24"/>
          <w:lang w:val="en-US" w:eastAsia="zh-CN"/>
        </w:rPr>
        <w:t>19</w:t>
      </w:r>
      <w:r>
        <w:rPr>
          <w:rFonts w:hint="eastAsia"/>
          <w:sz w:val="24"/>
        </w:rPr>
        <w:t>、乙方项目负责人、安全管理负责人、专（兼）职安全生产管理人员应当经建设行政主管部门或者其他有关部门考核合格，还需通过甲方的安全教育培训考试合格。以上人员若需变动，应经过甲方批准同意。</w:t>
      </w:r>
    </w:p>
    <w:p>
      <w:pPr>
        <w:spacing w:line="470" w:lineRule="exact"/>
        <w:ind w:firstLine="480" w:firstLineChars="200"/>
        <w:rPr>
          <w:rFonts w:ascii="仿宋_GB2312" w:eastAsia="仿宋_GB2312"/>
          <w:sz w:val="32"/>
          <w:szCs w:val="32"/>
        </w:rPr>
      </w:pPr>
      <w:r>
        <w:rPr>
          <w:rFonts w:hint="eastAsia"/>
          <w:sz w:val="24"/>
        </w:rPr>
        <w:t>乙方项目负责人、安全管理负责人、专（兼）职安全生产管理人员持证要如下表：</w:t>
      </w:r>
    </w:p>
    <w:tbl>
      <w:tblPr>
        <w:tblStyle w:val="39"/>
        <w:tblW w:w="95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276"/>
        <w:gridCol w:w="1701"/>
        <w:gridCol w:w="1701"/>
        <w:gridCol w:w="1701"/>
        <w:gridCol w:w="23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line="240" w:lineRule="auto"/>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序号</w:t>
            </w:r>
          </w:p>
        </w:tc>
        <w:tc>
          <w:tcPr>
            <w:tcW w:w="1276" w:type="dxa"/>
          </w:tcPr>
          <w:p>
            <w:pPr>
              <w:spacing w:line="240" w:lineRule="auto"/>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人员类别</w:t>
            </w:r>
          </w:p>
        </w:tc>
        <w:tc>
          <w:tcPr>
            <w:tcW w:w="1701" w:type="dxa"/>
          </w:tcPr>
          <w:p>
            <w:pPr>
              <w:spacing w:line="240" w:lineRule="auto"/>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建筑施工企业</w:t>
            </w:r>
          </w:p>
        </w:tc>
        <w:tc>
          <w:tcPr>
            <w:tcW w:w="1701" w:type="dxa"/>
          </w:tcPr>
          <w:p>
            <w:pPr>
              <w:spacing w:line="240" w:lineRule="auto"/>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电力建设单位</w:t>
            </w:r>
          </w:p>
        </w:tc>
        <w:tc>
          <w:tcPr>
            <w:tcW w:w="1701" w:type="dxa"/>
          </w:tcPr>
          <w:p>
            <w:pPr>
              <w:spacing w:line="240" w:lineRule="auto"/>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其他电力企业</w:t>
            </w:r>
          </w:p>
        </w:tc>
        <w:tc>
          <w:tcPr>
            <w:tcW w:w="2375" w:type="dxa"/>
          </w:tcPr>
          <w:p>
            <w:pPr>
              <w:spacing w:line="240" w:lineRule="auto"/>
              <w:ind w:firstLine="400" w:firstLineChars="200"/>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line="240" w:lineRule="auto"/>
              <w:ind w:firstLine="400" w:firstLineChars="200"/>
              <w:jc w:val="center"/>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1</w:t>
            </w:r>
          </w:p>
        </w:tc>
        <w:tc>
          <w:tcPr>
            <w:tcW w:w="1276" w:type="dxa"/>
          </w:tcPr>
          <w:p>
            <w:pPr>
              <w:spacing w:line="240" w:lineRule="auto"/>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企业主要负责人</w:t>
            </w:r>
          </w:p>
        </w:tc>
        <w:tc>
          <w:tcPr>
            <w:tcW w:w="1701" w:type="dxa"/>
          </w:tcPr>
          <w:p>
            <w:pPr>
              <w:spacing w:line="240" w:lineRule="auto"/>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 xml:space="preserve">建筑施工企业主要负责人（A类） </w:t>
            </w:r>
          </w:p>
        </w:tc>
        <w:tc>
          <w:tcPr>
            <w:tcW w:w="1701" w:type="dxa"/>
          </w:tcPr>
          <w:p>
            <w:pPr>
              <w:spacing w:line="240" w:lineRule="auto"/>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电力建设安全管理人员资格证</w:t>
            </w:r>
          </w:p>
        </w:tc>
        <w:tc>
          <w:tcPr>
            <w:tcW w:w="1701" w:type="dxa"/>
          </w:tcPr>
          <w:p>
            <w:pPr>
              <w:spacing w:line="240" w:lineRule="auto"/>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电力安全培训合格证</w:t>
            </w:r>
          </w:p>
        </w:tc>
        <w:tc>
          <w:tcPr>
            <w:tcW w:w="2375" w:type="dxa"/>
          </w:tcPr>
          <w:p>
            <w:pPr>
              <w:spacing w:line="240" w:lineRule="auto"/>
              <w:ind w:firstLine="400" w:firstLineChars="200"/>
              <w:rPr>
                <w:rFonts w:asciiTheme="minorEastAsia" w:hAnsiTheme="minorEastAsia" w:eastAsiaTheme="minorEastAsia" w:cstheme="minorEastAsia"/>
                <w:kern w:val="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817" w:type="dxa"/>
          </w:tcPr>
          <w:p>
            <w:pPr>
              <w:spacing w:line="240" w:lineRule="auto"/>
              <w:ind w:firstLine="400" w:firstLineChars="200"/>
              <w:jc w:val="center"/>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2</w:t>
            </w:r>
          </w:p>
        </w:tc>
        <w:tc>
          <w:tcPr>
            <w:tcW w:w="1276" w:type="dxa"/>
          </w:tcPr>
          <w:p>
            <w:pPr>
              <w:spacing w:line="240" w:lineRule="auto"/>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项目经理（负责人）</w:t>
            </w:r>
          </w:p>
        </w:tc>
        <w:tc>
          <w:tcPr>
            <w:tcW w:w="1701" w:type="dxa"/>
          </w:tcPr>
          <w:p>
            <w:pPr>
              <w:spacing w:line="240" w:lineRule="auto"/>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建造师、建筑施工企业项目负责人（B类）</w:t>
            </w:r>
          </w:p>
        </w:tc>
        <w:tc>
          <w:tcPr>
            <w:tcW w:w="1701" w:type="dxa"/>
          </w:tcPr>
          <w:p>
            <w:pPr>
              <w:spacing w:line="240" w:lineRule="auto"/>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建造师、电力建设安全管理人员资格证</w:t>
            </w:r>
          </w:p>
        </w:tc>
        <w:tc>
          <w:tcPr>
            <w:tcW w:w="1701" w:type="dxa"/>
          </w:tcPr>
          <w:p>
            <w:pPr>
              <w:spacing w:line="240" w:lineRule="auto"/>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建造师、电力安全培训合格证</w:t>
            </w:r>
          </w:p>
        </w:tc>
        <w:tc>
          <w:tcPr>
            <w:tcW w:w="2375" w:type="dxa"/>
          </w:tcPr>
          <w:p>
            <w:pPr>
              <w:spacing w:line="240" w:lineRule="auto"/>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小型工程如无建造师证则必须由符合小型工程施工项目负责人任职条件的人员担任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line="240" w:lineRule="auto"/>
              <w:ind w:firstLine="400" w:firstLineChars="200"/>
              <w:jc w:val="center"/>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3</w:t>
            </w:r>
          </w:p>
        </w:tc>
        <w:tc>
          <w:tcPr>
            <w:tcW w:w="1276" w:type="dxa"/>
          </w:tcPr>
          <w:p>
            <w:pPr>
              <w:spacing w:line="240" w:lineRule="auto"/>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专职安全生产管理人员</w:t>
            </w:r>
          </w:p>
        </w:tc>
        <w:tc>
          <w:tcPr>
            <w:tcW w:w="1701" w:type="dxa"/>
          </w:tcPr>
          <w:p>
            <w:pPr>
              <w:spacing w:line="240" w:lineRule="auto"/>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建筑施工企业专职安全生产管理人员（C类）</w:t>
            </w:r>
          </w:p>
        </w:tc>
        <w:tc>
          <w:tcPr>
            <w:tcW w:w="1701" w:type="dxa"/>
          </w:tcPr>
          <w:p>
            <w:pPr>
              <w:spacing w:line="240" w:lineRule="auto"/>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电力建设安全管理人员资格证</w:t>
            </w:r>
          </w:p>
        </w:tc>
        <w:tc>
          <w:tcPr>
            <w:tcW w:w="1701" w:type="dxa"/>
          </w:tcPr>
          <w:p>
            <w:pPr>
              <w:spacing w:line="240" w:lineRule="auto"/>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电力安全培训合格证</w:t>
            </w:r>
          </w:p>
        </w:tc>
        <w:tc>
          <w:tcPr>
            <w:tcW w:w="2375" w:type="dxa"/>
          </w:tcPr>
          <w:p>
            <w:pPr>
              <w:spacing w:line="240" w:lineRule="auto"/>
              <w:ind w:firstLine="400" w:firstLineChars="200"/>
              <w:rPr>
                <w:rFonts w:asciiTheme="minorEastAsia" w:hAnsiTheme="minorEastAsia" w:eastAsiaTheme="minorEastAsia" w:cstheme="minorEastAsia"/>
                <w:kern w:val="0"/>
                <w:sz w:val="20"/>
                <w:szCs w:val="21"/>
              </w:rPr>
            </w:pPr>
          </w:p>
        </w:tc>
      </w:tr>
    </w:tbl>
    <w:p>
      <w:pPr>
        <w:spacing w:line="470" w:lineRule="exact"/>
        <w:ind w:firstLine="480" w:firstLineChars="200"/>
        <w:rPr>
          <w:sz w:val="24"/>
        </w:rPr>
      </w:pPr>
      <w:r>
        <w:rPr>
          <w:rFonts w:hint="eastAsia"/>
          <w:sz w:val="24"/>
        </w:rPr>
        <w:t>注：施工企业小型工程项目负责人任职应符合下列条件之一：</w:t>
      </w:r>
    </w:p>
    <w:p>
      <w:pPr>
        <w:spacing w:line="470" w:lineRule="exact"/>
        <w:ind w:firstLine="480" w:firstLineChars="200"/>
        <w:rPr>
          <w:sz w:val="24"/>
        </w:rPr>
      </w:pPr>
      <w:r>
        <w:rPr>
          <w:rFonts w:hint="eastAsia"/>
          <w:sz w:val="24"/>
        </w:rPr>
        <w:t>（1）具有注册建造师(含临时建造师)证件；</w:t>
      </w:r>
    </w:p>
    <w:p>
      <w:pPr>
        <w:spacing w:line="470" w:lineRule="exact"/>
        <w:ind w:firstLine="480" w:firstLineChars="200"/>
        <w:rPr>
          <w:sz w:val="24"/>
        </w:rPr>
      </w:pPr>
      <w:r>
        <w:rPr>
          <w:rFonts w:hint="eastAsia"/>
          <w:sz w:val="24"/>
        </w:rPr>
        <w:t>（2）取得县级以上相关政府部门施工企业项目负责人安全生产考核合格证书；</w:t>
      </w:r>
    </w:p>
    <w:p>
      <w:pPr>
        <w:spacing w:line="470" w:lineRule="exact"/>
        <w:ind w:firstLine="480" w:firstLineChars="200"/>
        <w:rPr>
          <w:sz w:val="24"/>
        </w:rPr>
      </w:pPr>
      <w:r>
        <w:rPr>
          <w:rFonts w:hint="eastAsia"/>
          <w:sz w:val="24"/>
        </w:rPr>
        <w:t>（3）取得省住房和城乡建设行政主管部门认定的继续教育培训机构颁发的安全培训考核合格证书或县级及以上安全监管机构认定的培训机构颁发的安全培训考核合格证书。</w:t>
      </w:r>
    </w:p>
    <w:p>
      <w:pPr>
        <w:spacing w:line="470" w:lineRule="exact"/>
        <w:ind w:firstLine="480" w:firstLineChars="200"/>
        <w:rPr>
          <w:sz w:val="24"/>
        </w:rPr>
      </w:pPr>
      <w:r>
        <w:rPr>
          <w:rFonts w:hint="eastAsia"/>
          <w:sz w:val="24"/>
        </w:rPr>
        <w:t>2</w:t>
      </w:r>
      <w:r>
        <w:rPr>
          <w:rFonts w:hint="eastAsia"/>
          <w:sz w:val="24"/>
          <w:lang w:val="en-US" w:eastAsia="zh-CN"/>
        </w:rPr>
        <w:t>0</w:t>
      </w:r>
      <w:r>
        <w:rPr>
          <w:rFonts w:hint="eastAsia"/>
          <w:sz w:val="24"/>
        </w:rPr>
        <w:t>、乙方应在作业人员进入新的岗位或者新的施工现场前，应进行安全知识考试，考试不合格人员及未参加考试人员不得进入生产现场。考试结果及作业人员变动情况报监理备案。</w:t>
      </w:r>
    </w:p>
    <w:p>
      <w:pPr>
        <w:spacing w:line="470" w:lineRule="exact"/>
        <w:ind w:firstLine="480" w:firstLineChars="200"/>
        <w:rPr>
          <w:sz w:val="24"/>
        </w:rPr>
      </w:pPr>
      <w:r>
        <w:rPr>
          <w:rFonts w:hint="eastAsia"/>
          <w:sz w:val="24"/>
        </w:rPr>
        <w:t>2</w:t>
      </w:r>
      <w:r>
        <w:rPr>
          <w:rFonts w:hint="eastAsia"/>
          <w:sz w:val="24"/>
          <w:lang w:val="en-US" w:eastAsia="zh-CN"/>
        </w:rPr>
        <w:t>1、</w:t>
      </w:r>
      <w:r>
        <w:rPr>
          <w:rFonts w:hint="eastAsia"/>
          <w:sz w:val="24"/>
        </w:rPr>
        <w:t>乙方不得使用国家明令淘汰、禁止使用的危及生产安全的材料、工艺、设备。</w:t>
      </w:r>
    </w:p>
    <w:p>
      <w:pPr>
        <w:spacing w:line="470" w:lineRule="exact"/>
        <w:ind w:firstLine="480" w:firstLineChars="200"/>
        <w:rPr>
          <w:sz w:val="24"/>
        </w:rPr>
      </w:pPr>
      <w:r>
        <w:rPr>
          <w:rFonts w:hint="eastAsia"/>
          <w:sz w:val="24"/>
        </w:rPr>
        <w:t>2</w:t>
      </w:r>
      <w:r>
        <w:rPr>
          <w:rFonts w:hint="eastAsia"/>
          <w:sz w:val="24"/>
          <w:lang w:val="en-US" w:eastAsia="zh-CN"/>
        </w:rPr>
        <w:t>2</w:t>
      </w:r>
      <w:r>
        <w:rPr>
          <w:rFonts w:hint="eastAsia"/>
          <w:sz w:val="24"/>
        </w:rPr>
        <w:t>、现场施工应遵守国家和地方关于劳动安全、劳务用工法律法规及规章制度，保证其用工的合法性。乙方应当为施工现场作业人员办理意外伤害保险。意外伤害保险费由乙方支付。实行施工总承包的，由总承包单位支付意外伤害保险费。意外伤害保险期限自建设工程开工之日起至合同完工验收合格止。</w:t>
      </w:r>
    </w:p>
    <w:p>
      <w:pPr>
        <w:spacing w:line="470" w:lineRule="exact"/>
        <w:ind w:firstLine="480" w:firstLineChars="200"/>
        <w:rPr>
          <w:sz w:val="24"/>
        </w:rPr>
      </w:pPr>
      <w:r>
        <w:rPr>
          <w:rFonts w:hint="eastAsia"/>
          <w:sz w:val="24"/>
        </w:rPr>
        <w:t>2</w:t>
      </w:r>
      <w:r>
        <w:rPr>
          <w:rFonts w:hint="eastAsia"/>
          <w:sz w:val="24"/>
          <w:lang w:val="en-US" w:eastAsia="zh-CN"/>
        </w:rPr>
        <w:t>3</w:t>
      </w:r>
      <w:r>
        <w:rPr>
          <w:rFonts w:hint="eastAsia"/>
          <w:sz w:val="24"/>
        </w:rPr>
        <w:t>、乙方除执行甲方应急预案外，应制定本单位应急预案和现场处置方案，建立应急救援组织或者配备应急救援人员，配备必要的应急救援器材、设备，并定期组织演练。</w:t>
      </w:r>
    </w:p>
    <w:p>
      <w:pPr>
        <w:spacing w:line="470" w:lineRule="exact"/>
        <w:ind w:firstLine="480" w:firstLineChars="200"/>
        <w:rPr>
          <w:sz w:val="24"/>
        </w:rPr>
      </w:pPr>
      <w:r>
        <w:rPr>
          <w:rFonts w:hint="eastAsia"/>
          <w:sz w:val="24"/>
          <w:lang w:val="en-US" w:eastAsia="zh-CN"/>
        </w:rPr>
        <w:t>24</w:t>
      </w:r>
      <w:r>
        <w:rPr>
          <w:rFonts w:hint="eastAsia"/>
          <w:sz w:val="24"/>
        </w:rPr>
        <w:t>、乙方发生生产安全事故，应当按照国务院493号令、国家电力监管委员会31号令及《中国南方电网有限责任公司电力事故（事件）调查规程》中有关事故报告和调查处理的规定，及时、如实地向有关部门报告。</w:t>
      </w:r>
    </w:p>
    <w:p>
      <w:pPr>
        <w:spacing w:line="470" w:lineRule="exact"/>
        <w:ind w:firstLine="480" w:firstLineChars="200"/>
        <w:rPr>
          <w:sz w:val="24"/>
        </w:rPr>
      </w:pPr>
      <w:r>
        <w:rPr>
          <w:rFonts w:hint="eastAsia"/>
          <w:sz w:val="24"/>
          <w:lang w:val="en-US" w:eastAsia="zh-CN"/>
        </w:rPr>
        <w:t>25</w:t>
      </w:r>
      <w:r>
        <w:rPr>
          <w:rFonts w:hint="eastAsia"/>
          <w:sz w:val="24"/>
        </w:rPr>
        <w:t>、乙方应服从甲方的监督检查，按时完成甲方提出的整改要求。</w:t>
      </w:r>
    </w:p>
    <w:p>
      <w:pPr>
        <w:spacing w:line="470" w:lineRule="exact"/>
        <w:ind w:firstLine="480" w:firstLineChars="200"/>
        <w:rPr>
          <w:sz w:val="24"/>
        </w:rPr>
      </w:pPr>
      <w:r>
        <w:rPr>
          <w:rFonts w:hint="eastAsia"/>
          <w:sz w:val="24"/>
          <w:lang w:val="en-US" w:eastAsia="zh-CN"/>
        </w:rPr>
        <w:t>26</w:t>
      </w:r>
      <w:r>
        <w:rPr>
          <w:rFonts w:hint="eastAsia"/>
          <w:sz w:val="24"/>
        </w:rPr>
        <w:t>、负责法律法规及施工合同中规定的由乙方承担的其他安全生产责任。</w:t>
      </w:r>
    </w:p>
    <w:p>
      <w:pPr>
        <w:spacing w:line="470" w:lineRule="exact"/>
        <w:ind w:firstLine="482" w:firstLineChars="200"/>
        <w:rPr>
          <w:b/>
          <w:sz w:val="24"/>
        </w:rPr>
      </w:pPr>
      <w:r>
        <w:rPr>
          <w:rFonts w:hint="eastAsia"/>
          <w:b/>
          <w:sz w:val="24"/>
        </w:rPr>
        <w:t>第三条</w:t>
      </w:r>
      <w:r>
        <w:rPr>
          <w:rFonts w:hint="eastAsia"/>
          <w:b/>
          <w:sz w:val="24"/>
          <w:lang w:val="en-US" w:eastAsia="zh-CN"/>
        </w:rPr>
        <w:t xml:space="preserve"> </w:t>
      </w:r>
      <w:r>
        <w:rPr>
          <w:rFonts w:hint="eastAsia"/>
          <w:b/>
          <w:sz w:val="24"/>
        </w:rPr>
        <w:t>违约责任</w:t>
      </w:r>
    </w:p>
    <w:p>
      <w:pPr>
        <w:spacing w:line="470" w:lineRule="exact"/>
        <w:ind w:firstLine="480" w:firstLineChars="200"/>
        <w:rPr>
          <w:sz w:val="24"/>
        </w:rPr>
      </w:pPr>
      <w:r>
        <w:rPr>
          <w:rFonts w:hint="eastAsia"/>
          <w:sz w:val="24"/>
        </w:rPr>
        <w:t>1、甲方未尽到本方安全责任，造成的损失由甲方承担。</w:t>
      </w:r>
    </w:p>
    <w:p>
      <w:pPr>
        <w:spacing w:line="470" w:lineRule="exact"/>
        <w:ind w:firstLine="480" w:firstLineChars="200"/>
        <w:rPr>
          <w:sz w:val="24"/>
        </w:rPr>
      </w:pPr>
      <w:r>
        <w:rPr>
          <w:rFonts w:hint="eastAsia"/>
          <w:sz w:val="24"/>
        </w:rPr>
        <w:t>2、在协议有效期内，甲方发现乙方违反本协议的有关内容，将按照南方电网公司、调峰调频发电公司和甲方相关的规章制度给予处罚。</w:t>
      </w:r>
    </w:p>
    <w:p>
      <w:pPr>
        <w:spacing w:line="470" w:lineRule="exact"/>
        <w:ind w:firstLine="480" w:firstLineChars="200"/>
        <w:rPr>
          <w:sz w:val="24"/>
        </w:rPr>
      </w:pPr>
      <w:r>
        <w:rPr>
          <w:rFonts w:hint="eastAsia"/>
          <w:sz w:val="24"/>
        </w:rPr>
        <w:t>3、触犯国家、行业有关安全生产和环境保护的法律、法规、规程的，由责任方承担相应法律责任。</w:t>
      </w:r>
    </w:p>
    <w:p>
      <w:pPr>
        <w:spacing w:line="470" w:lineRule="exact"/>
        <w:ind w:firstLine="480" w:firstLineChars="200"/>
        <w:rPr>
          <w:sz w:val="24"/>
        </w:rPr>
      </w:pPr>
      <w:r>
        <w:rPr>
          <w:rFonts w:hint="eastAsia"/>
          <w:sz w:val="24"/>
        </w:rPr>
        <w:t>4、由于甲方或乙方责任造成对方或第三方的人身伤害、设备损坏或财产损失等，由责任方承担相应责任，并赔偿对方或第三方因此造成的全部损失。</w:t>
      </w:r>
    </w:p>
    <w:p>
      <w:pPr>
        <w:spacing w:line="470" w:lineRule="exact"/>
        <w:ind w:firstLine="480" w:firstLineChars="200"/>
        <w:rPr>
          <w:sz w:val="24"/>
        </w:rPr>
      </w:pPr>
      <w:r>
        <w:rPr>
          <w:rFonts w:hint="eastAsia"/>
          <w:sz w:val="24"/>
        </w:rPr>
        <w:t>5、乙方未尽到其应尽的安全责任，甲方有权要求乙方立即停工整改，由此引起的后果及损失由乙方承担。</w:t>
      </w:r>
    </w:p>
    <w:p>
      <w:pPr>
        <w:spacing w:line="470" w:lineRule="exact"/>
        <w:ind w:firstLine="482" w:firstLineChars="200"/>
        <w:rPr>
          <w:b/>
          <w:sz w:val="24"/>
        </w:rPr>
      </w:pPr>
      <w:r>
        <w:rPr>
          <w:rFonts w:hint="eastAsia"/>
          <w:b/>
          <w:sz w:val="24"/>
        </w:rPr>
        <w:t>第四条</w:t>
      </w:r>
      <w:r>
        <w:rPr>
          <w:rFonts w:hint="eastAsia"/>
          <w:b/>
          <w:sz w:val="24"/>
          <w:lang w:val="en-US" w:eastAsia="zh-CN"/>
        </w:rPr>
        <w:t xml:space="preserve"> </w:t>
      </w:r>
      <w:r>
        <w:rPr>
          <w:rFonts w:hint="eastAsia"/>
          <w:b/>
          <w:sz w:val="24"/>
        </w:rPr>
        <w:t>安健环业绩考核</w:t>
      </w:r>
    </w:p>
    <w:p>
      <w:pPr>
        <w:spacing w:line="470" w:lineRule="exact"/>
        <w:ind w:firstLine="480" w:firstLineChars="200"/>
        <w:rPr>
          <w:sz w:val="24"/>
        </w:rPr>
      </w:pPr>
      <w:r>
        <w:rPr>
          <w:rFonts w:hint="eastAsia"/>
          <w:sz w:val="24"/>
        </w:rPr>
        <w:t>1、为了落实安健环管理的责任，甲方对乙方在施工现场进行</w:t>
      </w:r>
      <w:r>
        <w:rPr>
          <w:sz w:val="24"/>
        </w:rPr>
        <w:t>HSE</w:t>
      </w:r>
      <w:r>
        <w:rPr>
          <w:rFonts w:hint="eastAsia"/>
          <w:sz w:val="24"/>
        </w:rPr>
        <w:t>管理考核，具体执行《施工现场</w:t>
      </w:r>
      <w:r>
        <w:rPr>
          <w:sz w:val="24"/>
        </w:rPr>
        <w:t>HSE</w:t>
      </w:r>
      <w:r>
        <w:rPr>
          <w:rFonts w:hint="eastAsia"/>
          <w:sz w:val="24"/>
        </w:rPr>
        <w:t>奖罚规定》（附件）。</w:t>
      </w:r>
    </w:p>
    <w:p>
      <w:pPr>
        <w:spacing w:line="470" w:lineRule="exact"/>
        <w:ind w:firstLine="480" w:firstLineChars="200"/>
        <w:rPr>
          <w:sz w:val="24"/>
        </w:rPr>
      </w:pPr>
      <w:r>
        <w:rPr>
          <w:rFonts w:hint="eastAsia"/>
          <w:sz w:val="24"/>
        </w:rPr>
        <w:t>2、考核金额累计一般不超过合同总价的10%。</w:t>
      </w:r>
    </w:p>
    <w:p>
      <w:pPr>
        <w:spacing w:line="470" w:lineRule="exact"/>
        <w:ind w:firstLine="482" w:firstLineChars="200"/>
        <w:rPr>
          <w:b/>
          <w:sz w:val="24"/>
        </w:rPr>
      </w:pPr>
      <w:r>
        <w:rPr>
          <w:rFonts w:hint="eastAsia"/>
          <w:b/>
          <w:sz w:val="24"/>
        </w:rPr>
        <w:t>第五条</w:t>
      </w:r>
      <w:r>
        <w:rPr>
          <w:rFonts w:hint="eastAsia"/>
          <w:b/>
          <w:sz w:val="24"/>
          <w:lang w:val="en-US" w:eastAsia="zh-CN"/>
        </w:rPr>
        <w:t xml:space="preserve"> </w:t>
      </w:r>
      <w:r>
        <w:rPr>
          <w:rFonts w:hint="eastAsia"/>
          <w:b/>
          <w:sz w:val="24"/>
        </w:rPr>
        <w:t>其他</w:t>
      </w:r>
    </w:p>
    <w:p>
      <w:pPr>
        <w:spacing w:line="470" w:lineRule="exact"/>
        <w:ind w:firstLine="480" w:firstLineChars="200"/>
        <w:rPr>
          <w:sz w:val="24"/>
        </w:rPr>
      </w:pPr>
      <w:r>
        <w:rPr>
          <w:rFonts w:hint="eastAsia"/>
          <w:sz w:val="24"/>
        </w:rPr>
        <w:t>1、本协议作为承包合同的有效组成部分，与承包合同同时生效和终止。</w:t>
      </w:r>
    </w:p>
    <w:p>
      <w:pPr>
        <w:spacing w:line="470" w:lineRule="exact"/>
        <w:ind w:firstLine="480" w:firstLineChars="200"/>
        <w:rPr>
          <w:sz w:val="24"/>
        </w:rPr>
      </w:pPr>
      <w:r>
        <w:rPr>
          <w:rFonts w:hint="eastAsia"/>
          <w:sz w:val="24"/>
        </w:rPr>
        <w:t>2、本协议如有争议，争议解决办法与合同争议解决办法相同。</w:t>
      </w:r>
    </w:p>
    <w:p>
      <w:pPr>
        <w:spacing w:line="470" w:lineRule="exact"/>
        <w:ind w:firstLine="480" w:firstLineChars="200"/>
        <w:rPr>
          <w:sz w:val="24"/>
        </w:rPr>
      </w:pPr>
      <w:r>
        <w:rPr>
          <w:rFonts w:hint="eastAsia"/>
          <w:sz w:val="24"/>
        </w:rPr>
        <w:t>3、本协议未尽事宜，双方协商解决。</w:t>
      </w:r>
    </w:p>
    <w:p>
      <w:pPr>
        <w:spacing w:line="470" w:lineRule="exact"/>
        <w:ind w:firstLine="480" w:firstLineChars="200"/>
        <w:rPr>
          <w:sz w:val="24"/>
        </w:rPr>
      </w:pPr>
      <w:r>
        <w:rPr>
          <w:rFonts w:hint="eastAsia"/>
          <w:sz w:val="24"/>
        </w:rPr>
        <w:t>4、如有与国家和地方有关规定相悖的，按国家和地方有关规定执行。</w:t>
      </w:r>
    </w:p>
    <w:p>
      <w:pPr>
        <w:spacing w:line="470" w:lineRule="exact"/>
        <w:ind w:firstLine="480" w:firstLineChars="200"/>
        <w:rPr>
          <w:sz w:val="24"/>
        </w:rPr>
      </w:pPr>
      <w:r>
        <w:rPr>
          <w:rFonts w:hint="eastAsia"/>
          <w:sz w:val="24"/>
        </w:rPr>
        <w:t>5、本协议一式肆份，甲乙双方各执贰份，签字盖章后即生效。</w:t>
      </w:r>
    </w:p>
    <w:p>
      <w:pPr>
        <w:spacing w:line="470" w:lineRule="exact"/>
        <w:ind w:firstLine="480" w:firstLineChars="200"/>
        <w:rPr>
          <w:sz w:val="24"/>
        </w:rPr>
      </w:pPr>
    </w:p>
    <w:p>
      <w:pPr>
        <w:spacing w:line="470" w:lineRule="exact"/>
        <w:ind w:firstLine="480" w:firstLineChars="200"/>
        <w:rPr>
          <w:sz w:val="24"/>
        </w:rPr>
      </w:pPr>
    </w:p>
    <w:p>
      <w:pPr>
        <w:spacing w:line="470" w:lineRule="exact"/>
        <w:ind w:firstLine="480" w:firstLineChars="200"/>
        <w:rPr>
          <w:sz w:val="24"/>
        </w:rPr>
      </w:pPr>
    </w:p>
    <w:p>
      <w:pPr>
        <w:spacing w:line="470" w:lineRule="exact"/>
        <w:ind w:firstLine="480" w:firstLineChars="200"/>
        <w:rPr>
          <w:sz w:val="24"/>
        </w:rPr>
      </w:pPr>
    </w:p>
    <w:p>
      <w:pPr>
        <w:spacing w:line="470" w:lineRule="exact"/>
        <w:ind w:firstLine="480" w:firstLineChars="200"/>
        <w:rPr>
          <w:sz w:val="24"/>
        </w:rPr>
      </w:pPr>
      <w:r>
        <w:rPr>
          <w:rFonts w:hint="eastAsia"/>
          <w:sz w:val="24"/>
        </w:rPr>
        <w:t>甲方：</w:t>
      </w:r>
      <w:r>
        <w:rPr>
          <w:rFonts w:hint="eastAsia"/>
          <w:sz w:val="24"/>
          <w:lang w:val="en-US" w:eastAsia="zh-CN"/>
        </w:rPr>
        <w:t xml:space="preserve">                       </w:t>
      </w:r>
      <w:r>
        <w:rPr>
          <w:rFonts w:hint="eastAsia"/>
          <w:sz w:val="24"/>
        </w:rPr>
        <w:t>乙方：</w:t>
      </w:r>
    </w:p>
    <w:p>
      <w:pPr>
        <w:spacing w:line="470" w:lineRule="exact"/>
        <w:ind w:firstLine="480" w:firstLineChars="200"/>
        <w:rPr>
          <w:sz w:val="24"/>
        </w:rPr>
      </w:pPr>
    </w:p>
    <w:p>
      <w:pPr>
        <w:spacing w:line="470" w:lineRule="exact"/>
        <w:ind w:firstLine="480" w:firstLineChars="200"/>
        <w:rPr>
          <w:sz w:val="24"/>
        </w:rPr>
      </w:pPr>
      <w:r>
        <w:rPr>
          <w:rFonts w:hint="eastAsia"/>
          <w:sz w:val="24"/>
        </w:rPr>
        <w:t>代表：　　　　　　　　　　</w:t>
      </w:r>
      <w:r>
        <w:rPr>
          <w:rFonts w:hint="eastAsia"/>
          <w:sz w:val="24"/>
          <w:lang w:val="en-US" w:eastAsia="zh-CN"/>
        </w:rPr>
        <w:t xml:space="preserve">   </w:t>
      </w:r>
      <w:r>
        <w:rPr>
          <w:rFonts w:hint="eastAsia"/>
          <w:sz w:val="24"/>
        </w:rPr>
        <w:t>代表：</w:t>
      </w:r>
    </w:p>
    <w:p>
      <w:pPr>
        <w:spacing w:line="470" w:lineRule="exact"/>
        <w:ind w:firstLine="480" w:firstLineChars="200"/>
        <w:rPr>
          <w:sz w:val="24"/>
        </w:rPr>
      </w:pPr>
      <w:r>
        <w:rPr>
          <w:rFonts w:hint="eastAsia"/>
          <w:sz w:val="24"/>
        </w:rPr>
        <w:t>　　</w:t>
      </w:r>
    </w:p>
    <w:p>
      <w:pPr>
        <w:spacing w:line="470" w:lineRule="exact"/>
        <w:ind w:firstLine="480" w:firstLineChars="200"/>
        <w:rPr>
          <w:sz w:val="24"/>
        </w:rPr>
      </w:pPr>
      <w:r>
        <w:rPr>
          <w:rFonts w:hint="eastAsia"/>
          <w:sz w:val="24"/>
        </w:rPr>
        <w:t>日期：　年　月　日</w:t>
      </w:r>
      <w:r>
        <w:rPr>
          <w:rFonts w:hint="eastAsia"/>
          <w:sz w:val="24"/>
          <w:lang w:val="en-US" w:eastAsia="zh-CN"/>
        </w:rPr>
        <w:t xml:space="preserve">            </w:t>
      </w:r>
      <w:r>
        <w:rPr>
          <w:rFonts w:hint="eastAsia"/>
          <w:sz w:val="24"/>
        </w:rPr>
        <w:t>日期：　　年　月　日</w:t>
      </w:r>
    </w:p>
    <w:p>
      <w:pPr>
        <w:widowControl/>
        <w:spacing w:line="360" w:lineRule="auto"/>
        <w:contextualSpacing/>
        <w:jc w:val="left"/>
        <w:outlineLvl w:val="0"/>
        <w:rPr>
          <w:sz w:val="24"/>
        </w:rPr>
      </w:pPr>
    </w:p>
    <w:p>
      <w:pPr>
        <w:widowControl/>
        <w:spacing w:line="360" w:lineRule="auto"/>
        <w:contextualSpacing/>
        <w:jc w:val="left"/>
        <w:outlineLvl w:val="0"/>
        <w:rPr>
          <w:sz w:val="24"/>
        </w:rPr>
      </w:pPr>
    </w:p>
    <w:p>
      <w:pPr>
        <w:spacing w:line="470" w:lineRule="exact"/>
        <w:ind w:firstLine="480" w:firstLineChars="200"/>
        <w:rPr>
          <w:sz w:val="24"/>
        </w:rPr>
      </w:pPr>
      <w:r>
        <w:rPr>
          <w:rFonts w:hint="eastAsia"/>
          <w:sz w:val="24"/>
        </w:rPr>
        <w:t>甲方安全监管监督人：</w:t>
      </w:r>
    </w:p>
    <w:p>
      <w:pPr>
        <w:spacing w:line="470" w:lineRule="exact"/>
        <w:ind w:firstLine="480" w:firstLineChars="200"/>
        <w:rPr>
          <w:sz w:val="24"/>
        </w:rPr>
      </w:pPr>
    </w:p>
    <w:p>
      <w:pPr>
        <w:spacing w:line="470" w:lineRule="exact"/>
        <w:ind w:firstLine="480" w:firstLineChars="200"/>
        <w:rPr>
          <w:sz w:val="24"/>
        </w:rPr>
      </w:pPr>
      <w:r>
        <w:rPr>
          <w:rFonts w:hint="eastAsia"/>
          <w:sz w:val="24"/>
        </w:rPr>
        <w:t>日期：　年　月　日</w:t>
      </w:r>
    </w:p>
    <w:p>
      <w:pPr>
        <w:pStyle w:val="174"/>
        <w:spacing w:line="360" w:lineRule="auto"/>
        <w:rPr>
          <w:rFonts w:ascii="黑体" w:hAnsi="宋体" w:eastAsia="黑体"/>
          <w:bCs/>
          <w:color w:val="000000"/>
          <w:kern w:val="44"/>
          <w:szCs w:val="21"/>
        </w:rPr>
      </w:pPr>
      <w:r>
        <w:br w:type="page"/>
      </w:r>
      <w:r>
        <w:rPr>
          <w:rFonts w:hint="eastAsia" w:ascii="黑体" w:hAnsi="宋体" w:eastAsia="黑体"/>
          <w:bCs/>
          <w:color w:val="000000"/>
          <w:kern w:val="44"/>
          <w:sz w:val="28"/>
          <w:szCs w:val="28"/>
        </w:rPr>
        <w:t>附件</w:t>
      </w:r>
    </w:p>
    <w:p>
      <w:pPr>
        <w:widowControl/>
        <w:spacing w:line="360" w:lineRule="auto"/>
        <w:contextualSpacing/>
        <w:jc w:val="center"/>
        <w:outlineLvl w:val="0"/>
        <w:rPr>
          <w:rFonts w:ascii="黑体" w:hAnsi="宋体" w:eastAsia="黑体"/>
          <w:bCs/>
          <w:color w:val="000000"/>
          <w:kern w:val="44"/>
          <w:sz w:val="30"/>
          <w:szCs w:val="30"/>
        </w:rPr>
      </w:pPr>
      <w:r>
        <w:rPr>
          <w:rFonts w:hint="eastAsia" w:ascii="黑体" w:hAnsi="宋体" w:eastAsia="黑体"/>
          <w:bCs/>
          <w:color w:val="000000"/>
          <w:kern w:val="44"/>
          <w:sz w:val="30"/>
          <w:szCs w:val="30"/>
        </w:rPr>
        <w:t>施工现场</w:t>
      </w:r>
      <w:r>
        <w:rPr>
          <w:rFonts w:ascii="黑体" w:hAnsi="宋体" w:eastAsia="黑体"/>
          <w:bCs/>
          <w:color w:val="000000"/>
          <w:kern w:val="44"/>
          <w:sz w:val="30"/>
          <w:szCs w:val="30"/>
        </w:rPr>
        <w:t>HSE</w:t>
      </w:r>
      <w:r>
        <w:rPr>
          <w:rFonts w:hint="eastAsia" w:ascii="黑体" w:hAnsi="宋体" w:eastAsia="黑体"/>
          <w:bCs/>
          <w:color w:val="000000"/>
          <w:kern w:val="44"/>
          <w:sz w:val="30"/>
          <w:szCs w:val="30"/>
        </w:rPr>
        <w:t>奖罚规定</w:t>
      </w:r>
    </w:p>
    <w:p>
      <w:pPr>
        <w:pStyle w:val="36"/>
        <w:spacing w:line="360" w:lineRule="auto"/>
        <w:ind w:firstLine="480"/>
        <w:rPr>
          <w:i/>
          <w:sz w:val="24"/>
          <w:szCs w:val="24"/>
          <w:lang w:eastAsia="zh-CN"/>
        </w:rPr>
      </w:pPr>
    </w:p>
    <w:p>
      <w:pPr>
        <w:adjustRightInd w:val="0"/>
        <w:spacing w:line="470" w:lineRule="exact"/>
        <w:ind w:firstLine="522" w:firstLineChars="200"/>
        <w:jc w:val="left"/>
        <w:outlineLvl w:val="1"/>
        <w:rPr>
          <w:rFonts w:hint="eastAsia" w:asciiTheme="minorEastAsia" w:hAnsiTheme="minorEastAsia" w:eastAsiaTheme="minorEastAsia" w:cstheme="minorEastAsia"/>
          <w:b/>
          <w:spacing w:val="10"/>
          <w:sz w:val="24"/>
          <w:szCs w:val="24"/>
          <w:highlight w:val="none"/>
        </w:rPr>
      </w:pPr>
      <w:bookmarkStart w:id="0" w:name="_Toc256713128"/>
      <w:bookmarkStart w:id="1" w:name="_Toc301180784"/>
      <w:r>
        <w:rPr>
          <w:rFonts w:hint="eastAsia" w:asciiTheme="minorEastAsia" w:hAnsiTheme="minorEastAsia" w:eastAsiaTheme="minorEastAsia" w:cstheme="minorEastAsia"/>
          <w:b/>
          <w:spacing w:val="10"/>
          <w:sz w:val="24"/>
          <w:szCs w:val="24"/>
          <w:highlight w:val="none"/>
        </w:rPr>
        <w:t>一、说明</w:t>
      </w:r>
      <w:bookmarkEnd w:id="0"/>
      <w:bookmarkEnd w:id="1"/>
    </w:p>
    <w:p>
      <w:pPr>
        <w:spacing w:line="470" w:lineRule="exact"/>
        <w:ind w:firstLine="480" w:firstLineChars="200"/>
        <w:rPr>
          <w:rFonts w:hint="eastAsia" w:asciiTheme="minorEastAsia" w:hAnsiTheme="minorEastAsia" w:eastAsiaTheme="minorEastAsia" w:cstheme="minorEastAsia"/>
          <w:sz w:val="24"/>
          <w:szCs w:val="24"/>
          <w:highlight w:val="none"/>
        </w:rPr>
      </w:pPr>
      <w:bookmarkStart w:id="2" w:name="_Toc526137039"/>
      <w:r>
        <w:rPr>
          <w:rFonts w:hint="eastAsia" w:asciiTheme="minorEastAsia" w:hAnsiTheme="minorEastAsia" w:eastAsiaTheme="minorEastAsia" w:cstheme="minorEastAsia"/>
          <w:sz w:val="24"/>
          <w:szCs w:val="24"/>
          <w:highlight w:val="none"/>
        </w:rPr>
        <w:t>1、依照合同相关条款的约定，本规定作为合同要求具体化的延伸，甲方对乙方HSE管理的任何不符合现象具有奖惩的权利。</w:t>
      </w:r>
    </w:p>
    <w:p>
      <w:pPr>
        <w:spacing w:line="47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2、HSE处罚主要依据中国南方电网有限责任公司《基建工程安全文明施工检查评价标准表式》中相关表格内容。</w:t>
      </w:r>
    </w:p>
    <w:p>
      <w:pPr>
        <w:spacing w:line="47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3、乙方的现场活动/生产/服务应满足和符合甲方的HSE管理要求和相关管理规则、标准。</w:t>
      </w:r>
    </w:p>
    <w:bookmarkEnd w:id="2"/>
    <w:p>
      <w:pPr>
        <w:adjustRightInd w:val="0"/>
        <w:spacing w:line="470" w:lineRule="exact"/>
        <w:ind w:firstLine="522" w:firstLineChars="200"/>
        <w:jc w:val="left"/>
        <w:outlineLvl w:val="1"/>
        <w:rPr>
          <w:rFonts w:hint="eastAsia" w:asciiTheme="minorEastAsia" w:hAnsiTheme="minorEastAsia" w:eastAsiaTheme="minorEastAsia" w:cstheme="minorEastAsia"/>
          <w:b/>
          <w:spacing w:val="10"/>
          <w:sz w:val="24"/>
          <w:szCs w:val="24"/>
          <w:highlight w:val="none"/>
        </w:rPr>
      </w:pPr>
      <w:bookmarkStart w:id="3" w:name="_Toc301180785"/>
      <w:r>
        <w:rPr>
          <w:rFonts w:hint="eastAsia" w:asciiTheme="minorEastAsia" w:hAnsiTheme="minorEastAsia" w:eastAsiaTheme="minorEastAsia" w:cstheme="minorEastAsia"/>
          <w:b/>
          <w:spacing w:val="10"/>
          <w:sz w:val="24"/>
          <w:szCs w:val="24"/>
          <w:highlight w:val="none"/>
        </w:rPr>
        <w:t>二、基本处罚标准</w:t>
      </w:r>
      <w:bookmarkEnd w:id="3"/>
    </w:p>
    <w:p>
      <w:pPr>
        <w:tabs>
          <w:tab w:val="left" w:pos="1314"/>
        </w:tabs>
        <w:spacing w:line="470" w:lineRule="exact"/>
        <w:ind w:left="-80" w:leftChars="-38" w:firstLine="480" w:firstLineChars="20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1、为保证现场HSE管理透明度，做好经验反馈，落实反事故措施，对发生未遂事故、事件能及时上报的酌情给予警告；但一般不考虑给予经济处罚，以免发生乙方故意隐瞒不报的现象。</w:t>
      </w:r>
    </w:p>
    <w:p>
      <w:pPr>
        <w:tabs>
          <w:tab w:val="left" w:pos="1314"/>
        </w:tabs>
        <w:spacing w:line="470" w:lineRule="exact"/>
        <w:ind w:left="-80" w:leftChars="-38" w:firstLine="480" w:firstLineChars="20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2、发生轻伤事故，给予事故单位扣款3000元。</w:t>
      </w:r>
    </w:p>
    <w:p>
      <w:pPr>
        <w:tabs>
          <w:tab w:val="left" w:pos="1314"/>
        </w:tabs>
        <w:spacing w:line="470" w:lineRule="exact"/>
        <w:ind w:left="-80" w:leftChars="-38" w:firstLine="480" w:firstLineChars="20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3、发生重伤事故，给予事故单位扣款</w:t>
      </w:r>
      <w:r>
        <w:rPr>
          <w:rFonts w:hint="eastAsia" w:asciiTheme="minorEastAsia" w:hAnsiTheme="minorEastAsia" w:eastAsiaTheme="minorEastAsia" w:cstheme="minorEastAsia"/>
          <w:bCs/>
          <w:sz w:val="24"/>
          <w:szCs w:val="24"/>
          <w:highlight w:val="none"/>
          <w:lang w:val="en-US" w:eastAsia="zh-CN"/>
        </w:rPr>
        <w:t>1</w:t>
      </w:r>
      <w:r>
        <w:rPr>
          <w:rFonts w:hint="eastAsia" w:asciiTheme="minorEastAsia" w:hAnsiTheme="minorEastAsia" w:eastAsiaTheme="minorEastAsia" w:cstheme="minorEastAsia"/>
          <w:bCs/>
          <w:sz w:val="24"/>
          <w:szCs w:val="24"/>
          <w:highlight w:val="none"/>
        </w:rPr>
        <w:t>0000元。</w:t>
      </w:r>
    </w:p>
    <w:p>
      <w:pPr>
        <w:tabs>
          <w:tab w:val="left" w:pos="1314"/>
        </w:tabs>
        <w:spacing w:line="470" w:lineRule="exact"/>
        <w:ind w:left="-80" w:leftChars="-38" w:firstLine="480" w:firstLineChars="20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4、发生人身死亡责任事故每人次处以40万元扣款； </w:t>
      </w:r>
    </w:p>
    <w:p>
      <w:pPr>
        <w:tabs>
          <w:tab w:val="left" w:pos="1314"/>
        </w:tabs>
        <w:spacing w:line="470" w:lineRule="exact"/>
        <w:ind w:left="-80" w:leftChars="-38" w:firstLine="480" w:firstLineChars="20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5、一般火灾事故处以</w:t>
      </w:r>
      <w:r>
        <w:rPr>
          <w:rFonts w:hint="eastAsia" w:asciiTheme="minorEastAsia" w:hAnsiTheme="minorEastAsia" w:eastAsiaTheme="minorEastAsia" w:cstheme="minorEastAsia"/>
          <w:bCs/>
          <w:sz w:val="24"/>
          <w:szCs w:val="24"/>
          <w:highlight w:val="none"/>
          <w:lang w:val="en-US" w:eastAsia="zh-CN"/>
        </w:rPr>
        <w:t>1</w:t>
      </w:r>
      <w:r>
        <w:rPr>
          <w:rFonts w:hint="eastAsia" w:asciiTheme="minorEastAsia" w:hAnsiTheme="minorEastAsia" w:eastAsiaTheme="minorEastAsia" w:cstheme="minorEastAsia"/>
          <w:bCs/>
          <w:sz w:val="24"/>
          <w:szCs w:val="24"/>
          <w:highlight w:val="none"/>
        </w:rPr>
        <w:t>0000元扣款（有人身伤亡的按上述款项并处）。</w:t>
      </w:r>
    </w:p>
    <w:p>
      <w:pPr>
        <w:tabs>
          <w:tab w:val="left" w:pos="1314"/>
        </w:tabs>
        <w:spacing w:line="470" w:lineRule="exact"/>
        <w:ind w:left="-80" w:leftChars="-38" w:firstLine="480" w:firstLineChars="20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lang w:val="en-US" w:eastAsia="zh-CN"/>
        </w:rPr>
        <w:t>6</w:t>
      </w:r>
      <w:r>
        <w:rPr>
          <w:rFonts w:hint="eastAsia" w:asciiTheme="minorEastAsia" w:hAnsiTheme="minorEastAsia" w:eastAsiaTheme="minorEastAsia" w:cstheme="minorEastAsia"/>
          <w:bCs/>
          <w:sz w:val="24"/>
          <w:szCs w:val="24"/>
          <w:highlight w:val="none"/>
        </w:rPr>
        <w:t>、因废料、废气造成环境污染的，扣款</w:t>
      </w:r>
      <w:r>
        <w:rPr>
          <w:rFonts w:hint="eastAsia" w:asciiTheme="minorEastAsia" w:hAnsiTheme="minorEastAsia" w:eastAsiaTheme="minorEastAsia" w:cstheme="minorEastAsia"/>
          <w:bCs/>
          <w:sz w:val="24"/>
          <w:szCs w:val="24"/>
          <w:highlight w:val="none"/>
          <w:lang w:val="en-US" w:eastAsia="zh-CN"/>
        </w:rPr>
        <w:t>3</w:t>
      </w:r>
      <w:r>
        <w:rPr>
          <w:rFonts w:hint="eastAsia" w:asciiTheme="minorEastAsia" w:hAnsiTheme="minorEastAsia" w:eastAsiaTheme="minorEastAsia" w:cstheme="minorEastAsia"/>
          <w:bCs/>
          <w:sz w:val="24"/>
          <w:szCs w:val="24"/>
          <w:highlight w:val="none"/>
        </w:rPr>
        <w:t>000元。</w:t>
      </w:r>
    </w:p>
    <w:p>
      <w:pPr>
        <w:tabs>
          <w:tab w:val="left" w:pos="1314"/>
        </w:tabs>
        <w:spacing w:line="470" w:lineRule="exact"/>
        <w:ind w:left="-80" w:leftChars="-38" w:firstLine="480" w:firstLineChars="20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lang w:val="en-US" w:eastAsia="zh-CN"/>
        </w:rPr>
        <w:t>7</w:t>
      </w:r>
      <w:r>
        <w:rPr>
          <w:rFonts w:hint="eastAsia" w:asciiTheme="minorEastAsia" w:hAnsiTheme="minorEastAsia" w:eastAsiaTheme="minorEastAsia" w:cstheme="minorEastAsia"/>
          <w:bCs/>
          <w:sz w:val="24"/>
          <w:szCs w:val="24"/>
          <w:highlight w:val="none"/>
        </w:rPr>
        <w:t>、因违反项目建设部制定的《10KV系统用电管理办法》及相关的用电管理规定，造成停电事故或电气设备受损坏的，除赔偿全部经济损失外，处以5000元的扣款。</w:t>
      </w:r>
    </w:p>
    <w:p>
      <w:pPr>
        <w:tabs>
          <w:tab w:val="left" w:pos="1314"/>
        </w:tabs>
        <w:spacing w:line="470" w:lineRule="exact"/>
        <w:ind w:left="-80" w:leftChars="-38" w:firstLine="480" w:firstLineChars="20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lang w:val="en-US" w:eastAsia="zh-CN"/>
        </w:rPr>
        <w:t>8</w:t>
      </w:r>
      <w:r>
        <w:rPr>
          <w:rFonts w:hint="eastAsia" w:asciiTheme="minorEastAsia" w:hAnsiTheme="minorEastAsia" w:eastAsiaTheme="minorEastAsia" w:cstheme="minorEastAsia"/>
          <w:bCs/>
          <w:sz w:val="24"/>
          <w:szCs w:val="24"/>
          <w:highlight w:val="none"/>
        </w:rPr>
        <w:t>、损坏电缆、光纤，应赔偿全部经济损失。</w:t>
      </w:r>
    </w:p>
    <w:p>
      <w:pPr>
        <w:tabs>
          <w:tab w:val="left" w:pos="1314"/>
        </w:tabs>
        <w:spacing w:line="470" w:lineRule="exact"/>
        <w:ind w:left="-80" w:leftChars="-38" w:firstLine="480" w:firstLineChars="20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lang w:val="en-US" w:eastAsia="zh-CN"/>
        </w:rPr>
        <w:t>9</w:t>
      </w:r>
      <w:r>
        <w:rPr>
          <w:rFonts w:hint="eastAsia" w:asciiTheme="minorEastAsia" w:hAnsiTheme="minorEastAsia" w:eastAsiaTheme="minorEastAsia" w:cstheme="minorEastAsia"/>
          <w:bCs/>
          <w:sz w:val="24"/>
          <w:szCs w:val="24"/>
          <w:highlight w:val="none"/>
        </w:rPr>
        <w:t>、乙方隐瞒事故的按照国家相关法律法规要求，报送上级单位及政府主管部门处理。</w:t>
      </w:r>
    </w:p>
    <w:p>
      <w:pPr>
        <w:tabs>
          <w:tab w:val="left" w:pos="1314"/>
        </w:tabs>
        <w:spacing w:line="470" w:lineRule="exact"/>
        <w:ind w:left="-80" w:leftChars="-38" w:firstLine="480" w:firstLineChars="20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1</w:t>
      </w:r>
      <w:r>
        <w:rPr>
          <w:rFonts w:hint="eastAsia" w:asciiTheme="minorEastAsia" w:hAnsiTheme="minorEastAsia" w:eastAsiaTheme="minorEastAsia" w:cstheme="minorEastAsia"/>
          <w:bCs/>
          <w:sz w:val="24"/>
          <w:szCs w:val="24"/>
          <w:highlight w:val="none"/>
          <w:lang w:val="en-US" w:eastAsia="zh-CN"/>
        </w:rPr>
        <w:t>0</w:t>
      </w:r>
      <w:r>
        <w:rPr>
          <w:rFonts w:hint="eastAsia" w:asciiTheme="minorEastAsia" w:hAnsiTheme="minorEastAsia" w:eastAsiaTheme="minorEastAsia" w:cstheme="minorEastAsia"/>
          <w:bCs/>
          <w:sz w:val="24"/>
          <w:szCs w:val="24"/>
          <w:highlight w:val="none"/>
        </w:rPr>
        <w:t>、对甲方以《施工现场安全整改通知单》、检查通报、检查会议纪要等形式提出的整改要求；乙方逾期不整改或拒绝整改的，酌情给予扣款3000元；依然不能满足管理要求的，甲方有权要求乙方更换责任人员，甚至停工整改。</w:t>
      </w:r>
    </w:p>
    <w:p>
      <w:pPr>
        <w:tabs>
          <w:tab w:val="left" w:pos="1314"/>
        </w:tabs>
        <w:spacing w:line="470" w:lineRule="exact"/>
        <w:ind w:left="-80" w:leftChars="-38" w:firstLine="480" w:firstLineChars="20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1</w:t>
      </w:r>
      <w:r>
        <w:rPr>
          <w:rFonts w:hint="eastAsia" w:asciiTheme="minorEastAsia" w:hAnsiTheme="minorEastAsia" w:eastAsiaTheme="minorEastAsia" w:cstheme="minorEastAsia"/>
          <w:bCs/>
          <w:sz w:val="24"/>
          <w:szCs w:val="24"/>
          <w:highlight w:val="none"/>
          <w:lang w:val="en-US" w:eastAsia="zh-CN"/>
        </w:rPr>
        <w:t>1、</w:t>
      </w:r>
      <w:r>
        <w:rPr>
          <w:rFonts w:hint="eastAsia" w:asciiTheme="minorEastAsia" w:hAnsiTheme="minorEastAsia" w:eastAsiaTheme="minorEastAsia" w:cstheme="minorEastAsia"/>
          <w:bCs/>
          <w:sz w:val="24"/>
          <w:szCs w:val="24"/>
          <w:highlight w:val="none"/>
        </w:rPr>
        <w:t>乙方的管理人员对甲方管理人员提出的合理安全管理要求，不予配合的，处扣款1000元。甚至采取谩骂、威胁等行为的，甲方有权要求乙方清退、更换责任人员，并处扣款5000元。</w:t>
      </w:r>
    </w:p>
    <w:p>
      <w:pPr>
        <w:tabs>
          <w:tab w:val="left" w:pos="1314"/>
        </w:tabs>
        <w:spacing w:line="470" w:lineRule="exact"/>
        <w:ind w:left="-80" w:leftChars="-38" w:firstLine="480" w:firstLineChars="20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1</w:t>
      </w:r>
      <w:r>
        <w:rPr>
          <w:rFonts w:hint="eastAsia" w:asciiTheme="minorEastAsia" w:hAnsiTheme="minorEastAsia" w:eastAsiaTheme="minorEastAsia" w:cstheme="minorEastAsia"/>
          <w:bCs/>
          <w:sz w:val="24"/>
          <w:szCs w:val="24"/>
          <w:highlight w:val="none"/>
          <w:lang w:val="en-US" w:eastAsia="zh-CN"/>
        </w:rPr>
        <w:t>2</w:t>
      </w:r>
      <w:r>
        <w:rPr>
          <w:rFonts w:hint="eastAsia" w:asciiTheme="minorEastAsia" w:hAnsiTheme="minorEastAsia" w:eastAsiaTheme="minorEastAsia" w:cstheme="minorEastAsia"/>
          <w:bCs/>
          <w:sz w:val="24"/>
          <w:szCs w:val="24"/>
          <w:highlight w:val="none"/>
        </w:rPr>
        <w:t>、现场因安全、职业健康、环境保护管理不到位或违章违法行为等原因，被甲方、监理单位下发停工令的，给予扣款5000元/起。</w:t>
      </w:r>
    </w:p>
    <w:p>
      <w:pPr>
        <w:tabs>
          <w:tab w:val="left" w:pos="1314"/>
        </w:tabs>
        <w:spacing w:line="470" w:lineRule="exact"/>
        <w:ind w:left="-80" w:leftChars="-38" w:firstLine="482" w:firstLineChars="200"/>
        <w:rPr>
          <w:rFonts w:hint="eastAsia" w:asciiTheme="minorEastAsia" w:hAnsiTheme="minorEastAsia" w:eastAsiaTheme="minorEastAsia" w:cstheme="minorEastAsia"/>
          <w:b/>
          <w:bCs/>
          <w:sz w:val="24"/>
          <w:szCs w:val="24"/>
          <w:highlight w:val="none"/>
        </w:rPr>
      </w:pPr>
      <w:bookmarkStart w:id="4" w:name="_Toc301180786"/>
      <w:r>
        <w:rPr>
          <w:rFonts w:hint="eastAsia" w:asciiTheme="minorEastAsia" w:hAnsiTheme="minorEastAsia" w:eastAsiaTheme="minorEastAsia" w:cstheme="minorEastAsia"/>
          <w:b/>
          <w:bCs/>
          <w:sz w:val="24"/>
          <w:szCs w:val="24"/>
          <w:highlight w:val="none"/>
        </w:rPr>
        <w:t>三、HSE管理考核标准</w:t>
      </w:r>
      <w:bookmarkEnd w:id="4"/>
    </w:p>
    <w:p>
      <w:pPr>
        <w:tabs>
          <w:tab w:val="left" w:pos="1314"/>
        </w:tabs>
        <w:spacing w:line="470" w:lineRule="exact"/>
        <w:ind w:left="-80" w:leftChars="-38" w:firstLine="480" w:firstLineChars="20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以下各项主要针对单位进行处罚；视情节（指管理责任）对主管安全领导处罚1000元；对相关部门负责人处罚500元。</w:t>
      </w:r>
    </w:p>
    <w:p>
      <w:pPr>
        <w:spacing w:line="360" w:lineRule="auto"/>
        <w:ind w:firstLine="482" w:firstLineChars="200"/>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1、应急预案与响应</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未按要求开展应急管理工作的，扣款3000元。</w:t>
      </w:r>
    </w:p>
    <w:p>
      <w:pPr>
        <w:spacing w:line="360" w:lineRule="auto"/>
        <w:ind w:firstLine="482" w:firstLineChars="200"/>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lang w:val="en-US" w:eastAsia="zh-CN"/>
        </w:rPr>
        <w:t>2</w:t>
      </w:r>
      <w:r>
        <w:rPr>
          <w:rFonts w:hint="eastAsia" w:asciiTheme="minorEastAsia" w:hAnsiTheme="minorEastAsia" w:eastAsiaTheme="minorEastAsia" w:cstheme="minorEastAsia"/>
          <w:b/>
          <w:bCs/>
          <w:kern w:val="0"/>
          <w:sz w:val="24"/>
          <w:szCs w:val="24"/>
          <w:highlight w:val="none"/>
        </w:rPr>
        <w:t>、危险源辨识及风险评价</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（1）未执行班前站班会的</w:t>
      </w:r>
      <w:r>
        <w:rPr>
          <w:rFonts w:hint="eastAsia" w:asciiTheme="minorEastAsia" w:hAnsiTheme="minorEastAsia" w:eastAsiaTheme="minorEastAsia" w:cstheme="minorEastAsia"/>
          <w:bCs/>
          <w:kern w:val="0"/>
          <w:sz w:val="24"/>
          <w:szCs w:val="24"/>
          <w:highlight w:val="none"/>
          <w:lang w:eastAsia="zh-CN"/>
        </w:rPr>
        <w:t>或记录不完整的</w:t>
      </w:r>
      <w:r>
        <w:rPr>
          <w:rFonts w:hint="eastAsia" w:asciiTheme="minorEastAsia" w:hAnsiTheme="minorEastAsia" w:eastAsiaTheme="minorEastAsia" w:cstheme="minorEastAsia"/>
          <w:bCs/>
          <w:kern w:val="0"/>
          <w:sz w:val="24"/>
          <w:szCs w:val="24"/>
          <w:highlight w:val="none"/>
        </w:rPr>
        <w:t>，扣款2000元。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（2）未对危险源进行识别、评价、未对重大危险源进行控制、策划、建档并针对其编制安全技术措施（方案），制定应急预案的，扣款5000元。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（3）进行危险性大的作业时，没有安排专人进行现场管理，指挥人员没有相应资质，以及未按安全操作规程作业的，扣款5000元。</w:t>
      </w:r>
    </w:p>
    <w:p>
      <w:pPr>
        <w:spacing w:line="360" w:lineRule="auto"/>
        <w:ind w:firstLine="482" w:firstLineChars="200"/>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lang w:val="en-US" w:eastAsia="zh-CN"/>
        </w:rPr>
        <w:t>3</w:t>
      </w:r>
      <w:r>
        <w:rPr>
          <w:rFonts w:hint="eastAsia" w:asciiTheme="minorEastAsia" w:hAnsiTheme="minorEastAsia" w:eastAsiaTheme="minorEastAsia" w:cstheme="minorEastAsia"/>
          <w:b/>
          <w:bCs/>
          <w:kern w:val="0"/>
          <w:sz w:val="24"/>
          <w:szCs w:val="24"/>
          <w:highlight w:val="none"/>
        </w:rPr>
        <w:t>、安全教育培训</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（1）安排未经安全教育或安全</w:t>
      </w:r>
      <w:r>
        <w:rPr>
          <w:rFonts w:hint="eastAsia" w:asciiTheme="minorEastAsia" w:hAnsiTheme="minorEastAsia" w:eastAsiaTheme="minorEastAsia" w:cstheme="minorEastAsia"/>
          <w:bCs/>
          <w:kern w:val="0"/>
          <w:sz w:val="24"/>
          <w:szCs w:val="24"/>
          <w:highlight w:val="none"/>
          <w:lang w:eastAsia="zh-CN"/>
        </w:rPr>
        <w:t>考试</w:t>
      </w:r>
      <w:r>
        <w:rPr>
          <w:rFonts w:hint="eastAsia" w:asciiTheme="minorEastAsia" w:hAnsiTheme="minorEastAsia" w:eastAsiaTheme="minorEastAsia" w:cstheme="minorEastAsia"/>
          <w:bCs/>
          <w:kern w:val="0"/>
          <w:sz w:val="24"/>
          <w:szCs w:val="24"/>
          <w:highlight w:val="none"/>
        </w:rPr>
        <w:t>不合格的人员进行现场施工的，扣款200元/人。</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（2）对新进人员不开展入场安全教育或不进行安全培训及考试，教育培训记录不完整的，扣款200元/人。</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（3）施工安全技术措施不交底或不履行签字手续，或不严格执行施工措施及方案的，</w:t>
      </w:r>
      <w:r>
        <w:rPr>
          <w:rFonts w:hint="eastAsia" w:asciiTheme="minorEastAsia" w:hAnsiTheme="minorEastAsia" w:eastAsiaTheme="minorEastAsia" w:cstheme="minorEastAsia"/>
          <w:bCs/>
          <w:kern w:val="0"/>
          <w:sz w:val="24"/>
          <w:szCs w:val="24"/>
          <w:highlight w:val="none"/>
          <w:lang w:val="en-US" w:eastAsia="zh-CN"/>
        </w:rPr>
        <w:t>扣款</w:t>
      </w:r>
      <w:r>
        <w:rPr>
          <w:rFonts w:hint="eastAsia" w:asciiTheme="minorEastAsia" w:hAnsiTheme="minorEastAsia" w:eastAsiaTheme="minorEastAsia" w:cstheme="minorEastAsia"/>
          <w:bCs/>
          <w:kern w:val="0"/>
          <w:sz w:val="24"/>
          <w:szCs w:val="24"/>
          <w:highlight w:val="none"/>
        </w:rPr>
        <w:t>3000元。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4</w:t>
      </w:r>
      <w:r>
        <w:rPr>
          <w:rFonts w:hint="eastAsia" w:asciiTheme="minorEastAsia" w:hAnsiTheme="minorEastAsia" w:eastAsiaTheme="minorEastAsia" w:cstheme="minorEastAsia"/>
          <w:bCs/>
          <w:kern w:val="0"/>
          <w:sz w:val="24"/>
          <w:szCs w:val="24"/>
          <w:highlight w:val="none"/>
        </w:rPr>
        <w:t>）施工作业票不交底或不履行签字手续扣款500元。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5</w:t>
      </w:r>
      <w:r>
        <w:rPr>
          <w:rFonts w:hint="eastAsia" w:asciiTheme="minorEastAsia" w:hAnsiTheme="minorEastAsia" w:eastAsiaTheme="minorEastAsia" w:cstheme="minorEastAsia"/>
          <w:bCs/>
          <w:kern w:val="0"/>
          <w:sz w:val="24"/>
          <w:szCs w:val="24"/>
          <w:highlight w:val="none"/>
        </w:rPr>
        <w:t>）安排未经安全教育或安全</w:t>
      </w:r>
      <w:r>
        <w:rPr>
          <w:rFonts w:hint="eastAsia" w:asciiTheme="minorEastAsia" w:hAnsiTheme="minorEastAsia" w:eastAsiaTheme="minorEastAsia" w:cstheme="minorEastAsia"/>
          <w:bCs/>
          <w:kern w:val="0"/>
          <w:sz w:val="24"/>
          <w:szCs w:val="24"/>
          <w:highlight w:val="none"/>
          <w:lang w:val="en-US" w:eastAsia="zh-CN"/>
        </w:rPr>
        <w:t>考试</w:t>
      </w:r>
      <w:r>
        <w:rPr>
          <w:rFonts w:hint="eastAsia" w:asciiTheme="minorEastAsia" w:hAnsiTheme="minorEastAsia" w:eastAsiaTheme="minorEastAsia" w:cstheme="minorEastAsia"/>
          <w:bCs/>
          <w:kern w:val="0"/>
          <w:sz w:val="24"/>
          <w:szCs w:val="24"/>
          <w:highlight w:val="none"/>
        </w:rPr>
        <w:t>不合格的人员进行现场施工的，扣款500元/人。</w:t>
      </w:r>
    </w:p>
    <w:p>
      <w:pPr>
        <w:spacing w:line="360" w:lineRule="auto"/>
        <w:ind w:firstLine="480" w:firstLineChars="200"/>
        <w:rPr>
          <w:rFonts w:hint="eastAsia" w:asciiTheme="minorEastAsia" w:hAnsiTheme="minorEastAsia" w:eastAsiaTheme="minorEastAsia" w:cstheme="minorEastAsia"/>
          <w:bCs/>
          <w:kern w:val="0"/>
          <w:sz w:val="24"/>
          <w:szCs w:val="24"/>
          <w:highlight w:val="none"/>
          <w:lang w:eastAsia="zh-CN"/>
        </w:rPr>
      </w:pPr>
      <w:r>
        <w:rPr>
          <w:rFonts w:hint="eastAsia" w:asciiTheme="minorEastAsia" w:hAnsiTheme="minorEastAsia" w:eastAsiaTheme="minorEastAsia" w:cstheme="minorEastAsia"/>
          <w:bCs/>
          <w:kern w:val="0"/>
          <w:sz w:val="24"/>
          <w:szCs w:val="24"/>
          <w:highlight w:val="none"/>
          <w:lang w:eastAsia="zh-CN"/>
        </w:rPr>
        <w:t>（</w:t>
      </w:r>
      <w:r>
        <w:rPr>
          <w:rFonts w:hint="eastAsia" w:asciiTheme="minorEastAsia" w:hAnsiTheme="minorEastAsia" w:eastAsiaTheme="minorEastAsia" w:cstheme="minorEastAsia"/>
          <w:bCs/>
          <w:kern w:val="0"/>
          <w:sz w:val="24"/>
          <w:szCs w:val="24"/>
          <w:highlight w:val="none"/>
          <w:lang w:val="en-US" w:eastAsia="zh-CN"/>
        </w:rPr>
        <w:t>6</w:t>
      </w:r>
      <w:r>
        <w:rPr>
          <w:rFonts w:hint="eastAsia" w:asciiTheme="minorEastAsia" w:hAnsiTheme="minorEastAsia" w:eastAsiaTheme="minorEastAsia" w:cstheme="minorEastAsia"/>
          <w:bCs/>
          <w:kern w:val="0"/>
          <w:sz w:val="24"/>
          <w:szCs w:val="24"/>
          <w:highlight w:val="none"/>
          <w:lang w:eastAsia="zh-CN"/>
        </w:rPr>
        <w:t>）培训代签名的（培训签到表），</w:t>
      </w:r>
      <w:r>
        <w:rPr>
          <w:rFonts w:hint="eastAsia" w:asciiTheme="minorEastAsia" w:hAnsiTheme="minorEastAsia" w:eastAsiaTheme="minorEastAsia" w:cstheme="minorEastAsia"/>
          <w:bCs/>
          <w:kern w:val="0"/>
          <w:sz w:val="24"/>
          <w:szCs w:val="24"/>
          <w:highlight w:val="none"/>
        </w:rPr>
        <w:t>扣款</w:t>
      </w:r>
      <w:r>
        <w:rPr>
          <w:rFonts w:hint="eastAsia" w:asciiTheme="minorEastAsia" w:hAnsiTheme="minorEastAsia" w:eastAsiaTheme="minorEastAsia" w:cstheme="minorEastAsia"/>
          <w:bCs/>
          <w:kern w:val="0"/>
          <w:sz w:val="24"/>
          <w:szCs w:val="24"/>
          <w:highlight w:val="none"/>
          <w:lang w:val="en-US" w:eastAsia="zh-CN"/>
        </w:rPr>
        <w:t>2</w:t>
      </w:r>
      <w:r>
        <w:rPr>
          <w:rFonts w:hint="eastAsia" w:asciiTheme="minorEastAsia" w:hAnsiTheme="minorEastAsia" w:eastAsiaTheme="minorEastAsia" w:cstheme="minorEastAsia"/>
          <w:bCs/>
          <w:kern w:val="0"/>
          <w:sz w:val="24"/>
          <w:szCs w:val="24"/>
          <w:highlight w:val="none"/>
        </w:rPr>
        <w:t>00元</w:t>
      </w:r>
      <w:r>
        <w:rPr>
          <w:rFonts w:hint="eastAsia" w:asciiTheme="minorEastAsia" w:hAnsiTheme="minorEastAsia" w:eastAsiaTheme="minorEastAsia" w:cstheme="minorEastAsia"/>
          <w:bCs/>
          <w:kern w:val="0"/>
          <w:sz w:val="24"/>
          <w:szCs w:val="24"/>
          <w:highlight w:val="none"/>
          <w:lang w:val="en-US" w:eastAsia="zh-CN"/>
        </w:rPr>
        <w:t>。</w:t>
      </w:r>
    </w:p>
    <w:p>
      <w:pPr>
        <w:spacing w:line="360" w:lineRule="auto"/>
        <w:ind w:firstLine="482" w:firstLineChars="200"/>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lang w:val="en-US" w:eastAsia="zh-CN"/>
        </w:rPr>
        <w:t>4</w:t>
      </w:r>
      <w:r>
        <w:rPr>
          <w:rFonts w:hint="eastAsia" w:asciiTheme="minorEastAsia" w:hAnsiTheme="minorEastAsia" w:eastAsiaTheme="minorEastAsia" w:cstheme="minorEastAsia"/>
          <w:b/>
          <w:bCs/>
          <w:kern w:val="0"/>
          <w:sz w:val="24"/>
          <w:szCs w:val="24"/>
          <w:highlight w:val="none"/>
        </w:rPr>
        <w:t>、特种作业人员管理</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（1）安排没有取得特种作业操作资格证书人员进行作业的，扣款1000元/人次。</w:t>
      </w:r>
    </w:p>
    <w:p>
      <w:pPr>
        <w:spacing w:line="360" w:lineRule="auto"/>
        <w:ind w:firstLine="482" w:firstLineChars="200"/>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lang w:val="en-US" w:eastAsia="zh-CN"/>
        </w:rPr>
        <w:t>5</w:t>
      </w:r>
      <w:r>
        <w:rPr>
          <w:rFonts w:hint="eastAsia" w:asciiTheme="minorEastAsia" w:hAnsiTheme="minorEastAsia" w:eastAsiaTheme="minorEastAsia" w:cstheme="minorEastAsia"/>
          <w:b/>
          <w:bCs/>
          <w:kern w:val="0"/>
          <w:sz w:val="24"/>
          <w:szCs w:val="24"/>
          <w:highlight w:val="none"/>
        </w:rPr>
        <w:t>、安全技术措施计划</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（1）没有编制安全技术措施方案，或未报业主方审批、存档备查而擅自开工的，扣款5000元/次。</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（2）不按施工方案采取安全措施组织施工，扣款1000元/次。</w:t>
      </w:r>
    </w:p>
    <w:p>
      <w:pPr>
        <w:spacing w:line="360" w:lineRule="auto"/>
        <w:ind w:firstLine="482" w:firstLineChars="200"/>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lang w:val="en-US" w:eastAsia="zh-CN"/>
        </w:rPr>
        <w:t>6</w:t>
      </w:r>
      <w:r>
        <w:rPr>
          <w:rFonts w:hint="eastAsia" w:asciiTheme="minorEastAsia" w:hAnsiTheme="minorEastAsia" w:eastAsiaTheme="minorEastAsia" w:cstheme="minorEastAsia"/>
          <w:b/>
          <w:bCs/>
          <w:kern w:val="0"/>
          <w:sz w:val="24"/>
          <w:szCs w:val="24"/>
          <w:highlight w:val="none"/>
        </w:rPr>
        <w:t>、作业指导书（专项方案）</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（1）没有编制安全技术措施方案，或未报业主方审批、存档备查而擅自开工的，扣款5000元/次。</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（2）进行危险性大的作业时，没有编制专项施工措施或安全措施、未经审批的、或没有进行专家论证的、没有安排专人进行现场管理、指挥人员没有相应资质、以及未按安全操作规程作业的，扣款5000元。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（3）施工安全技术措施不交底或不履行签字手续或不严格执行施工措施、方案的，扣款2000元。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（4）不按施工方案采取安全措施组织施工，扣款1000元/次。</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（5）</w:t>
      </w:r>
      <w:r>
        <w:rPr>
          <w:rFonts w:hint="eastAsia" w:asciiTheme="minorEastAsia" w:hAnsiTheme="minorEastAsia" w:eastAsiaTheme="minorEastAsia" w:cstheme="minorEastAsia"/>
          <w:bCs/>
          <w:kern w:val="0"/>
          <w:sz w:val="24"/>
          <w:szCs w:val="24"/>
          <w:highlight w:val="none"/>
          <w:lang w:val="en-US" w:eastAsia="zh-CN"/>
        </w:rPr>
        <w:t>对</w:t>
      </w:r>
      <w:r>
        <w:rPr>
          <w:rFonts w:hint="eastAsia" w:asciiTheme="minorEastAsia" w:hAnsiTheme="minorEastAsia" w:eastAsiaTheme="minorEastAsia" w:cstheme="minorEastAsia"/>
          <w:bCs/>
          <w:kern w:val="0"/>
          <w:sz w:val="24"/>
          <w:szCs w:val="24"/>
          <w:highlight w:val="none"/>
        </w:rPr>
        <w:t>高处作业等危险性作业项目，未办理安全施工作业票，未指定监护人的，扣款500元。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（6）安全技术措施有错误或缺陷，未经过有关部门和监理审核、审批就组织施工的，扣款1000元。</w:t>
      </w:r>
    </w:p>
    <w:p>
      <w:pPr>
        <w:spacing w:line="360" w:lineRule="auto"/>
        <w:ind w:firstLine="482" w:firstLineChars="200"/>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lang w:val="en-US" w:eastAsia="zh-CN"/>
        </w:rPr>
        <w:t>7</w:t>
      </w:r>
      <w:r>
        <w:rPr>
          <w:rFonts w:hint="eastAsia" w:asciiTheme="minorEastAsia" w:hAnsiTheme="minorEastAsia" w:eastAsiaTheme="minorEastAsia" w:cstheme="minorEastAsia"/>
          <w:b/>
          <w:bCs/>
          <w:kern w:val="0"/>
          <w:sz w:val="24"/>
          <w:szCs w:val="24"/>
          <w:highlight w:val="none"/>
        </w:rPr>
        <w:t>、施工机械设备、安全工器具管理</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（1）未定期对施工</w:t>
      </w:r>
      <w:r>
        <w:rPr>
          <w:rFonts w:hint="eastAsia" w:asciiTheme="minorEastAsia" w:hAnsiTheme="minorEastAsia" w:eastAsiaTheme="minorEastAsia" w:cstheme="minorEastAsia"/>
          <w:bCs/>
          <w:kern w:val="0"/>
          <w:sz w:val="24"/>
          <w:szCs w:val="24"/>
          <w:highlight w:val="none"/>
          <w:lang w:val="en-US" w:eastAsia="zh-CN"/>
        </w:rPr>
        <w:t>工器具</w:t>
      </w:r>
      <w:r>
        <w:rPr>
          <w:rFonts w:hint="eastAsia" w:asciiTheme="minorEastAsia" w:hAnsiTheme="minorEastAsia" w:eastAsiaTheme="minorEastAsia" w:cstheme="minorEastAsia"/>
          <w:bCs/>
          <w:kern w:val="0"/>
          <w:sz w:val="24"/>
          <w:szCs w:val="24"/>
          <w:highlight w:val="none"/>
        </w:rPr>
        <w:t>和设备进行检验，施工中使用不安全的</w:t>
      </w:r>
      <w:r>
        <w:rPr>
          <w:rFonts w:hint="eastAsia" w:asciiTheme="minorEastAsia" w:hAnsiTheme="minorEastAsia" w:eastAsiaTheme="minorEastAsia" w:cstheme="minorEastAsia"/>
          <w:bCs/>
          <w:kern w:val="0"/>
          <w:sz w:val="24"/>
          <w:szCs w:val="24"/>
          <w:highlight w:val="none"/>
          <w:lang w:val="en-US" w:eastAsia="zh-CN"/>
        </w:rPr>
        <w:t>工器具</w:t>
      </w:r>
      <w:r>
        <w:rPr>
          <w:rFonts w:hint="eastAsia" w:asciiTheme="minorEastAsia" w:hAnsiTheme="minorEastAsia" w:eastAsiaTheme="minorEastAsia" w:cstheme="minorEastAsia"/>
          <w:bCs/>
          <w:kern w:val="0"/>
          <w:sz w:val="24"/>
          <w:szCs w:val="24"/>
          <w:highlight w:val="none"/>
        </w:rPr>
        <w:t>和设备，扣款</w:t>
      </w:r>
      <w:r>
        <w:rPr>
          <w:rFonts w:hint="eastAsia" w:asciiTheme="minorEastAsia" w:hAnsiTheme="minorEastAsia" w:eastAsiaTheme="minorEastAsia" w:cstheme="minorEastAsia"/>
          <w:bCs/>
          <w:kern w:val="0"/>
          <w:sz w:val="24"/>
          <w:szCs w:val="24"/>
          <w:highlight w:val="none"/>
          <w:lang w:val="en-US" w:eastAsia="zh-CN"/>
        </w:rPr>
        <w:t>1000</w:t>
      </w:r>
      <w:r>
        <w:rPr>
          <w:rFonts w:hint="eastAsia" w:asciiTheme="minorEastAsia" w:hAnsiTheme="minorEastAsia" w:eastAsiaTheme="minorEastAsia" w:cstheme="minorEastAsia"/>
          <w:bCs/>
          <w:kern w:val="0"/>
          <w:sz w:val="24"/>
          <w:szCs w:val="24"/>
          <w:highlight w:val="none"/>
        </w:rPr>
        <w:t>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（2）安全工器具、临时用电、消防未指定专人负责管理，或管理责任人未到位，管理人员未开展定期检查的，扣款</w:t>
      </w:r>
      <w:r>
        <w:rPr>
          <w:rFonts w:hint="eastAsia" w:asciiTheme="minorEastAsia" w:hAnsiTheme="minorEastAsia" w:eastAsiaTheme="minorEastAsia" w:cstheme="minorEastAsia"/>
          <w:bCs/>
          <w:kern w:val="0"/>
          <w:sz w:val="24"/>
          <w:szCs w:val="24"/>
          <w:highlight w:val="none"/>
          <w:lang w:val="en-US" w:eastAsia="zh-CN"/>
        </w:rPr>
        <w:t>1500</w:t>
      </w:r>
      <w:r>
        <w:rPr>
          <w:rFonts w:hint="eastAsia" w:asciiTheme="minorEastAsia" w:hAnsiTheme="minorEastAsia" w:eastAsiaTheme="minorEastAsia" w:cstheme="minorEastAsia"/>
          <w:bCs/>
          <w:kern w:val="0"/>
          <w:sz w:val="24"/>
          <w:szCs w:val="24"/>
          <w:highlight w:val="none"/>
        </w:rPr>
        <w:t>元。</w:t>
      </w:r>
    </w:p>
    <w:p>
      <w:pPr>
        <w:spacing w:line="360" w:lineRule="auto"/>
        <w:ind w:firstLine="480" w:firstLineChars="200"/>
        <w:rPr>
          <w:rFonts w:hint="eastAsia" w:asciiTheme="minorEastAsia" w:hAnsiTheme="minorEastAsia" w:eastAsiaTheme="minorEastAsia" w:cstheme="minorEastAsia"/>
          <w:bCs/>
          <w:kern w:val="0"/>
          <w:sz w:val="24"/>
          <w:szCs w:val="24"/>
          <w:highlight w:val="none"/>
          <w:lang w:eastAsia="zh-CN"/>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3</w:t>
      </w:r>
      <w:r>
        <w:rPr>
          <w:rFonts w:hint="eastAsia" w:asciiTheme="minorEastAsia" w:hAnsiTheme="minorEastAsia" w:eastAsiaTheme="minorEastAsia" w:cstheme="minorEastAsia"/>
          <w:bCs/>
          <w:kern w:val="0"/>
          <w:sz w:val="24"/>
          <w:szCs w:val="24"/>
          <w:highlight w:val="none"/>
        </w:rPr>
        <w:t>）安全工器具</w:t>
      </w:r>
      <w:r>
        <w:rPr>
          <w:rFonts w:hint="eastAsia" w:asciiTheme="minorEastAsia" w:hAnsiTheme="minorEastAsia" w:eastAsiaTheme="minorEastAsia" w:cstheme="minorEastAsia"/>
          <w:bCs/>
          <w:kern w:val="0"/>
          <w:sz w:val="24"/>
          <w:szCs w:val="24"/>
          <w:highlight w:val="none"/>
          <w:lang w:eastAsia="zh-CN"/>
        </w:rPr>
        <w:t>等检验日期过期的，</w:t>
      </w:r>
      <w:r>
        <w:rPr>
          <w:rFonts w:hint="eastAsia" w:asciiTheme="minorEastAsia" w:hAnsiTheme="minorEastAsia" w:eastAsiaTheme="minorEastAsia" w:cstheme="minorEastAsia"/>
          <w:bCs/>
          <w:kern w:val="0"/>
          <w:sz w:val="24"/>
          <w:szCs w:val="24"/>
          <w:highlight w:val="none"/>
        </w:rPr>
        <w:t>扣款</w:t>
      </w:r>
      <w:r>
        <w:rPr>
          <w:rFonts w:hint="eastAsia" w:asciiTheme="minorEastAsia" w:hAnsiTheme="minorEastAsia" w:eastAsiaTheme="minorEastAsia" w:cstheme="minorEastAsia"/>
          <w:bCs/>
          <w:kern w:val="0"/>
          <w:sz w:val="24"/>
          <w:szCs w:val="24"/>
          <w:highlight w:val="none"/>
          <w:lang w:val="en-US" w:eastAsia="zh-CN"/>
        </w:rPr>
        <w:t>300</w:t>
      </w:r>
      <w:r>
        <w:rPr>
          <w:rFonts w:hint="eastAsia" w:asciiTheme="minorEastAsia" w:hAnsiTheme="minorEastAsia" w:eastAsiaTheme="minorEastAsia" w:cstheme="minorEastAsia"/>
          <w:bCs/>
          <w:kern w:val="0"/>
          <w:sz w:val="24"/>
          <w:szCs w:val="24"/>
          <w:highlight w:val="none"/>
        </w:rPr>
        <w:t>元</w:t>
      </w:r>
    </w:p>
    <w:p>
      <w:pPr>
        <w:spacing w:line="360" w:lineRule="auto"/>
        <w:ind w:firstLine="482" w:firstLineChars="200"/>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lang w:val="en-US" w:eastAsia="zh-CN"/>
        </w:rPr>
        <w:t>8</w:t>
      </w:r>
      <w:r>
        <w:rPr>
          <w:rFonts w:hint="eastAsia" w:asciiTheme="minorEastAsia" w:hAnsiTheme="minorEastAsia" w:eastAsiaTheme="minorEastAsia" w:cstheme="minorEastAsia"/>
          <w:b/>
          <w:bCs/>
          <w:kern w:val="0"/>
          <w:sz w:val="24"/>
          <w:szCs w:val="24"/>
          <w:highlight w:val="none"/>
        </w:rPr>
        <w:t>、个人安全防护用品</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（1）个人安全防护用品管理不规范的，扣款1000元。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（2）个人安全防护用品未按规范要求使用的</w:t>
      </w:r>
      <w:r>
        <w:rPr>
          <w:rFonts w:hint="eastAsia" w:asciiTheme="minorEastAsia" w:hAnsiTheme="minorEastAsia" w:eastAsiaTheme="minorEastAsia" w:cstheme="minorEastAsia"/>
          <w:bCs/>
          <w:kern w:val="0"/>
          <w:sz w:val="24"/>
          <w:szCs w:val="24"/>
          <w:highlight w:val="none"/>
          <w:lang w:eastAsia="zh-CN"/>
        </w:rPr>
        <w:t>（如：安全带抵挂高用的）</w:t>
      </w:r>
      <w:r>
        <w:rPr>
          <w:rFonts w:hint="eastAsia" w:asciiTheme="minorEastAsia" w:hAnsiTheme="minorEastAsia" w:eastAsiaTheme="minorEastAsia" w:cstheme="minorEastAsia"/>
          <w:bCs/>
          <w:kern w:val="0"/>
          <w:sz w:val="24"/>
          <w:szCs w:val="24"/>
          <w:highlight w:val="none"/>
        </w:rPr>
        <w:t>，扣款500元/次。</w:t>
      </w:r>
    </w:p>
    <w:p>
      <w:pPr>
        <w:spacing w:line="360" w:lineRule="auto"/>
        <w:ind w:firstLine="482" w:firstLineChars="200"/>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lang w:val="en-US" w:eastAsia="zh-CN"/>
        </w:rPr>
        <w:t>9</w:t>
      </w:r>
      <w:r>
        <w:rPr>
          <w:rFonts w:hint="eastAsia" w:asciiTheme="minorEastAsia" w:hAnsiTheme="minorEastAsia" w:eastAsiaTheme="minorEastAsia" w:cstheme="minorEastAsia"/>
          <w:b/>
          <w:bCs/>
          <w:kern w:val="0"/>
          <w:sz w:val="24"/>
          <w:szCs w:val="24"/>
          <w:highlight w:val="none"/>
        </w:rPr>
        <w:t>、临时提示遮栏及防护栏杆</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（1）没有在其施工区域内的危险场所或部位设置明显的安全警示标志或使用不符合国家标准或行业标准的安全警示标志的，视情况扣款</w:t>
      </w:r>
      <w:r>
        <w:rPr>
          <w:rFonts w:hint="eastAsia" w:asciiTheme="minorEastAsia" w:hAnsiTheme="minorEastAsia" w:eastAsiaTheme="minorEastAsia" w:cstheme="minorEastAsia"/>
          <w:bCs/>
          <w:kern w:val="0"/>
          <w:sz w:val="24"/>
          <w:szCs w:val="24"/>
          <w:highlight w:val="none"/>
          <w:lang w:val="en-US" w:eastAsia="zh-CN"/>
        </w:rPr>
        <w:t>3</w:t>
      </w:r>
      <w:r>
        <w:rPr>
          <w:rFonts w:hint="eastAsia" w:asciiTheme="minorEastAsia" w:hAnsiTheme="minorEastAsia" w:eastAsiaTheme="minorEastAsia" w:cstheme="minorEastAsia"/>
          <w:bCs/>
          <w:kern w:val="0"/>
          <w:sz w:val="24"/>
          <w:szCs w:val="24"/>
          <w:highlight w:val="none"/>
        </w:rPr>
        <w:t>00元/处。</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（2）施工作业区施工警戒、安全警告标志告知牌等不完善就组织施工的，扣款1000元。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（3）未设防护栏或设置不规范的，视情况扣款</w:t>
      </w:r>
      <w:r>
        <w:rPr>
          <w:rFonts w:hint="eastAsia" w:asciiTheme="minorEastAsia" w:hAnsiTheme="minorEastAsia" w:eastAsiaTheme="minorEastAsia" w:cstheme="minorEastAsia"/>
          <w:bCs/>
          <w:kern w:val="0"/>
          <w:sz w:val="24"/>
          <w:szCs w:val="24"/>
          <w:highlight w:val="none"/>
          <w:lang w:val="en-US" w:eastAsia="zh-CN"/>
        </w:rPr>
        <w:t>3</w:t>
      </w:r>
      <w:r>
        <w:rPr>
          <w:rFonts w:hint="eastAsia" w:asciiTheme="minorEastAsia" w:hAnsiTheme="minorEastAsia" w:eastAsiaTheme="minorEastAsia" w:cstheme="minorEastAsia"/>
          <w:bCs/>
          <w:kern w:val="0"/>
          <w:sz w:val="24"/>
          <w:szCs w:val="24"/>
          <w:highlight w:val="none"/>
        </w:rPr>
        <w:t>00元/处。</w:t>
      </w:r>
    </w:p>
    <w:p>
      <w:pPr>
        <w:spacing w:line="360" w:lineRule="auto"/>
        <w:ind w:firstLine="482" w:firstLineChars="200"/>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lang w:val="en-US" w:eastAsia="zh-CN"/>
        </w:rPr>
        <w:t>10</w:t>
      </w:r>
      <w:r>
        <w:rPr>
          <w:rFonts w:hint="eastAsia" w:asciiTheme="minorEastAsia" w:hAnsiTheme="minorEastAsia" w:eastAsiaTheme="minorEastAsia" w:cstheme="minorEastAsia"/>
          <w:b/>
          <w:bCs/>
          <w:kern w:val="0"/>
          <w:sz w:val="24"/>
          <w:szCs w:val="24"/>
          <w:highlight w:val="none"/>
        </w:rPr>
        <w:t>、施工用电管理</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（1）安排没有取得特种作业操作资格证书人员进行作业的，扣款1000元/人次。</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（2）编制施工现场用电安全技术方案，现场临电设施未经验收合格即投入使用责令停止使用并视情况扣款</w:t>
      </w:r>
      <w:r>
        <w:rPr>
          <w:rFonts w:hint="eastAsia" w:asciiTheme="minorEastAsia" w:hAnsiTheme="minorEastAsia" w:eastAsiaTheme="minorEastAsia" w:cstheme="minorEastAsia"/>
          <w:bCs/>
          <w:kern w:val="0"/>
          <w:sz w:val="24"/>
          <w:szCs w:val="24"/>
          <w:highlight w:val="none"/>
          <w:lang w:val="en-US" w:eastAsia="zh-CN"/>
        </w:rPr>
        <w:t>2</w:t>
      </w:r>
      <w:r>
        <w:rPr>
          <w:rFonts w:hint="eastAsia" w:asciiTheme="minorEastAsia" w:hAnsiTheme="minorEastAsia" w:eastAsiaTheme="minorEastAsia" w:cstheme="minorEastAsia"/>
          <w:bCs/>
          <w:kern w:val="0"/>
          <w:sz w:val="24"/>
          <w:szCs w:val="24"/>
          <w:highlight w:val="none"/>
        </w:rPr>
        <w:t>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3</w:t>
      </w:r>
      <w:r>
        <w:rPr>
          <w:rFonts w:hint="eastAsia" w:asciiTheme="minorEastAsia" w:hAnsiTheme="minorEastAsia" w:eastAsiaTheme="minorEastAsia" w:cstheme="minorEastAsia"/>
          <w:bCs/>
          <w:kern w:val="0"/>
          <w:sz w:val="24"/>
          <w:szCs w:val="24"/>
          <w:highlight w:val="none"/>
        </w:rPr>
        <w:t>）用电设施不符合三相五线制，接地不规范的，扣款500元。</w:t>
      </w:r>
    </w:p>
    <w:p>
      <w:pPr>
        <w:spacing w:line="360" w:lineRule="auto"/>
        <w:ind w:firstLine="482" w:firstLineChars="200"/>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lang w:val="en-US" w:eastAsia="zh-CN"/>
        </w:rPr>
        <w:t>11</w:t>
      </w:r>
      <w:r>
        <w:rPr>
          <w:rFonts w:hint="eastAsia" w:asciiTheme="minorEastAsia" w:hAnsiTheme="minorEastAsia" w:eastAsiaTheme="minorEastAsia" w:cstheme="minorEastAsia"/>
          <w:b/>
          <w:bCs/>
          <w:kern w:val="0"/>
          <w:sz w:val="24"/>
          <w:szCs w:val="24"/>
          <w:highlight w:val="none"/>
        </w:rPr>
        <w:t>、接零（接地）保护</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（1）同一系统中的电气设备部分接地和部分接零的，扣款</w:t>
      </w:r>
      <w:r>
        <w:rPr>
          <w:rFonts w:hint="eastAsia" w:asciiTheme="minorEastAsia" w:hAnsiTheme="minorEastAsia" w:eastAsiaTheme="minorEastAsia" w:cstheme="minorEastAsia"/>
          <w:bCs/>
          <w:kern w:val="0"/>
          <w:sz w:val="24"/>
          <w:szCs w:val="24"/>
          <w:highlight w:val="none"/>
          <w:lang w:val="en-US" w:eastAsia="zh-CN"/>
        </w:rPr>
        <w:t>3</w:t>
      </w:r>
      <w:r>
        <w:rPr>
          <w:rFonts w:hint="eastAsia" w:asciiTheme="minorEastAsia" w:hAnsiTheme="minorEastAsia" w:eastAsiaTheme="minorEastAsia" w:cstheme="minorEastAsia"/>
          <w:bCs/>
          <w:kern w:val="0"/>
          <w:sz w:val="24"/>
          <w:szCs w:val="24"/>
          <w:highlight w:val="none"/>
        </w:rPr>
        <w:t>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（2）对地电压127V及以上的电气设备及设施装设接地（接零）保护不规范的，扣款</w:t>
      </w:r>
      <w:r>
        <w:rPr>
          <w:rFonts w:hint="eastAsia" w:asciiTheme="minorEastAsia" w:hAnsiTheme="minorEastAsia" w:eastAsiaTheme="minorEastAsia" w:cstheme="minorEastAsia"/>
          <w:bCs/>
          <w:kern w:val="0"/>
          <w:sz w:val="24"/>
          <w:szCs w:val="24"/>
          <w:highlight w:val="none"/>
          <w:lang w:val="en-US" w:eastAsia="zh-CN"/>
        </w:rPr>
        <w:t>3</w:t>
      </w:r>
      <w:r>
        <w:rPr>
          <w:rFonts w:hint="eastAsia" w:asciiTheme="minorEastAsia" w:hAnsiTheme="minorEastAsia" w:eastAsiaTheme="minorEastAsia" w:cstheme="minorEastAsia"/>
          <w:bCs/>
          <w:kern w:val="0"/>
          <w:sz w:val="24"/>
          <w:szCs w:val="24"/>
          <w:highlight w:val="none"/>
        </w:rPr>
        <w:t>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（3）接零保护不符合规范要求的，扣款</w:t>
      </w:r>
      <w:r>
        <w:rPr>
          <w:rFonts w:hint="eastAsia" w:asciiTheme="minorEastAsia" w:hAnsiTheme="minorEastAsia" w:eastAsiaTheme="minorEastAsia" w:cstheme="minorEastAsia"/>
          <w:bCs/>
          <w:kern w:val="0"/>
          <w:sz w:val="24"/>
          <w:szCs w:val="24"/>
          <w:highlight w:val="none"/>
          <w:lang w:val="en-US" w:eastAsia="zh-CN"/>
        </w:rPr>
        <w:t>5</w:t>
      </w:r>
      <w:r>
        <w:rPr>
          <w:rFonts w:hint="eastAsia" w:asciiTheme="minorEastAsia" w:hAnsiTheme="minorEastAsia" w:eastAsiaTheme="minorEastAsia" w:cstheme="minorEastAsia"/>
          <w:bCs/>
          <w:kern w:val="0"/>
          <w:sz w:val="24"/>
          <w:szCs w:val="24"/>
          <w:highlight w:val="none"/>
        </w:rPr>
        <w:t>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4</w:t>
      </w:r>
      <w:r>
        <w:rPr>
          <w:rFonts w:hint="eastAsia" w:asciiTheme="minorEastAsia" w:hAnsiTheme="minorEastAsia" w:eastAsiaTheme="minorEastAsia" w:cstheme="minorEastAsia"/>
          <w:bCs/>
          <w:kern w:val="0"/>
          <w:sz w:val="24"/>
          <w:szCs w:val="24"/>
          <w:highlight w:val="none"/>
        </w:rPr>
        <w:t>）使用外接电源时，电源设备所采用的保护方式与外界电源系统的保护方式不一致的，扣款</w:t>
      </w:r>
      <w:r>
        <w:rPr>
          <w:rFonts w:hint="eastAsia" w:asciiTheme="minorEastAsia" w:hAnsiTheme="minorEastAsia" w:eastAsiaTheme="minorEastAsia" w:cstheme="minorEastAsia"/>
          <w:bCs/>
          <w:kern w:val="0"/>
          <w:sz w:val="24"/>
          <w:szCs w:val="24"/>
          <w:highlight w:val="none"/>
          <w:lang w:val="en-US" w:eastAsia="zh-CN"/>
        </w:rPr>
        <w:t>5</w:t>
      </w:r>
      <w:r>
        <w:rPr>
          <w:rFonts w:hint="eastAsia" w:asciiTheme="minorEastAsia" w:hAnsiTheme="minorEastAsia" w:eastAsiaTheme="minorEastAsia" w:cstheme="minorEastAsia"/>
          <w:bCs/>
          <w:kern w:val="0"/>
          <w:sz w:val="24"/>
          <w:szCs w:val="24"/>
          <w:highlight w:val="none"/>
        </w:rPr>
        <w:t>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5</w:t>
      </w:r>
      <w:r>
        <w:rPr>
          <w:rFonts w:hint="eastAsia" w:asciiTheme="minorEastAsia" w:hAnsiTheme="minorEastAsia" w:eastAsiaTheme="minorEastAsia" w:cstheme="minorEastAsia"/>
          <w:bCs/>
          <w:kern w:val="0"/>
          <w:sz w:val="24"/>
          <w:szCs w:val="24"/>
          <w:highlight w:val="none"/>
        </w:rPr>
        <w:t>）接地（零线）连接不可靠或不符合规范要求的，扣款</w:t>
      </w:r>
      <w:r>
        <w:rPr>
          <w:rFonts w:hint="eastAsia" w:asciiTheme="minorEastAsia" w:hAnsiTheme="minorEastAsia" w:eastAsiaTheme="minorEastAsia" w:cstheme="minorEastAsia"/>
          <w:bCs/>
          <w:kern w:val="0"/>
          <w:sz w:val="24"/>
          <w:szCs w:val="24"/>
          <w:highlight w:val="none"/>
          <w:lang w:val="en-US" w:eastAsia="zh-CN"/>
        </w:rPr>
        <w:t>5</w:t>
      </w:r>
      <w:r>
        <w:rPr>
          <w:rFonts w:hint="eastAsia" w:asciiTheme="minorEastAsia" w:hAnsiTheme="minorEastAsia" w:eastAsiaTheme="minorEastAsia" w:cstheme="minorEastAsia"/>
          <w:bCs/>
          <w:kern w:val="0"/>
          <w:sz w:val="24"/>
          <w:szCs w:val="24"/>
          <w:highlight w:val="none"/>
        </w:rPr>
        <w:t>00元。</w:t>
      </w:r>
    </w:p>
    <w:p>
      <w:pPr>
        <w:spacing w:line="360" w:lineRule="auto"/>
        <w:ind w:firstLine="482" w:firstLineChars="200"/>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lang w:val="en-US" w:eastAsia="zh-CN"/>
        </w:rPr>
        <w:t>12</w:t>
      </w:r>
      <w:r>
        <w:rPr>
          <w:rFonts w:hint="eastAsia" w:asciiTheme="minorEastAsia" w:hAnsiTheme="minorEastAsia" w:eastAsiaTheme="minorEastAsia" w:cstheme="minorEastAsia"/>
          <w:b/>
          <w:bCs/>
          <w:kern w:val="0"/>
          <w:sz w:val="24"/>
          <w:szCs w:val="24"/>
          <w:highlight w:val="none"/>
        </w:rPr>
        <w:t>、钢丝绳</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（1）使用不合格或有缺陷的钢丝绳，扣款500元。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（2）使用的钢丝绳不能满足起吊作业要求或使用方法不当的，扣款500元。</w:t>
      </w:r>
    </w:p>
    <w:p>
      <w:pPr>
        <w:spacing w:line="360" w:lineRule="auto"/>
        <w:ind w:firstLine="482" w:firstLineChars="200"/>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lang w:val="en-US" w:eastAsia="zh-CN"/>
        </w:rPr>
        <w:t>13</w:t>
      </w:r>
      <w:r>
        <w:rPr>
          <w:rFonts w:hint="eastAsia" w:asciiTheme="minorEastAsia" w:hAnsiTheme="minorEastAsia" w:eastAsiaTheme="minorEastAsia" w:cstheme="minorEastAsia"/>
          <w:b/>
          <w:bCs/>
          <w:kern w:val="0"/>
          <w:sz w:val="24"/>
          <w:szCs w:val="24"/>
          <w:highlight w:val="none"/>
        </w:rPr>
        <w:t>、手持电动工具</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（1）使用手持电动工具不戴口罩、防护眼镜的，扣款200元/人次。</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（2）运行中将转动设备的防护罩打开或将手伸入遮栏内，戴手套或用布、棉纱对转动部分进行清扫或检查维修等，扣款200元。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（3）手持电动工具不满足安全用电要求的，扣款500元。</w:t>
      </w:r>
    </w:p>
    <w:p>
      <w:pPr>
        <w:spacing w:line="360" w:lineRule="auto"/>
        <w:ind w:firstLine="482" w:firstLineChars="200"/>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lang w:val="en-US" w:eastAsia="zh-CN"/>
        </w:rPr>
        <w:t>14</w:t>
      </w:r>
      <w:r>
        <w:rPr>
          <w:rFonts w:hint="eastAsia" w:asciiTheme="minorEastAsia" w:hAnsiTheme="minorEastAsia" w:eastAsiaTheme="minorEastAsia" w:cstheme="minorEastAsia"/>
          <w:b/>
          <w:bCs/>
          <w:kern w:val="0"/>
          <w:sz w:val="24"/>
          <w:szCs w:val="24"/>
          <w:highlight w:val="none"/>
        </w:rPr>
        <w:t>、移动式梯子</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（1）使用缺损、不牢固的梯子作业的，扣款300元。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（2）未按规范要求使用移动梯子的，扣款200元。</w:t>
      </w:r>
    </w:p>
    <w:p>
      <w:pPr>
        <w:spacing w:line="360" w:lineRule="auto"/>
        <w:ind w:firstLine="482" w:firstLineChars="200"/>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lang w:val="en-US" w:eastAsia="zh-CN"/>
        </w:rPr>
        <w:t>15</w:t>
      </w:r>
      <w:r>
        <w:rPr>
          <w:rFonts w:hint="eastAsia" w:asciiTheme="minorEastAsia" w:hAnsiTheme="minorEastAsia" w:eastAsiaTheme="minorEastAsia" w:cstheme="minorEastAsia"/>
          <w:b/>
          <w:bCs/>
          <w:kern w:val="0"/>
          <w:sz w:val="24"/>
          <w:szCs w:val="24"/>
          <w:highlight w:val="none"/>
        </w:rPr>
        <w:t>、人员作业行为</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1</w:t>
      </w:r>
      <w:r>
        <w:rPr>
          <w:rFonts w:hint="eastAsia" w:asciiTheme="minorEastAsia" w:hAnsiTheme="minorEastAsia" w:eastAsiaTheme="minorEastAsia" w:cstheme="minorEastAsia"/>
          <w:bCs/>
          <w:kern w:val="0"/>
          <w:sz w:val="24"/>
          <w:szCs w:val="24"/>
          <w:highlight w:val="none"/>
        </w:rPr>
        <w:t>）擅自变动、拆除、挪</w:t>
      </w:r>
      <w:bookmarkStart w:id="7" w:name="_GoBack"/>
      <w:bookmarkEnd w:id="7"/>
      <w:r>
        <w:rPr>
          <w:rFonts w:hint="eastAsia" w:asciiTheme="minorEastAsia" w:hAnsiTheme="minorEastAsia" w:eastAsiaTheme="minorEastAsia" w:cstheme="minorEastAsia"/>
          <w:bCs/>
          <w:kern w:val="0"/>
          <w:sz w:val="24"/>
          <w:szCs w:val="24"/>
          <w:highlight w:val="none"/>
        </w:rPr>
        <w:t>用或停用安全装置或安全设施，扣款500元/处。</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2</w:t>
      </w:r>
      <w:r>
        <w:rPr>
          <w:rFonts w:hint="eastAsia" w:asciiTheme="minorEastAsia" w:hAnsiTheme="minorEastAsia" w:eastAsiaTheme="minorEastAsia" w:cstheme="minorEastAsia"/>
          <w:bCs/>
          <w:kern w:val="0"/>
          <w:sz w:val="24"/>
          <w:szCs w:val="24"/>
          <w:highlight w:val="none"/>
        </w:rPr>
        <w:t>）进入施工现场穿高跟鞋、露脚指的凉鞋、拖鞋及裙子、短裤、背心或裸背、长发披肩、酒后进入施工现场的，扣款200元/人次。</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3</w:t>
      </w:r>
      <w:r>
        <w:rPr>
          <w:rFonts w:hint="eastAsia" w:asciiTheme="minorEastAsia" w:hAnsiTheme="minorEastAsia" w:eastAsiaTheme="minorEastAsia" w:cstheme="minorEastAsia"/>
          <w:bCs/>
          <w:kern w:val="0"/>
          <w:sz w:val="24"/>
          <w:szCs w:val="24"/>
          <w:highlight w:val="none"/>
        </w:rPr>
        <w:t>）违反职业禁忌症的有关规定，安排不符合身体健康要求的人员上岗作业，扣款</w:t>
      </w:r>
      <w:r>
        <w:rPr>
          <w:rFonts w:hint="eastAsia" w:asciiTheme="minorEastAsia" w:hAnsiTheme="minorEastAsia" w:eastAsiaTheme="minorEastAsia" w:cstheme="minorEastAsia"/>
          <w:bCs/>
          <w:kern w:val="0"/>
          <w:sz w:val="24"/>
          <w:szCs w:val="24"/>
          <w:highlight w:val="none"/>
          <w:lang w:val="en-US" w:eastAsia="zh-CN"/>
        </w:rPr>
        <w:t>5</w:t>
      </w:r>
      <w:r>
        <w:rPr>
          <w:rFonts w:hint="eastAsia" w:asciiTheme="minorEastAsia" w:hAnsiTheme="minorEastAsia" w:eastAsiaTheme="minorEastAsia" w:cstheme="minorEastAsia"/>
          <w:bCs/>
          <w:kern w:val="0"/>
          <w:sz w:val="24"/>
          <w:szCs w:val="24"/>
          <w:highlight w:val="none"/>
        </w:rPr>
        <w:t>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4</w:t>
      </w:r>
      <w:r>
        <w:rPr>
          <w:rFonts w:hint="eastAsia" w:asciiTheme="minorEastAsia" w:hAnsiTheme="minorEastAsia" w:eastAsiaTheme="minorEastAsia" w:cstheme="minorEastAsia"/>
          <w:bCs/>
          <w:kern w:val="0"/>
          <w:sz w:val="24"/>
          <w:szCs w:val="24"/>
          <w:highlight w:val="none"/>
        </w:rPr>
        <w:t>）无证操作非本专业的机械设备，扣款500元。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5</w:t>
      </w:r>
      <w:r>
        <w:rPr>
          <w:rFonts w:hint="eastAsia" w:asciiTheme="minorEastAsia" w:hAnsiTheme="minorEastAsia" w:eastAsiaTheme="minorEastAsia" w:cstheme="minorEastAsia"/>
          <w:bCs/>
          <w:kern w:val="0"/>
          <w:sz w:val="24"/>
          <w:szCs w:val="24"/>
          <w:highlight w:val="none"/>
        </w:rPr>
        <w:t>）无视安全管理部门、安全管理人员的警告，未及时消除安全隐患的，扣款1000元。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6</w:t>
      </w:r>
      <w:r>
        <w:rPr>
          <w:rFonts w:hint="eastAsia" w:asciiTheme="minorEastAsia" w:hAnsiTheme="minorEastAsia" w:eastAsiaTheme="minorEastAsia" w:cstheme="minorEastAsia"/>
          <w:bCs/>
          <w:kern w:val="0"/>
          <w:sz w:val="24"/>
          <w:szCs w:val="24"/>
          <w:highlight w:val="none"/>
        </w:rPr>
        <w:t>）发布违反有关安全生产法律、法规和规章制度的命令，违章指挥施工，扣款1000元。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7</w:t>
      </w:r>
      <w:r>
        <w:rPr>
          <w:rFonts w:hint="eastAsia" w:asciiTheme="minorEastAsia" w:hAnsiTheme="minorEastAsia" w:eastAsiaTheme="minorEastAsia" w:cstheme="minorEastAsia"/>
          <w:bCs/>
          <w:kern w:val="0"/>
          <w:sz w:val="24"/>
          <w:szCs w:val="24"/>
          <w:highlight w:val="none"/>
        </w:rPr>
        <w:t>）违章指挥，默认工人违章作业、冒险作业、在没有可靠的技术措施和安全保障措施的状态下施工，扣款1000元。</w:t>
      </w:r>
    </w:p>
    <w:p>
      <w:pPr>
        <w:spacing w:line="360" w:lineRule="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lang w:val="en-US" w:eastAsia="zh-CN"/>
        </w:rPr>
        <w:t xml:space="preserve">    16</w:t>
      </w:r>
      <w:r>
        <w:rPr>
          <w:rFonts w:hint="eastAsia" w:asciiTheme="minorEastAsia" w:hAnsiTheme="minorEastAsia" w:eastAsiaTheme="minorEastAsia" w:cstheme="minorEastAsia"/>
          <w:b/>
          <w:bCs/>
          <w:kern w:val="0"/>
          <w:sz w:val="24"/>
          <w:szCs w:val="24"/>
          <w:highlight w:val="none"/>
        </w:rPr>
        <w:t>、其他</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1</w:t>
      </w:r>
      <w:r>
        <w:rPr>
          <w:rFonts w:hint="eastAsia" w:asciiTheme="minorEastAsia" w:hAnsiTheme="minorEastAsia" w:eastAsiaTheme="minorEastAsia" w:cstheme="minorEastAsia"/>
          <w:bCs/>
          <w:kern w:val="0"/>
          <w:sz w:val="24"/>
          <w:szCs w:val="24"/>
          <w:highlight w:val="none"/>
        </w:rPr>
        <w:t>）重复发生的</w:t>
      </w:r>
      <w:r>
        <w:rPr>
          <w:rFonts w:hint="eastAsia" w:asciiTheme="minorEastAsia" w:hAnsiTheme="minorEastAsia" w:eastAsiaTheme="minorEastAsia" w:cstheme="minorEastAsia"/>
          <w:bCs/>
          <w:kern w:val="0"/>
          <w:sz w:val="24"/>
          <w:szCs w:val="24"/>
          <w:highlight w:val="none"/>
          <w:lang w:eastAsia="zh-CN"/>
        </w:rPr>
        <w:t>问题</w:t>
      </w:r>
      <w:r>
        <w:rPr>
          <w:rFonts w:hint="eastAsia" w:asciiTheme="minorEastAsia" w:hAnsiTheme="minorEastAsia" w:eastAsiaTheme="minorEastAsia" w:cstheme="minorEastAsia"/>
          <w:bCs/>
          <w:kern w:val="0"/>
          <w:sz w:val="24"/>
          <w:szCs w:val="24"/>
          <w:highlight w:val="none"/>
        </w:rPr>
        <w:t>按倍违约扣款。例：对“高处作业随手抛掷工器具、消耗性材料等物件，扣款200元”。第一次扣款200元，第二次发生则扣款2*200元（400元），第三次发生则扣款3*</w:t>
      </w:r>
      <w:r>
        <w:rPr>
          <w:rFonts w:hint="eastAsia" w:asciiTheme="minorEastAsia" w:hAnsiTheme="minorEastAsia" w:eastAsiaTheme="minorEastAsia" w:cstheme="minorEastAsia"/>
          <w:bCs/>
          <w:kern w:val="0"/>
          <w:sz w:val="24"/>
          <w:szCs w:val="24"/>
          <w:highlight w:val="none"/>
          <w:lang w:eastAsia="zh-CN"/>
        </w:rPr>
        <w:t>2</w:t>
      </w:r>
      <w:r>
        <w:rPr>
          <w:rFonts w:hint="eastAsia" w:asciiTheme="minorEastAsia" w:hAnsiTheme="minorEastAsia" w:eastAsiaTheme="minorEastAsia" w:cstheme="minorEastAsia"/>
          <w:bCs/>
          <w:kern w:val="0"/>
          <w:sz w:val="24"/>
          <w:szCs w:val="24"/>
          <w:highlight w:val="none"/>
        </w:rPr>
        <w:t>00元（</w:t>
      </w:r>
      <w:r>
        <w:rPr>
          <w:rFonts w:hint="eastAsia" w:asciiTheme="minorEastAsia" w:hAnsiTheme="minorEastAsia" w:eastAsiaTheme="minorEastAsia" w:cstheme="minorEastAsia"/>
          <w:bCs/>
          <w:kern w:val="0"/>
          <w:sz w:val="24"/>
          <w:szCs w:val="24"/>
          <w:highlight w:val="none"/>
          <w:lang w:eastAsia="zh-CN"/>
        </w:rPr>
        <w:t>6</w:t>
      </w:r>
      <w:r>
        <w:rPr>
          <w:rFonts w:hint="eastAsia" w:asciiTheme="minorEastAsia" w:hAnsiTheme="minorEastAsia" w:eastAsiaTheme="minorEastAsia" w:cstheme="minorEastAsia"/>
          <w:bCs/>
          <w:kern w:val="0"/>
          <w:sz w:val="24"/>
          <w:szCs w:val="24"/>
          <w:highlight w:val="none"/>
        </w:rPr>
        <w:t>00元），依此类推。</w:t>
      </w:r>
    </w:p>
    <w:p>
      <w:pPr>
        <w:spacing w:line="360" w:lineRule="auto"/>
        <w:ind w:firstLine="480" w:firstLineChars="200"/>
        <w:rPr>
          <w:rFonts w:hint="eastAsia" w:asciiTheme="minorEastAsia" w:hAnsiTheme="minorEastAsia" w:eastAsiaTheme="minorEastAsia" w:cstheme="minorEastAsia"/>
          <w:bCs/>
          <w:kern w:val="0"/>
          <w:sz w:val="24"/>
          <w:szCs w:val="24"/>
          <w:highlight w:val="none"/>
          <w:lang w:eastAsia="zh-CN"/>
        </w:rPr>
      </w:pP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val="en-US" w:eastAsia="zh-CN"/>
        </w:rPr>
        <w:t>2</w:t>
      </w:r>
      <w:r>
        <w:rPr>
          <w:rFonts w:hint="eastAsia" w:asciiTheme="minorEastAsia" w:hAnsiTheme="minorEastAsia" w:eastAsiaTheme="minorEastAsia" w:cstheme="minorEastAsia"/>
          <w:bCs/>
          <w:kern w:val="0"/>
          <w:sz w:val="24"/>
          <w:szCs w:val="24"/>
          <w:highlight w:val="none"/>
        </w:rPr>
        <w:t>）</w:t>
      </w:r>
      <w:r>
        <w:rPr>
          <w:rFonts w:hint="eastAsia" w:asciiTheme="minorEastAsia" w:hAnsiTheme="minorEastAsia" w:eastAsiaTheme="minorEastAsia" w:cstheme="minorEastAsia"/>
          <w:bCs/>
          <w:kern w:val="0"/>
          <w:sz w:val="24"/>
          <w:szCs w:val="24"/>
          <w:highlight w:val="none"/>
          <w:lang w:eastAsia="zh-CN"/>
        </w:rPr>
        <w:t>对</w:t>
      </w:r>
      <w:r>
        <w:rPr>
          <w:rFonts w:hint="eastAsia" w:asciiTheme="minorEastAsia" w:hAnsiTheme="minorEastAsia" w:eastAsiaTheme="minorEastAsia" w:cstheme="minorEastAsia"/>
          <w:bCs/>
          <w:kern w:val="0"/>
          <w:sz w:val="24"/>
          <w:szCs w:val="24"/>
          <w:highlight w:val="none"/>
        </w:rPr>
        <w:t>违章行为</w:t>
      </w:r>
      <w:r>
        <w:rPr>
          <w:rFonts w:hint="eastAsia" w:asciiTheme="minorEastAsia" w:hAnsiTheme="minorEastAsia" w:eastAsiaTheme="minorEastAsia" w:cstheme="minorEastAsia"/>
          <w:bCs/>
          <w:kern w:val="0"/>
          <w:sz w:val="24"/>
          <w:szCs w:val="24"/>
          <w:highlight w:val="none"/>
          <w:lang w:eastAsia="zh-CN"/>
        </w:rPr>
        <w:t>、违章现象、不符合等情况，以上有对应标准的，执行以上标准，没有的则执行以下标准：</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rPr>
        <w:t>1）</w:t>
      </w:r>
      <w:r>
        <w:rPr>
          <w:rFonts w:hint="eastAsia" w:asciiTheme="minorEastAsia" w:hAnsiTheme="minorEastAsia" w:eastAsiaTheme="minorEastAsia" w:cstheme="minorEastAsia"/>
          <w:bCs/>
          <w:color w:val="000000"/>
          <w:kern w:val="0"/>
          <w:sz w:val="24"/>
          <w:szCs w:val="24"/>
          <w:highlight w:val="none"/>
        </w:rPr>
        <w:t>违反</w:t>
      </w:r>
      <w:r>
        <w:rPr>
          <w:rFonts w:hint="eastAsia" w:asciiTheme="minorEastAsia" w:hAnsiTheme="minorEastAsia" w:eastAsiaTheme="minorEastAsia" w:cstheme="minorEastAsia"/>
          <w:bCs/>
          <w:kern w:val="0"/>
          <w:sz w:val="24"/>
          <w:szCs w:val="24"/>
          <w:highlight w:val="none"/>
        </w:rPr>
        <w:t>国家标准《电业安全工作规程》中“热力和机械、发电厂和变电站电气部分、电力线路部分、高压试验室部分”</w:t>
      </w:r>
      <w:r>
        <w:rPr>
          <w:rFonts w:hint="eastAsia" w:asciiTheme="minorEastAsia" w:hAnsiTheme="minorEastAsia" w:eastAsiaTheme="minorEastAsia" w:cstheme="minorEastAsia"/>
          <w:bCs/>
          <w:color w:val="000000"/>
          <w:kern w:val="0"/>
          <w:sz w:val="24"/>
          <w:szCs w:val="24"/>
          <w:highlight w:val="none"/>
        </w:rPr>
        <w:t>其它相关条款的</w:t>
      </w:r>
      <w:r>
        <w:rPr>
          <w:rFonts w:hint="eastAsia" w:asciiTheme="minorEastAsia" w:hAnsiTheme="minorEastAsia" w:eastAsiaTheme="minorEastAsia" w:cstheme="minorEastAsia"/>
          <w:bCs/>
          <w:kern w:val="0"/>
          <w:sz w:val="24"/>
          <w:szCs w:val="24"/>
          <w:highlight w:val="none"/>
        </w:rPr>
        <w:t>，每起（每人、每次）扣款500元。</w:t>
      </w:r>
    </w:p>
    <w:p>
      <w:pPr>
        <w:spacing w:line="360" w:lineRule="auto"/>
        <w:ind w:firstLine="480" w:firstLineChars="200"/>
        <w:rPr>
          <w:rFonts w:hint="eastAsia" w:asciiTheme="minorEastAsia" w:hAnsiTheme="minorEastAsia" w:eastAsiaTheme="minorEastAsia" w:cstheme="minorEastAsia"/>
          <w:bCs/>
          <w:color w:val="000000"/>
          <w:kern w:val="0"/>
          <w:sz w:val="24"/>
          <w:szCs w:val="24"/>
          <w:highlight w:val="none"/>
        </w:rPr>
      </w:pPr>
      <w:r>
        <w:rPr>
          <w:rFonts w:hint="eastAsia" w:asciiTheme="minorEastAsia" w:hAnsiTheme="minorEastAsia" w:eastAsiaTheme="minorEastAsia" w:cstheme="minorEastAsia"/>
          <w:bCs/>
          <w:kern w:val="0"/>
          <w:sz w:val="24"/>
          <w:szCs w:val="24"/>
          <w:highlight w:val="none"/>
        </w:rPr>
        <w:t>2）违反中国南方电网有限责任公司《电力安全工作规程》其它相关条款的，依据风险大小、后果程度、影响范围等因素，特别是人身方面的，每起（每人、每次）扣款</w:t>
      </w:r>
      <w:r>
        <w:rPr>
          <w:rFonts w:hint="eastAsia" w:asciiTheme="minorEastAsia" w:hAnsiTheme="minorEastAsia" w:eastAsiaTheme="minorEastAsia" w:cstheme="minorEastAsia"/>
          <w:bCs/>
          <w:kern w:val="0"/>
          <w:sz w:val="24"/>
          <w:szCs w:val="24"/>
          <w:highlight w:val="none"/>
          <w:lang w:val="en-US" w:eastAsia="zh-CN"/>
        </w:rPr>
        <w:t>5</w:t>
      </w:r>
      <w:r>
        <w:rPr>
          <w:rFonts w:hint="eastAsia" w:asciiTheme="minorEastAsia" w:hAnsiTheme="minorEastAsia" w:eastAsiaTheme="minorEastAsia" w:cstheme="minorEastAsia"/>
          <w:bCs/>
          <w:kern w:val="0"/>
          <w:sz w:val="24"/>
          <w:szCs w:val="24"/>
          <w:highlight w:val="none"/>
        </w:rPr>
        <w:t>00元；其他不符合的，每起（每人、每次）扣款</w:t>
      </w:r>
      <w:r>
        <w:rPr>
          <w:rFonts w:hint="eastAsia" w:asciiTheme="minorEastAsia" w:hAnsiTheme="minorEastAsia" w:eastAsiaTheme="minorEastAsia" w:cstheme="minorEastAsia"/>
          <w:bCs/>
          <w:kern w:val="0"/>
          <w:sz w:val="24"/>
          <w:szCs w:val="24"/>
          <w:highlight w:val="none"/>
          <w:lang w:val="en-US" w:eastAsia="zh-CN"/>
        </w:rPr>
        <w:t>3</w:t>
      </w:r>
      <w:r>
        <w:rPr>
          <w:rFonts w:hint="eastAsia" w:asciiTheme="minorEastAsia" w:hAnsiTheme="minorEastAsia" w:eastAsiaTheme="minorEastAsia" w:cstheme="minorEastAsia"/>
          <w:bCs/>
          <w:kern w:val="0"/>
          <w:sz w:val="24"/>
          <w:szCs w:val="24"/>
          <w:highlight w:val="none"/>
        </w:rPr>
        <w:t>00元。</w:t>
      </w:r>
    </w:p>
    <w:p>
      <w:pPr>
        <w:spacing w:line="360" w:lineRule="auto"/>
        <w:ind w:firstLine="480" w:firstLineChars="200"/>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Cs/>
          <w:kern w:val="0"/>
          <w:sz w:val="24"/>
          <w:szCs w:val="24"/>
          <w:highlight w:val="none"/>
          <w:lang w:val="en-US" w:eastAsia="zh-CN"/>
        </w:rPr>
        <w:t>（3</w:t>
      </w:r>
      <w:r>
        <w:rPr>
          <w:rFonts w:hint="eastAsia" w:asciiTheme="minorEastAsia" w:hAnsiTheme="minorEastAsia" w:eastAsiaTheme="minorEastAsia" w:cstheme="minorEastAsia"/>
          <w:bCs/>
          <w:kern w:val="0"/>
          <w:sz w:val="24"/>
          <w:szCs w:val="24"/>
          <w:highlight w:val="none"/>
        </w:rPr>
        <w:t>）</w:t>
      </w:r>
      <w:r>
        <w:rPr>
          <w:rFonts w:hint="eastAsia" w:ascii="Times New Roman" w:hAnsi="Times New Roman"/>
          <w:sz w:val="24"/>
          <w:highlight w:val="none"/>
        </w:rPr>
        <w:t>进入现场</w:t>
      </w:r>
      <w:r>
        <w:rPr>
          <w:rFonts w:hint="eastAsia"/>
          <w:sz w:val="24"/>
          <w:lang w:eastAsia="zh-CN"/>
        </w:rPr>
        <w:t>作业</w:t>
      </w:r>
      <w:r>
        <w:rPr>
          <w:rFonts w:hint="eastAsia" w:ascii="Times New Roman" w:hAnsi="Times New Roman"/>
          <w:sz w:val="24"/>
          <w:highlight w:val="none"/>
        </w:rPr>
        <w:t>的施工人员未</w:t>
      </w:r>
      <w:r>
        <w:rPr>
          <w:rFonts w:hint="eastAsia"/>
          <w:sz w:val="24"/>
          <w:lang w:eastAsia="zh-CN"/>
        </w:rPr>
        <w:t>购买商业意外保险的，</w:t>
      </w:r>
      <w:r>
        <w:rPr>
          <w:rFonts w:hint="eastAsia" w:asciiTheme="minorEastAsia" w:hAnsiTheme="minorEastAsia" w:eastAsiaTheme="minorEastAsia" w:cstheme="minorEastAsia"/>
          <w:bCs/>
          <w:kern w:val="0"/>
          <w:sz w:val="24"/>
          <w:szCs w:val="24"/>
          <w:highlight w:val="none"/>
        </w:rPr>
        <w:t>扣款</w:t>
      </w:r>
      <w:r>
        <w:rPr>
          <w:rFonts w:hint="eastAsia" w:asciiTheme="minorEastAsia" w:hAnsiTheme="minorEastAsia" w:eastAsiaTheme="minorEastAsia" w:cstheme="minorEastAsia"/>
          <w:bCs/>
          <w:kern w:val="0"/>
          <w:sz w:val="24"/>
          <w:szCs w:val="24"/>
          <w:highlight w:val="none"/>
          <w:lang w:val="en-US" w:eastAsia="zh-CN"/>
        </w:rPr>
        <w:t>100</w:t>
      </w:r>
      <w:r>
        <w:rPr>
          <w:rFonts w:hint="eastAsia" w:asciiTheme="minorEastAsia" w:hAnsiTheme="minorEastAsia" w:eastAsiaTheme="minorEastAsia" w:cstheme="minorEastAsia"/>
          <w:bCs/>
          <w:kern w:val="0"/>
          <w:sz w:val="24"/>
          <w:szCs w:val="24"/>
          <w:highlight w:val="none"/>
        </w:rPr>
        <w:t>0元</w:t>
      </w:r>
      <w:r>
        <w:rPr>
          <w:rFonts w:hint="eastAsia" w:asciiTheme="minorEastAsia" w:hAnsiTheme="minorEastAsia" w:eastAsiaTheme="minorEastAsia" w:cstheme="minorEastAsia"/>
          <w:bCs/>
          <w:kern w:val="0"/>
          <w:sz w:val="24"/>
          <w:szCs w:val="24"/>
          <w:highlight w:val="none"/>
          <w:lang w:val="en-US" w:eastAsia="zh-CN"/>
        </w:rPr>
        <w:t>/人</w:t>
      </w:r>
      <w:r>
        <w:rPr>
          <w:rFonts w:hint="eastAsia" w:asciiTheme="minorEastAsia" w:hAnsiTheme="minorEastAsia" w:eastAsiaTheme="minorEastAsia" w:cstheme="minorEastAsia"/>
          <w:bCs/>
          <w:kern w:val="0"/>
          <w:sz w:val="24"/>
          <w:szCs w:val="24"/>
          <w:highlight w:val="none"/>
        </w:rPr>
        <w:t>。</w:t>
      </w:r>
    </w:p>
    <w:p>
      <w:pPr>
        <w:spacing w:line="360" w:lineRule="auto"/>
        <w:ind w:firstLine="480" w:firstLineChars="200"/>
        <w:rPr>
          <w:rFonts w:hint="eastAsia" w:ascii="Times New Roman" w:hAnsi="Times New Roman" w:eastAsia="宋体" w:cs="Times New Roman"/>
          <w:b w:val="0"/>
          <w:sz w:val="24"/>
          <w:szCs w:val="24"/>
          <w:shd w:val="clear"/>
          <w:lang w:val="zh-CN"/>
        </w:rPr>
      </w:pPr>
      <w:r>
        <w:rPr>
          <w:rFonts w:hint="eastAsia" w:asciiTheme="minorEastAsia" w:hAnsiTheme="minorEastAsia" w:eastAsiaTheme="minorEastAsia" w:cstheme="minorEastAsia"/>
          <w:bCs/>
          <w:kern w:val="0"/>
          <w:sz w:val="24"/>
          <w:szCs w:val="24"/>
          <w:highlight w:val="none"/>
          <w:lang w:val="en-US" w:eastAsia="zh-CN"/>
        </w:rPr>
        <w:t>（4</w:t>
      </w:r>
      <w:r>
        <w:rPr>
          <w:rFonts w:hint="eastAsia" w:asciiTheme="minorEastAsia" w:hAnsiTheme="minorEastAsia" w:eastAsiaTheme="minorEastAsia" w:cstheme="minorEastAsia"/>
          <w:bCs/>
          <w:kern w:val="0"/>
          <w:sz w:val="24"/>
          <w:szCs w:val="24"/>
          <w:highlight w:val="none"/>
        </w:rPr>
        <w:t>）</w:t>
      </w:r>
      <w:r>
        <w:rPr>
          <w:rFonts w:hint="eastAsia" w:ascii="Times New Roman" w:hAnsi="Times New Roman"/>
          <w:sz w:val="24"/>
        </w:rPr>
        <w:t>进入现场</w:t>
      </w:r>
      <w:r>
        <w:rPr>
          <w:rFonts w:hint="eastAsia"/>
          <w:sz w:val="24"/>
          <w:lang w:eastAsia="zh-CN"/>
        </w:rPr>
        <w:t>作业</w:t>
      </w:r>
      <w:r>
        <w:rPr>
          <w:rFonts w:hint="eastAsia" w:ascii="Times New Roman" w:hAnsi="Times New Roman"/>
          <w:sz w:val="24"/>
        </w:rPr>
        <w:t>的施工人员未</w:t>
      </w:r>
      <w:r>
        <w:rPr>
          <w:rFonts w:hint="eastAsia"/>
          <w:sz w:val="24"/>
          <w:lang w:eastAsia="zh-CN"/>
        </w:rPr>
        <w:t>签订</w:t>
      </w:r>
      <w:r>
        <w:rPr>
          <w:rFonts w:hint="eastAsia" w:cs="Times New Roman"/>
          <w:b w:val="0"/>
          <w:sz w:val="24"/>
          <w:szCs w:val="24"/>
          <w:shd w:val="clear"/>
          <w:lang w:val="zh-CN"/>
        </w:rPr>
        <w:t>用工</w:t>
      </w:r>
      <w:r>
        <w:rPr>
          <w:rFonts w:hint="eastAsia" w:ascii="Times New Roman" w:hAnsi="Times New Roman" w:eastAsia="宋体" w:cs="Times New Roman"/>
          <w:b w:val="0"/>
          <w:sz w:val="24"/>
          <w:szCs w:val="24"/>
          <w:shd w:val="clear"/>
          <w:lang w:val="zh-CN"/>
        </w:rPr>
        <w:t>合同或协议</w:t>
      </w:r>
      <w:r>
        <w:rPr>
          <w:rFonts w:hint="eastAsia"/>
          <w:sz w:val="24"/>
          <w:lang w:eastAsia="zh-CN"/>
        </w:rPr>
        <w:t>的，</w:t>
      </w:r>
      <w:r>
        <w:rPr>
          <w:rFonts w:hint="eastAsia" w:asciiTheme="minorEastAsia" w:hAnsiTheme="minorEastAsia" w:eastAsiaTheme="minorEastAsia" w:cstheme="minorEastAsia"/>
          <w:bCs/>
          <w:kern w:val="0"/>
          <w:sz w:val="24"/>
          <w:szCs w:val="24"/>
          <w:highlight w:val="none"/>
        </w:rPr>
        <w:t>扣款扣款</w:t>
      </w:r>
      <w:r>
        <w:rPr>
          <w:rFonts w:hint="eastAsia" w:asciiTheme="minorEastAsia" w:hAnsiTheme="minorEastAsia" w:eastAsiaTheme="minorEastAsia" w:cstheme="minorEastAsia"/>
          <w:bCs/>
          <w:kern w:val="0"/>
          <w:sz w:val="24"/>
          <w:szCs w:val="24"/>
          <w:highlight w:val="none"/>
          <w:lang w:val="en-US" w:eastAsia="zh-CN"/>
        </w:rPr>
        <w:t>100</w:t>
      </w:r>
      <w:r>
        <w:rPr>
          <w:rFonts w:hint="eastAsia" w:asciiTheme="minorEastAsia" w:hAnsiTheme="minorEastAsia" w:eastAsiaTheme="minorEastAsia" w:cstheme="minorEastAsia"/>
          <w:bCs/>
          <w:kern w:val="0"/>
          <w:sz w:val="24"/>
          <w:szCs w:val="24"/>
          <w:highlight w:val="none"/>
        </w:rPr>
        <w:t>0元</w:t>
      </w:r>
      <w:r>
        <w:rPr>
          <w:rFonts w:hint="eastAsia" w:asciiTheme="minorEastAsia" w:hAnsiTheme="minorEastAsia" w:eastAsiaTheme="minorEastAsia" w:cstheme="minorEastAsia"/>
          <w:bCs/>
          <w:kern w:val="0"/>
          <w:sz w:val="24"/>
          <w:szCs w:val="24"/>
          <w:highlight w:val="none"/>
          <w:lang w:val="en-US" w:eastAsia="zh-CN"/>
        </w:rPr>
        <w:t>/人</w:t>
      </w:r>
      <w:r>
        <w:rPr>
          <w:rFonts w:hint="eastAsia" w:asciiTheme="minorEastAsia" w:hAnsiTheme="minorEastAsia" w:eastAsiaTheme="minorEastAsia" w:cstheme="minorEastAsia"/>
          <w:bCs/>
          <w:kern w:val="0"/>
          <w:sz w:val="24"/>
          <w:szCs w:val="24"/>
          <w:highlight w:val="none"/>
        </w:rPr>
        <w:t>。</w:t>
      </w:r>
    </w:p>
    <w:p>
      <w:pPr>
        <w:spacing w:line="360" w:lineRule="auto"/>
        <w:rPr>
          <w:rFonts w:hint="eastAsia" w:asciiTheme="minorEastAsia" w:hAnsiTheme="minorEastAsia" w:eastAsiaTheme="minorEastAsia" w:cstheme="minorEastAsia"/>
          <w:sz w:val="24"/>
          <w:szCs w:val="24"/>
          <w:highlight w:val="none"/>
        </w:rPr>
        <w:sectPr>
          <w:footerReference r:id="rId3" w:type="default"/>
          <w:pgSz w:w="11906" w:h="16838"/>
          <w:pgMar w:top="1440" w:right="1486" w:bottom="1440" w:left="1600" w:header="851" w:footer="992" w:gutter="0"/>
          <w:cols w:space="425" w:num="1"/>
          <w:docGrid w:type="lines" w:linePitch="312" w:charSpace="0"/>
        </w:sectPr>
      </w:pPr>
    </w:p>
    <w:p>
      <w:pPr>
        <w:spacing w:line="360" w:lineRule="auto"/>
        <w:rPr>
          <w:rFonts w:hint="eastAsia"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附件2</w:t>
      </w:r>
    </w:p>
    <w:p>
      <w:pPr>
        <w:pStyle w:val="19"/>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default" w:ascii="方正小标宋_GBK" w:hAnsi="方正小标宋_GBK" w:eastAsia="方正小标宋_GBK" w:cs="方正小标宋_GBK"/>
          <w:sz w:val="44"/>
          <w:szCs w:val="44"/>
          <w:lang w:val="en-US" w:eastAsia="zh-CN"/>
        </w:rPr>
      </w:pPr>
      <w:bookmarkStart w:id="5" w:name="OLE_LINK2"/>
      <w:r>
        <w:rPr>
          <w:rFonts w:hint="eastAsia" w:ascii="方正小标宋_GBK" w:hAnsi="方正小标宋_GBK" w:eastAsia="方正小标宋_GBK" w:cs="方正小标宋_GBK"/>
          <w:sz w:val="44"/>
          <w:szCs w:val="44"/>
          <w:lang w:val="en-US" w:eastAsia="zh-CN"/>
        </w:rPr>
        <w:t>承包商现场违章扣款约定</w:t>
      </w:r>
    </w:p>
    <w:p>
      <w:pPr>
        <w:pStyle w:val="19"/>
        <w:keepNext w:val="0"/>
        <w:keepLines w:val="0"/>
        <w:pageBreakBefore w:val="0"/>
        <w:widowControl w:val="0"/>
        <w:kinsoku/>
        <w:wordWrap/>
        <w:overflowPunct/>
        <w:topLinePunct w:val="0"/>
        <w:autoSpaceDE/>
        <w:autoSpaceDN/>
        <w:bidi w:val="0"/>
        <w:adjustRightInd/>
        <w:snapToGrid/>
        <w:spacing w:after="0" w:line="560" w:lineRule="exact"/>
        <w:textAlignment w:val="auto"/>
        <w:rPr>
          <w:rFonts w:hint="eastAsia" w:ascii="黑体" w:hAnsi="黑体" w:eastAsia="黑体" w:cs="黑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承包商如违反现场作业违章扣分通用条款（</w:t>
      </w:r>
      <w:r>
        <w:rPr>
          <w:rFonts w:hint="eastAsia" w:ascii="仿宋_GB2312" w:hAnsi="仿宋_GB2312" w:eastAsia="仿宋_GB2312" w:cs="仿宋_GB2312"/>
          <w:bCs/>
          <w:kern w:val="0"/>
          <w:sz w:val="32"/>
          <w:szCs w:val="32"/>
          <w:lang w:val="en-US" w:eastAsia="zh-CN"/>
        </w:rPr>
        <w:t>见下表</w:t>
      </w:r>
      <w:r>
        <w:rPr>
          <w:rFonts w:hint="eastAsia" w:ascii="仿宋_GB2312" w:hAnsi="仿宋_GB2312" w:eastAsia="仿宋_GB2312" w:cs="仿宋_GB2312"/>
          <w:bCs/>
          <w:kern w:val="0"/>
          <w:sz w:val="32"/>
          <w:szCs w:val="32"/>
        </w:rPr>
        <w:t>）</w:t>
      </w:r>
      <w:r>
        <w:rPr>
          <w:rFonts w:hint="eastAsia" w:ascii="仿宋_GB2312" w:hAnsi="仿宋_GB2312" w:eastAsia="仿宋_GB2312" w:cs="仿宋_GB2312"/>
          <w:bCs/>
          <w:kern w:val="0"/>
          <w:sz w:val="32"/>
          <w:szCs w:val="32"/>
          <w:lang w:eastAsia="zh-CN"/>
        </w:rPr>
        <w:t>，</w:t>
      </w:r>
      <w:r>
        <w:rPr>
          <w:rFonts w:hint="eastAsia" w:ascii="仿宋_GB2312" w:hAnsi="仿宋_GB2312" w:eastAsia="仿宋_GB2312" w:cs="仿宋_GB2312"/>
          <w:bCs/>
          <w:kern w:val="0"/>
          <w:sz w:val="32"/>
          <w:szCs w:val="32"/>
          <w:lang w:val="en-US" w:eastAsia="zh-CN"/>
        </w:rPr>
        <w:t>我公司相关部门</w:t>
      </w:r>
      <w:r>
        <w:rPr>
          <w:rFonts w:hint="eastAsia" w:ascii="仿宋_GB2312" w:hAnsi="仿宋_GB2312" w:eastAsia="仿宋_GB2312" w:cs="仿宋_GB2312"/>
          <w:bCs/>
          <w:kern w:val="0"/>
          <w:sz w:val="32"/>
          <w:szCs w:val="32"/>
        </w:rPr>
        <w:t>将开具《安全生产违约扣款执行通知书》要求整改，</w:t>
      </w:r>
      <w:r>
        <w:rPr>
          <w:rFonts w:hint="eastAsia" w:ascii="仿宋_GB2312" w:hAnsi="仿宋_GB2312" w:eastAsia="仿宋_GB2312" w:cs="仿宋_GB2312"/>
          <w:bCs/>
          <w:kern w:val="0"/>
          <w:sz w:val="32"/>
          <w:szCs w:val="32"/>
          <w:lang w:val="en-US" w:eastAsia="zh-CN"/>
        </w:rPr>
        <w:t>并进行相应的扣款</w:t>
      </w:r>
      <w:r>
        <w:rPr>
          <w:rFonts w:hint="eastAsia" w:ascii="仿宋_GB2312" w:hAnsi="仿宋_GB2312" w:eastAsia="仿宋_GB2312" w:cs="仿宋_GB2312"/>
          <w:bCs/>
          <w:kern w:val="0"/>
          <w:sz w:val="32"/>
          <w:szCs w:val="32"/>
        </w:rPr>
        <w:t>，</w:t>
      </w:r>
      <w:r>
        <w:rPr>
          <w:rFonts w:hint="eastAsia" w:ascii="仿宋_GB2312" w:hAnsi="仿宋_GB2312" w:eastAsia="仿宋_GB2312" w:cs="仿宋_GB2312"/>
          <w:bCs/>
          <w:kern w:val="0"/>
          <w:sz w:val="32"/>
          <w:szCs w:val="32"/>
          <w:lang w:val="en-US" w:eastAsia="zh-CN"/>
        </w:rPr>
        <w:t>如上级公司针对</w:t>
      </w:r>
      <w:r>
        <w:rPr>
          <w:rFonts w:hint="eastAsia" w:ascii="仿宋_GB2312" w:hAnsi="仿宋_GB2312" w:eastAsia="仿宋_GB2312" w:cs="仿宋_GB2312"/>
          <w:bCs/>
          <w:kern w:val="0"/>
          <w:sz w:val="32"/>
          <w:szCs w:val="32"/>
        </w:rPr>
        <w:t>现场作业违章扣分通用条款</w:t>
      </w:r>
      <w:r>
        <w:rPr>
          <w:rFonts w:hint="eastAsia" w:ascii="仿宋_GB2312" w:hAnsi="仿宋_GB2312" w:eastAsia="仿宋_GB2312" w:cs="仿宋_GB2312"/>
          <w:bCs/>
          <w:kern w:val="0"/>
          <w:sz w:val="32"/>
          <w:szCs w:val="32"/>
          <w:lang w:val="en-US" w:eastAsia="zh-CN"/>
        </w:rPr>
        <w:t>有更新，以最新版本作为考核依据</w:t>
      </w:r>
      <w:r>
        <w:rPr>
          <w:rFonts w:hint="eastAsia" w:ascii="仿宋_GB2312" w:hAnsi="仿宋_GB2312" w:eastAsia="仿宋_GB2312" w:cs="仿宋_GB2312"/>
          <w:bCs/>
          <w:kern w:val="0"/>
          <w:sz w:val="32"/>
          <w:szCs w:val="32"/>
        </w:rPr>
        <w:t>，具体如下：</w:t>
      </w:r>
    </w:p>
    <w:p>
      <w:pPr>
        <w:keepNext w:val="0"/>
        <w:keepLines w:val="0"/>
        <w:pageBreakBefore w:val="0"/>
        <w:widowControl w:val="0"/>
        <w:kinsoku/>
        <w:wordWrap/>
        <w:overflowPunct/>
        <w:topLinePunct w:val="0"/>
        <w:bidi w:val="0"/>
        <w:snapToGrid/>
        <w:spacing w:line="560" w:lineRule="exact"/>
        <w:ind w:left="0" w:leftChars="0" w:firstLine="640" w:firstLineChars="200"/>
        <w:jc w:val="both"/>
        <w:textAlignment w:val="auto"/>
        <w:rPr>
          <w:rFonts w:hint="eastAsia" w:ascii="楷体_GB2312" w:hAnsi="楷体_GB2312" w:eastAsia="楷体_GB2312" w:cs="楷体_GB2312"/>
          <w:bCs/>
          <w:kern w:val="0"/>
          <w:sz w:val="32"/>
          <w:szCs w:val="32"/>
          <w:lang w:val="en-US" w:eastAsia="zh-CN"/>
        </w:rPr>
      </w:pPr>
      <w:r>
        <w:rPr>
          <w:rFonts w:hint="eastAsia" w:ascii="楷体_GB2312" w:hAnsi="楷体_GB2312" w:eastAsia="楷体_GB2312" w:cs="楷体_GB2312"/>
          <w:bCs/>
          <w:kern w:val="0"/>
          <w:sz w:val="32"/>
          <w:szCs w:val="32"/>
          <w:lang w:val="en-US" w:eastAsia="zh-CN"/>
        </w:rPr>
        <w:t>（一）A类违章</w:t>
      </w:r>
    </w:p>
    <w:p>
      <w:pPr>
        <w:keepNext w:val="0"/>
        <w:keepLines w:val="0"/>
        <w:pageBreakBefore w:val="0"/>
        <w:widowControl w:val="0"/>
        <w:kinsoku/>
        <w:wordWrap/>
        <w:overflowPunct/>
        <w:topLinePunct w:val="0"/>
        <w:bidi w:val="0"/>
        <w:snapToGrid/>
        <w:spacing w:line="560" w:lineRule="exact"/>
        <w:ind w:left="0" w:leftChars="0" w:firstLine="640" w:firstLineChars="200"/>
        <w:jc w:val="both"/>
        <w:textAlignment w:val="auto"/>
        <w:rPr>
          <w:rFonts w:hint="eastAsia" w:ascii="仿宋_GB2312" w:hAnsi="仿宋_GB2312" w:eastAsia="仿宋_GB2312" w:cs="仿宋_GB2312"/>
          <w:bCs/>
          <w:kern w:val="0"/>
          <w:sz w:val="32"/>
          <w:szCs w:val="32"/>
          <w:lang w:val="en-US" w:eastAsia="zh-CN"/>
        </w:rPr>
      </w:pPr>
      <w:r>
        <w:rPr>
          <w:rFonts w:hint="eastAsia" w:ascii="仿宋_GB2312" w:hAnsi="仿宋_GB2312" w:eastAsia="仿宋_GB2312" w:cs="仿宋_GB2312"/>
          <w:bCs/>
          <w:kern w:val="0"/>
          <w:sz w:val="32"/>
          <w:szCs w:val="32"/>
          <w:lang w:val="en-US" w:eastAsia="zh-CN"/>
        </w:rPr>
        <w:t>由南方电网公司、南网储能公司以及南方监管局、省能源局等监管机构越级查处的，每起扣款30000元（若对应合同签订金额≤10万元，则按该合同签订金额的20%计算扣款金额，并四舍五入取整至百位，计算后金额不足3000元的，按3000元执行）;由甲方（西部修试公司）查处的，每起扣款3000元；出现A类违章人员，甲方有权要求承包商立即予以更换。</w:t>
      </w:r>
    </w:p>
    <w:p>
      <w:pPr>
        <w:keepNext w:val="0"/>
        <w:keepLines w:val="0"/>
        <w:pageBreakBefore w:val="0"/>
        <w:widowControl w:val="0"/>
        <w:kinsoku/>
        <w:wordWrap/>
        <w:overflowPunct/>
        <w:topLinePunct w:val="0"/>
        <w:bidi w:val="0"/>
        <w:snapToGrid/>
        <w:spacing w:line="560" w:lineRule="exact"/>
        <w:ind w:left="0" w:leftChars="0" w:firstLine="640" w:firstLineChars="200"/>
        <w:jc w:val="both"/>
        <w:textAlignment w:val="auto"/>
        <w:rPr>
          <w:rFonts w:hint="eastAsia" w:ascii="楷体_GB2312" w:hAnsi="楷体_GB2312" w:eastAsia="楷体_GB2312" w:cs="楷体_GB2312"/>
          <w:bCs/>
          <w:kern w:val="0"/>
          <w:sz w:val="32"/>
          <w:szCs w:val="32"/>
          <w:lang w:val="en-US" w:eastAsia="zh-CN"/>
        </w:rPr>
      </w:pPr>
      <w:r>
        <w:rPr>
          <w:rFonts w:hint="eastAsia" w:ascii="楷体_GB2312" w:hAnsi="楷体_GB2312" w:eastAsia="楷体_GB2312" w:cs="楷体_GB2312"/>
          <w:bCs/>
          <w:kern w:val="0"/>
          <w:sz w:val="32"/>
          <w:szCs w:val="32"/>
          <w:lang w:val="en-US" w:eastAsia="zh-CN"/>
        </w:rPr>
        <w:t>（二）B类违章</w:t>
      </w:r>
    </w:p>
    <w:p>
      <w:pPr>
        <w:keepNext w:val="0"/>
        <w:keepLines w:val="0"/>
        <w:pageBreakBefore w:val="0"/>
        <w:widowControl w:val="0"/>
        <w:kinsoku/>
        <w:wordWrap/>
        <w:overflowPunct/>
        <w:topLinePunct w:val="0"/>
        <w:bidi w:val="0"/>
        <w:snapToGrid/>
        <w:spacing w:line="560" w:lineRule="exact"/>
        <w:ind w:left="0" w:leftChars="0" w:firstLine="640" w:firstLineChars="200"/>
        <w:jc w:val="both"/>
        <w:textAlignment w:val="auto"/>
        <w:rPr>
          <w:rFonts w:hint="eastAsia" w:ascii="仿宋_GB2312" w:hAnsi="仿宋_GB2312" w:eastAsia="仿宋_GB2312" w:cs="仿宋_GB2312"/>
          <w:bCs/>
          <w:kern w:val="0"/>
          <w:sz w:val="32"/>
          <w:szCs w:val="32"/>
          <w:lang w:val="en-US" w:eastAsia="zh-CN"/>
        </w:rPr>
      </w:pPr>
      <w:r>
        <w:rPr>
          <w:rFonts w:hint="eastAsia" w:ascii="仿宋_GB2312" w:hAnsi="仿宋_GB2312" w:eastAsia="仿宋_GB2312" w:cs="仿宋_GB2312"/>
          <w:bCs/>
          <w:kern w:val="0"/>
          <w:sz w:val="32"/>
          <w:szCs w:val="32"/>
          <w:lang w:val="en-US" w:eastAsia="zh-CN"/>
        </w:rPr>
        <w:t>由南方电网公司、南网储能公司以及南方监管局、省能源局等监管机构越级查处的，每起扣款10000元（若对应合同签订金额≤10万元，则按该合同签订金额的10%计算扣款金额，并四舍五入取整至百位，计算后金额不足1000元的，按1000元执行）；由甲方（西部修试公司）查处的，每起扣款1000元；出现B类违章人员，甲方有权要求承包商立即予以更换。</w:t>
      </w:r>
    </w:p>
    <w:p>
      <w:pPr>
        <w:keepNext w:val="0"/>
        <w:keepLines w:val="0"/>
        <w:pageBreakBefore w:val="0"/>
        <w:widowControl w:val="0"/>
        <w:kinsoku/>
        <w:wordWrap/>
        <w:overflowPunct/>
        <w:topLinePunct w:val="0"/>
        <w:bidi w:val="0"/>
        <w:snapToGrid/>
        <w:spacing w:line="560" w:lineRule="exact"/>
        <w:ind w:left="0" w:leftChars="0" w:firstLine="640" w:firstLineChars="200"/>
        <w:jc w:val="both"/>
        <w:textAlignment w:val="auto"/>
        <w:rPr>
          <w:rFonts w:hint="eastAsia" w:ascii="楷体_GB2312" w:hAnsi="楷体_GB2312" w:eastAsia="楷体_GB2312" w:cs="楷体_GB2312"/>
          <w:bCs/>
          <w:kern w:val="0"/>
          <w:sz w:val="32"/>
          <w:szCs w:val="32"/>
          <w:lang w:val="en-US" w:eastAsia="zh-CN"/>
        </w:rPr>
      </w:pPr>
      <w:r>
        <w:rPr>
          <w:rFonts w:hint="eastAsia" w:ascii="楷体_GB2312" w:hAnsi="楷体_GB2312" w:eastAsia="楷体_GB2312" w:cs="楷体_GB2312"/>
          <w:bCs/>
          <w:kern w:val="0"/>
          <w:sz w:val="32"/>
          <w:szCs w:val="32"/>
          <w:lang w:val="en-US" w:eastAsia="zh-CN"/>
        </w:rPr>
        <w:t>（三）C类违章</w:t>
      </w:r>
    </w:p>
    <w:p>
      <w:pPr>
        <w:keepNext w:val="0"/>
        <w:keepLines w:val="0"/>
        <w:pageBreakBefore w:val="0"/>
        <w:widowControl w:val="0"/>
        <w:kinsoku/>
        <w:wordWrap/>
        <w:overflowPunct/>
        <w:topLinePunct w:val="0"/>
        <w:bidi w:val="0"/>
        <w:snapToGrid/>
        <w:spacing w:line="560" w:lineRule="exact"/>
        <w:ind w:left="0" w:leftChars="0" w:firstLine="640" w:firstLineChars="200"/>
        <w:jc w:val="both"/>
        <w:textAlignment w:val="auto"/>
        <w:rPr>
          <w:rFonts w:hint="eastAsia" w:ascii="仿宋_GB2312" w:hAnsi="仿宋_GB2312" w:eastAsia="仿宋_GB2312" w:cs="仿宋_GB2312"/>
          <w:bCs/>
          <w:kern w:val="0"/>
          <w:sz w:val="32"/>
          <w:szCs w:val="32"/>
          <w:lang w:val="en-US" w:eastAsia="zh-CN"/>
        </w:rPr>
      </w:pPr>
      <w:r>
        <w:rPr>
          <w:rFonts w:hint="eastAsia" w:ascii="仿宋_GB2312" w:hAnsi="仿宋_GB2312" w:eastAsia="仿宋_GB2312" w:cs="仿宋_GB2312"/>
          <w:bCs/>
          <w:kern w:val="0"/>
          <w:sz w:val="32"/>
          <w:szCs w:val="32"/>
          <w:lang w:val="en-US" w:eastAsia="zh-CN"/>
        </w:rPr>
        <w:t>由南方电网公司、南网储能公司以及南方监管局、省能源局等监管机构越级查处的，每起扣款1000元；由甲方（西部修试公司）查处的，每起扣款500元；</w:t>
      </w:r>
      <w:bookmarkStart w:id="6" w:name="OLE_LINK3"/>
      <w:r>
        <w:rPr>
          <w:rFonts w:hint="eastAsia" w:ascii="仿宋_GB2312" w:hAnsi="仿宋_GB2312" w:eastAsia="仿宋_GB2312" w:cs="仿宋_GB2312"/>
          <w:bCs/>
          <w:kern w:val="0"/>
          <w:sz w:val="32"/>
          <w:szCs w:val="32"/>
          <w:lang w:val="en-US" w:eastAsia="zh-CN"/>
        </w:rPr>
        <w:t>同一人员在合同期内累计发生3起C类违章，甲方有权要求承包商予以更换</w:t>
      </w:r>
      <w:bookmarkEnd w:id="6"/>
      <w:r>
        <w:rPr>
          <w:rFonts w:hint="eastAsia" w:ascii="仿宋_GB2312" w:hAnsi="仿宋_GB2312" w:eastAsia="仿宋_GB2312" w:cs="仿宋_GB2312"/>
          <w:bCs/>
          <w:kern w:val="0"/>
          <w:sz w:val="32"/>
          <w:szCs w:val="32"/>
          <w:lang w:val="en-US" w:eastAsia="zh-CN"/>
        </w:rPr>
        <w:t>。</w:t>
      </w:r>
    </w:p>
    <w:p>
      <w:pPr>
        <w:keepNext w:val="0"/>
        <w:keepLines w:val="0"/>
        <w:pageBreakBefore w:val="0"/>
        <w:widowControl w:val="0"/>
        <w:kinsoku/>
        <w:wordWrap/>
        <w:overflowPunct/>
        <w:topLinePunct w:val="0"/>
        <w:bidi w:val="0"/>
        <w:snapToGrid/>
        <w:spacing w:line="560" w:lineRule="exact"/>
        <w:ind w:left="0" w:leftChars="0" w:firstLine="640" w:firstLineChars="200"/>
        <w:jc w:val="both"/>
        <w:textAlignment w:val="auto"/>
        <w:rPr>
          <w:rFonts w:hint="eastAsia" w:ascii="楷体_GB2312" w:hAnsi="楷体_GB2312" w:eastAsia="楷体_GB2312" w:cs="楷体_GB2312"/>
          <w:bCs/>
          <w:kern w:val="0"/>
          <w:sz w:val="32"/>
          <w:szCs w:val="32"/>
          <w:lang w:val="en-US" w:eastAsia="zh-CN"/>
        </w:rPr>
      </w:pPr>
      <w:r>
        <w:rPr>
          <w:rFonts w:hint="eastAsia" w:ascii="楷体_GB2312" w:hAnsi="楷体_GB2312" w:eastAsia="楷体_GB2312" w:cs="楷体_GB2312"/>
          <w:bCs/>
          <w:kern w:val="0"/>
          <w:sz w:val="32"/>
          <w:szCs w:val="32"/>
          <w:lang w:val="en-US" w:eastAsia="zh-CN"/>
        </w:rPr>
        <w:t>（四）D类违章</w:t>
      </w:r>
    </w:p>
    <w:p>
      <w:pPr>
        <w:keepNext w:val="0"/>
        <w:keepLines w:val="0"/>
        <w:pageBreakBefore w:val="0"/>
        <w:widowControl w:val="0"/>
        <w:kinsoku/>
        <w:wordWrap/>
        <w:overflowPunct/>
        <w:topLinePunct w:val="0"/>
        <w:bidi w:val="0"/>
        <w:snapToGrid/>
        <w:spacing w:line="560" w:lineRule="exact"/>
        <w:ind w:left="0" w:leftChars="0" w:firstLine="640" w:firstLineChars="200"/>
        <w:jc w:val="both"/>
        <w:textAlignment w:val="auto"/>
        <w:rPr>
          <w:rFonts w:hint="eastAsia" w:ascii="仿宋_GB2312" w:hAnsi="仿宋_GB2312" w:eastAsia="仿宋_GB2312" w:cs="仿宋_GB2312"/>
          <w:bCs/>
          <w:kern w:val="0"/>
          <w:sz w:val="32"/>
          <w:szCs w:val="32"/>
          <w:lang w:val="en-US" w:eastAsia="zh-CN"/>
        </w:rPr>
      </w:pPr>
      <w:r>
        <w:rPr>
          <w:rFonts w:hint="eastAsia" w:ascii="仿宋_GB2312" w:hAnsi="仿宋_GB2312" w:eastAsia="仿宋_GB2312" w:cs="仿宋_GB2312"/>
          <w:bCs/>
          <w:kern w:val="0"/>
          <w:sz w:val="32"/>
          <w:szCs w:val="32"/>
          <w:lang w:val="en-US" w:eastAsia="zh-CN"/>
        </w:rPr>
        <w:t>由南方电网公司、南网储能公司以及南方监管局、省能源局等监管机构越级查处的，每起扣款600元；由甲方（西部修试公司）查处的，每起扣款300元；同一人员在合同期内累计发生3起D类违章，甲方有权要求承包商予以更换。</w:t>
      </w:r>
    </w:p>
    <w:p>
      <w:pPr>
        <w:keepNext w:val="0"/>
        <w:keepLines w:val="0"/>
        <w:pageBreakBefore w:val="0"/>
        <w:widowControl w:val="0"/>
        <w:kinsoku/>
        <w:wordWrap/>
        <w:overflowPunct/>
        <w:topLinePunct w:val="0"/>
        <w:bidi w:val="0"/>
        <w:snapToGrid/>
        <w:spacing w:line="560" w:lineRule="exact"/>
        <w:ind w:left="0" w:leftChars="0" w:firstLine="640" w:firstLineChars="200"/>
        <w:jc w:val="both"/>
        <w:textAlignment w:val="auto"/>
        <w:rPr>
          <w:rFonts w:hint="eastAsia" w:ascii="楷体_GB2312" w:hAnsi="楷体_GB2312" w:eastAsia="楷体_GB2312" w:cs="楷体_GB2312"/>
          <w:bCs/>
          <w:kern w:val="0"/>
          <w:sz w:val="32"/>
          <w:szCs w:val="32"/>
          <w:lang w:val="en-US" w:eastAsia="zh-CN"/>
        </w:rPr>
      </w:pPr>
      <w:r>
        <w:rPr>
          <w:rFonts w:hint="eastAsia" w:ascii="楷体_GB2312" w:hAnsi="楷体_GB2312" w:eastAsia="楷体_GB2312" w:cs="楷体_GB2312"/>
          <w:bCs/>
          <w:kern w:val="0"/>
          <w:sz w:val="32"/>
          <w:szCs w:val="32"/>
          <w:lang w:val="en-US" w:eastAsia="zh-CN"/>
        </w:rPr>
        <w:t>（五）当承包商安全协议附录1和附录2中，同一类扣款金额处罚标准存在冲突时，按照金额高的标准进行处罚。</w:t>
      </w:r>
    </w:p>
    <w:tbl>
      <w:tblPr>
        <w:tblStyle w:val="38"/>
        <w:tblW w:w="14028"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662"/>
        <w:gridCol w:w="5278"/>
        <w:gridCol w:w="1338"/>
        <w:gridCol w:w="1546"/>
        <w:gridCol w:w="3336"/>
        <w:gridCol w:w="1868"/>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18" w:hRule="atLeast"/>
        </w:trPr>
        <w:tc>
          <w:tcPr>
            <w:tcW w:w="14028" w:type="dxa"/>
            <w:gridSpan w:val="6"/>
            <w:tcBorders>
              <w:tl2br w:val="nil"/>
              <w:tr2bl w:val="nil"/>
            </w:tcBorders>
            <w:tcMar>
              <w:top w:w="10" w:type="dxa"/>
              <w:left w:w="10" w:type="dxa"/>
              <w:right w:w="10" w:type="dxa"/>
            </w:tcMar>
            <w:vAlign w:val="center"/>
          </w:tcPr>
          <w:p>
            <w:pPr>
              <w:jc w:val="center"/>
              <w:textAlignment w:val="center"/>
              <w:rPr>
                <w:rFonts w:hint="eastAsia" w:ascii="宋体" w:hAnsi="宋体" w:eastAsia="宋体" w:cs="宋体"/>
                <w:b/>
                <w:bCs/>
                <w:kern w:val="2"/>
                <w:sz w:val="21"/>
                <w:szCs w:val="21"/>
                <w:highlight w:val="none"/>
                <w:lang w:eastAsia="zh-CN"/>
              </w:rPr>
            </w:pPr>
            <w:r>
              <w:rPr>
                <w:rFonts w:hint="eastAsia" w:ascii="宋体" w:hAnsi="宋体" w:cs="宋体"/>
                <w:b/>
              </w:rPr>
              <w:t>现场作业违章扣分通用条款（2025版）</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18"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b/>
                <w:bCs/>
                <w:kern w:val="2"/>
                <w:sz w:val="21"/>
                <w:szCs w:val="21"/>
                <w:highlight w:val="none"/>
              </w:rPr>
            </w:pPr>
            <w:r>
              <w:rPr>
                <w:rFonts w:hint="eastAsia" w:ascii="宋体" w:hAnsi="宋体" w:cs="宋体"/>
                <w:b/>
                <w:bCs/>
                <w:kern w:val="2"/>
                <w:sz w:val="21"/>
                <w:szCs w:val="21"/>
                <w:highlight w:val="none"/>
              </w:rPr>
              <w:t>代码</w:t>
            </w:r>
          </w:p>
        </w:tc>
        <w:tc>
          <w:tcPr>
            <w:tcW w:w="5278" w:type="dxa"/>
            <w:tcBorders>
              <w:tl2br w:val="nil"/>
              <w:tr2bl w:val="nil"/>
            </w:tcBorders>
            <w:tcMar>
              <w:top w:w="10" w:type="dxa"/>
              <w:left w:w="10" w:type="dxa"/>
              <w:right w:w="10" w:type="dxa"/>
            </w:tcMar>
            <w:vAlign w:val="center"/>
          </w:tcPr>
          <w:p>
            <w:pPr>
              <w:jc w:val="center"/>
              <w:textAlignment w:val="center"/>
              <w:rPr>
                <w:rFonts w:hint="eastAsia" w:ascii="宋体" w:hAnsi="宋体" w:cs="宋体"/>
                <w:b/>
                <w:bCs/>
                <w:kern w:val="2"/>
                <w:sz w:val="21"/>
                <w:szCs w:val="21"/>
                <w:highlight w:val="none"/>
              </w:rPr>
            </w:pPr>
            <w:r>
              <w:rPr>
                <w:rFonts w:hint="eastAsia" w:ascii="宋体" w:hAnsi="宋体" w:cs="宋体"/>
                <w:b/>
                <w:bCs/>
                <w:kern w:val="2"/>
                <w:sz w:val="21"/>
                <w:szCs w:val="21"/>
                <w:highlight w:val="none"/>
              </w:rPr>
              <w:t>具体违章现象</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b/>
                <w:bCs/>
                <w:kern w:val="2"/>
                <w:sz w:val="21"/>
                <w:szCs w:val="21"/>
                <w:highlight w:val="none"/>
              </w:rPr>
            </w:pPr>
            <w:r>
              <w:rPr>
                <w:rFonts w:hint="eastAsia" w:ascii="宋体" w:hAnsi="宋体" w:cs="宋体"/>
                <w:b/>
                <w:bCs/>
                <w:kern w:val="2"/>
                <w:sz w:val="21"/>
                <w:szCs w:val="21"/>
                <w:highlight w:val="none"/>
              </w:rPr>
              <w:t>违章类型</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b/>
                <w:bCs/>
                <w:kern w:val="2"/>
                <w:sz w:val="21"/>
                <w:szCs w:val="21"/>
                <w:highlight w:val="none"/>
              </w:rPr>
            </w:pPr>
            <w:r>
              <w:rPr>
                <w:rFonts w:hint="eastAsia" w:ascii="宋体" w:hAnsi="宋体" w:cs="宋体"/>
                <w:b/>
                <w:bCs/>
                <w:kern w:val="2"/>
                <w:sz w:val="21"/>
                <w:szCs w:val="21"/>
                <w:highlight w:val="none"/>
              </w:rPr>
              <w:t>扣分对象</w:t>
            </w:r>
          </w:p>
        </w:tc>
        <w:tc>
          <w:tcPr>
            <w:tcW w:w="3336" w:type="dxa"/>
            <w:tcBorders>
              <w:tl2br w:val="nil"/>
              <w:tr2bl w:val="nil"/>
            </w:tcBorders>
            <w:tcMar>
              <w:top w:w="10" w:type="dxa"/>
              <w:left w:w="10" w:type="dxa"/>
              <w:right w:w="10" w:type="dxa"/>
            </w:tcMar>
            <w:vAlign w:val="center"/>
          </w:tcPr>
          <w:p>
            <w:pPr>
              <w:jc w:val="center"/>
              <w:textAlignment w:val="center"/>
              <w:rPr>
                <w:rFonts w:hint="eastAsia" w:ascii="宋体" w:hAnsi="宋体" w:cs="宋体"/>
                <w:b/>
                <w:bCs/>
                <w:kern w:val="2"/>
                <w:sz w:val="21"/>
                <w:szCs w:val="21"/>
                <w:highlight w:val="none"/>
              </w:rPr>
            </w:pPr>
            <w:r>
              <w:rPr>
                <w:rFonts w:hint="eastAsia" w:ascii="宋体" w:hAnsi="宋体" w:cs="宋体"/>
                <w:b/>
                <w:bCs/>
                <w:kern w:val="2"/>
                <w:sz w:val="21"/>
                <w:szCs w:val="21"/>
                <w:highlight w:val="none"/>
              </w:rPr>
              <w:t>安全生产禁令</w:t>
            </w:r>
          </w:p>
        </w:tc>
        <w:tc>
          <w:tcPr>
            <w:tcW w:w="1868" w:type="dxa"/>
            <w:tcBorders>
              <w:tl2br w:val="nil"/>
              <w:tr2bl w:val="nil"/>
            </w:tcBorders>
            <w:tcMar>
              <w:top w:w="10" w:type="dxa"/>
              <w:left w:w="10" w:type="dxa"/>
              <w:right w:w="10" w:type="dxa"/>
            </w:tcMar>
            <w:vAlign w:val="center"/>
          </w:tcPr>
          <w:p>
            <w:pPr>
              <w:jc w:val="center"/>
              <w:textAlignment w:val="center"/>
              <w:rPr>
                <w:rFonts w:hint="eastAsia" w:ascii="宋体" w:hAnsi="宋体" w:cs="宋体"/>
                <w:b/>
                <w:bCs/>
                <w:kern w:val="2"/>
                <w:sz w:val="21"/>
                <w:szCs w:val="21"/>
                <w:highlight w:val="none"/>
              </w:rPr>
            </w:pPr>
            <w:r>
              <w:rPr>
                <w:rFonts w:hint="eastAsia" w:ascii="宋体" w:hAnsi="宋体" w:cs="宋体"/>
                <w:b/>
                <w:bCs/>
                <w:kern w:val="2"/>
                <w:sz w:val="21"/>
                <w:szCs w:val="21"/>
                <w:highlight w:val="none"/>
              </w:rPr>
              <w:t>备注</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73"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A01</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b/>
                <w:bCs/>
                <w:sz w:val="21"/>
                <w:szCs w:val="21"/>
                <w:highlight w:val="none"/>
              </w:rPr>
              <w:t>无票作业。</w:t>
            </w:r>
            <w:r>
              <w:rPr>
                <w:rFonts w:hint="eastAsia" w:ascii="宋体" w:hAnsi="宋体" w:cs="宋体"/>
                <w:sz w:val="21"/>
                <w:szCs w:val="21"/>
                <w:highlight w:val="none"/>
              </w:rPr>
              <w:t>未按规定办理线路、配电第一、二种工作票、厂站第一、二、三种工作票、带电作业工作票、紧急抢修工作票、检修申请单、动火工作票、书面布置记录票、二次措施单、施工作业票开展现场作业。</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两票文件</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工作负责人</w:t>
            </w:r>
          </w:p>
          <w:p>
            <w:pPr>
              <w:jc w:val="center"/>
              <w:textAlignment w:val="center"/>
              <w:rPr>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第七条:严禁未经批准作业、违规无票工作、违规无监护操作、违规解锁。</w:t>
            </w: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86"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A02</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b/>
                <w:bCs/>
                <w:sz w:val="21"/>
                <w:szCs w:val="21"/>
                <w:highlight w:val="none"/>
              </w:rPr>
              <w:t>无票操作。</w:t>
            </w:r>
            <w:r>
              <w:rPr>
                <w:rFonts w:hint="eastAsia" w:ascii="宋体" w:hAnsi="宋体" w:cs="宋体"/>
                <w:sz w:val="21"/>
                <w:szCs w:val="21"/>
                <w:highlight w:val="none"/>
              </w:rPr>
              <w:t>设备操作未根据操作要求办理相应的操作票或规范性书面记录，包括调度逐项、综合和许可操作命令票、现场电气操作票、现场电气操作记录票、新（改）建设备投产方案（操作步骤部分）。</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两票文件</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操作人</w:t>
            </w:r>
          </w:p>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监护人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第七条:严禁未经批准作业、违规无票工作、违规无监护操作、违规解锁。</w:t>
            </w: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A03</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b/>
                <w:bCs/>
                <w:sz w:val="21"/>
                <w:szCs w:val="21"/>
                <w:highlight w:val="none"/>
              </w:rPr>
              <w:t>未经停电、接地、许可即开展作业。</w:t>
            </w:r>
            <w:r>
              <w:rPr>
                <w:rFonts w:hint="eastAsia" w:ascii="宋体" w:hAnsi="宋体" w:cs="宋体"/>
                <w:sz w:val="21"/>
                <w:szCs w:val="21"/>
                <w:highlight w:val="none"/>
              </w:rPr>
              <w:t>工作票未经许可或工作票、分组工作派工单所列主要安全措施（开关、刀闸、接地）未全部落实前（安规允许的安全措施可分段执行情形除外），工作负责人即安排作业人员作业或作业人员擅自开展作业。未按照工作票所列“应装设的接地”要求装设接地或工作地点未装设封闭接地，擅自变更接地位置。</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两票文件</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工作负责人</w:t>
            </w:r>
          </w:p>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第八条:严禁未按规定落实停电、验电、接地等防触电措施开展作业。</w:t>
            </w: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2"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A04</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b/>
                <w:bCs/>
                <w:sz w:val="21"/>
                <w:szCs w:val="21"/>
                <w:highlight w:val="none"/>
              </w:rPr>
              <w:t>主要安全措施未完成即许可作业。</w:t>
            </w:r>
            <w:r>
              <w:rPr>
                <w:rFonts w:hint="eastAsia" w:ascii="宋体" w:hAnsi="宋体" w:cs="宋体"/>
                <w:sz w:val="21"/>
                <w:szCs w:val="21"/>
                <w:highlight w:val="none"/>
              </w:rPr>
              <w:t>未完成工作票所列主要安全措施（开关、刀闸、接地）布置，工作许可人即进行工作许可。</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两票文件</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工作许可人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第八条:严禁未按规定落实停电、验电、接地等防触电措施开展作业。</w:t>
            </w: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2"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A05</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p>
        </w:tc>
        <w:tc>
          <w:tcPr>
            <w:tcW w:w="1546" w:type="dxa"/>
            <w:tcBorders>
              <w:tl2br w:val="nil"/>
              <w:tr2bl w:val="nil"/>
            </w:tcBorders>
            <w:tcMar>
              <w:top w:w="10" w:type="dxa"/>
              <w:left w:w="10" w:type="dxa"/>
              <w:right w:w="10" w:type="dxa"/>
            </w:tcMar>
            <w:vAlign w:val="center"/>
          </w:tcPr>
          <w:p>
            <w:pPr>
              <w:jc w:val="center"/>
              <w:rPr>
                <w:rFonts w:hint="eastAsia" w:ascii="宋体" w:hAnsi="宋体" w:cs="宋体"/>
                <w:sz w:val="21"/>
                <w:szCs w:val="21"/>
                <w:highlight w:val="none"/>
              </w:rPr>
            </w:pP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2"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A06</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b/>
                <w:bCs/>
                <w:sz w:val="21"/>
                <w:szCs w:val="21"/>
                <w:highlight w:val="none"/>
              </w:rPr>
              <w:t>擅自组织施工、改变设备状态。</w:t>
            </w:r>
            <w:r>
              <w:rPr>
                <w:rFonts w:hint="eastAsia" w:ascii="宋体" w:hAnsi="宋体" w:cs="宋体"/>
                <w:sz w:val="21"/>
                <w:szCs w:val="21"/>
                <w:highlight w:val="none"/>
              </w:rPr>
              <w:t>违章指挥、强令工作班人员冒险作业；未办理开工/复工手续擅自组织施工，或停工令执行不到位。擅自改变调度管辖设备状态。</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信息传递</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相关人员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第二条：严禁违章指挥、违章作业、违反劳动纪律和调度纪律。</w:t>
            </w: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662" w:type="dxa"/>
            <w:vMerge w:val="restart"/>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A07</w:t>
            </w:r>
          </w:p>
        </w:tc>
        <w:tc>
          <w:tcPr>
            <w:tcW w:w="5278" w:type="dxa"/>
            <w:vMerge w:val="restart"/>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b/>
                <w:bCs/>
                <w:sz w:val="21"/>
                <w:szCs w:val="21"/>
                <w:highlight w:val="none"/>
              </w:rPr>
              <w:t>电网运行方式安排违反“三个不安排”要求</w:t>
            </w:r>
            <w:r>
              <w:rPr>
                <w:rFonts w:hint="eastAsia" w:ascii="宋体" w:hAnsi="宋体" w:cs="宋体"/>
                <w:sz w:val="21"/>
                <w:szCs w:val="21"/>
                <w:highlight w:val="none"/>
              </w:rPr>
              <w:t>，设备超设计标准限额、超实际承载能力运行。</w:t>
            </w:r>
          </w:p>
        </w:tc>
        <w:tc>
          <w:tcPr>
            <w:tcW w:w="1338" w:type="dxa"/>
            <w:vMerge w:val="restart"/>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vMerge w:val="restart"/>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相关人员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第四条：严禁安排安全裕度不足的电网运行方式。</w:t>
            </w:r>
          </w:p>
        </w:tc>
        <w:tc>
          <w:tcPr>
            <w:tcW w:w="1868" w:type="dxa"/>
            <w:vMerge w:val="restart"/>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662" w:type="dxa"/>
            <w:vMerge w:val="continue"/>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p>
        </w:tc>
        <w:tc>
          <w:tcPr>
            <w:tcW w:w="5278" w:type="dxa"/>
            <w:vMerge w:val="continue"/>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338" w:type="dxa"/>
            <w:vMerge w:val="continue"/>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p>
        </w:tc>
        <w:tc>
          <w:tcPr>
            <w:tcW w:w="1546" w:type="dxa"/>
            <w:vMerge w:val="continue"/>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第五条：严禁设备超限额、超能力运行。</w:t>
            </w:r>
          </w:p>
        </w:tc>
        <w:tc>
          <w:tcPr>
            <w:tcW w:w="1868" w:type="dxa"/>
            <w:vMerge w:val="continue"/>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2"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A08</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b/>
                <w:bCs/>
                <w:sz w:val="21"/>
                <w:szCs w:val="21"/>
                <w:highlight w:val="none"/>
              </w:rPr>
              <w:t>未有效装设接地线、个人保安线。</w:t>
            </w:r>
            <w:r>
              <w:rPr>
                <w:rFonts w:hint="eastAsia" w:ascii="宋体" w:hAnsi="宋体" w:cs="宋体"/>
                <w:sz w:val="21"/>
                <w:szCs w:val="21"/>
                <w:highlight w:val="none"/>
              </w:rPr>
              <w:t>在因交叉跨越、平行或邻近高压带电线路、设备可能产生感应电压的电力线路或设备上作业时，未加装防感应电个人保安线或接地线；或用于防反送电、防感应电的接地线或个人保安线丧失接地保护功能，如采用缠绕的方法进行接地、与检修电力线路、设备电气直接相连部位未去除油漆或绝缘层、成组接地线遗漏1相及以上未装设（不含接地线夹松脱情形）等。</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相关人员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第八条:严禁未按规定落实停电、验电、接地等防触电措施开展作业。</w:t>
            </w: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修订，增加了丧失接地保护功能的说明。</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2"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A09</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b/>
                <w:bCs/>
                <w:sz w:val="21"/>
                <w:szCs w:val="21"/>
                <w:highlight w:val="none"/>
              </w:rPr>
              <w:t>架拆导线未落实防导线滑脱保护措施。</w:t>
            </w:r>
            <w:r>
              <w:rPr>
                <w:rFonts w:hint="eastAsia" w:ascii="宋体" w:hAnsi="宋体" w:cs="宋体"/>
                <w:sz w:val="21"/>
                <w:szCs w:val="21"/>
                <w:highlight w:val="none"/>
              </w:rPr>
              <w:t>跨越、邻近带电线路架设、拆除导（地）线施工时，未制定及落实防止导（地）线脱落、滑跑、反弹的保护措施。</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工作负责人</w:t>
            </w:r>
          </w:p>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第八条:严禁未按规定落实停电、验电、接地等防触电措施开展作业。</w:t>
            </w: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134"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A10</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ascii="宋体" w:hAnsi="宋体" w:cs="宋体"/>
                <w:b/>
                <w:bCs/>
                <w:sz w:val="21"/>
                <w:szCs w:val="21"/>
                <w:highlight w:val="none"/>
              </w:rPr>
              <w:t>与带电体安全距离不足。</w:t>
            </w:r>
            <w:r>
              <w:rPr>
                <w:rFonts w:hint="eastAsia" w:ascii="宋体" w:hAnsi="宋体" w:cs="宋体"/>
                <w:sz w:val="21"/>
                <w:szCs w:val="21"/>
                <w:highlight w:val="none"/>
              </w:rPr>
              <w:t>现场工作中，工作人员或机具与高压带电体不能保持规定的安全距离且未采取有效措施，如：在多回线路杆塔进行非带电作业时进入带电侧横担；被砍树木与带电运行的线路安全距离不足且未采取控制树木倾倒方向或未采用绝缘隔离等防护措施；在带电设备附近进行吊装作业时，安全距离不够且未采取有效措施；试验中的高压引线及高压带电部件与周围人员的距离小于规定的安全距离；擅自打开带电开关柜的前、后盖板、静触头绝缘挡板等隔离装置，或超越安全遮栏（围栏）开展工作。</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工作负责人</w:t>
            </w:r>
          </w:p>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第八条:严禁未按规定落实停电、验电、接地等防触电措施开展作业。</w:t>
            </w: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45"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A11</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ascii="宋体" w:hAnsi="宋体" w:cs="宋体"/>
                <w:b/>
                <w:bCs/>
                <w:sz w:val="21"/>
                <w:szCs w:val="21"/>
                <w:highlight w:val="none"/>
              </w:rPr>
              <w:t>擅自扩大工作范围。</w:t>
            </w:r>
            <w:r>
              <w:rPr>
                <w:rFonts w:hint="eastAsia" w:ascii="宋体" w:hAnsi="宋体" w:cs="宋体"/>
                <w:sz w:val="21"/>
                <w:szCs w:val="21"/>
                <w:highlight w:val="none"/>
              </w:rPr>
              <w:t>擅自扩大工作票所列工作范围开展工作，且安全措施不满足要求。</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工作负责人</w:t>
            </w:r>
          </w:p>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第七条:严禁未经批准作业、违规无票工作、违规无监护操作、违规解锁。</w:t>
            </w: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66"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A12</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86"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A13</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b/>
                <w:bCs/>
                <w:sz w:val="21"/>
                <w:szCs w:val="21"/>
                <w:highlight w:val="none"/>
              </w:rPr>
              <w:t>闭锁装置违规解锁。</w:t>
            </w:r>
            <w:r>
              <w:rPr>
                <w:rFonts w:hint="eastAsia" w:ascii="宋体" w:hAnsi="宋体" w:cs="宋体"/>
                <w:sz w:val="21"/>
                <w:szCs w:val="21"/>
                <w:highlight w:val="none"/>
              </w:rPr>
              <w:t>违规使用解锁钥匙或采用非常规解锁用具，擅自解除设备的电气闭锁装置或机械闭锁装置。</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操作人</w:t>
            </w:r>
          </w:p>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操作监护人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第七条:严禁未经批准作业、违规无票工作、违规无监护操作、违规解锁。</w:t>
            </w: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59"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A14</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b/>
                <w:bCs/>
                <w:sz w:val="21"/>
                <w:szCs w:val="21"/>
                <w:highlight w:val="none"/>
              </w:rPr>
              <w:t>未经许可或授权擅自操作刀闸或接地线。</w:t>
            </w:r>
            <w:r>
              <w:rPr>
                <w:rFonts w:hint="eastAsia" w:ascii="宋体" w:hAnsi="宋体" w:cs="宋体"/>
                <w:sz w:val="21"/>
                <w:szCs w:val="21"/>
                <w:highlight w:val="none"/>
              </w:rPr>
              <w:t>在设备试验、检修工作中，工作班人员擅自操作未经运行人员许可或授权操作的隔离开关或接地刀闸（接地线）</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A15</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b/>
                <w:bCs/>
                <w:sz w:val="21"/>
                <w:szCs w:val="21"/>
                <w:highlight w:val="none"/>
              </w:rPr>
              <w:t>带负荷断、接引线。</w:t>
            </w:r>
            <w:r>
              <w:rPr>
                <w:rFonts w:hint="eastAsia" w:ascii="宋体" w:hAnsi="宋体" w:cs="宋体"/>
                <w:sz w:val="21"/>
                <w:szCs w:val="21"/>
                <w:highlight w:val="none"/>
              </w:rPr>
              <w:t>在高压带电作业中，带负荷断、接引线；未采取消弧措施带电断、接空载电缆线路的连接引线。</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36"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A16</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约时停、送电。</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操作人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第八条:严禁未按规定落实停电、验电、接地等防触电措施开展作业。</w:t>
            </w: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83"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A17</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b/>
                <w:bCs/>
                <w:sz w:val="21"/>
                <w:szCs w:val="21"/>
                <w:highlight w:val="none"/>
              </w:rPr>
              <w:t>无特种作业证作业。</w:t>
            </w:r>
            <w:r>
              <w:rPr>
                <w:rFonts w:hint="eastAsia" w:ascii="宋体" w:hAnsi="宋体" w:cs="宋体"/>
                <w:sz w:val="21"/>
                <w:szCs w:val="21"/>
                <w:highlight w:val="none"/>
              </w:rPr>
              <w:t>特种作业人员、特种设备作业人员未取得或持假冒的特种作业操作证、特种设备作业人员证从事相应工作。</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工作负责人</w:t>
            </w:r>
          </w:p>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第六条：严禁未经安全教育培训并考试合格的人员上岗作业。</w:t>
            </w: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10"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A18</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b/>
                <w:bCs/>
                <w:sz w:val="21"/>
                <w:szCs w:val="21"/>
                <w:highlight w:val="none"/>
              </w:rPr>
              <w:t>杆塔上有人作业时违规进行拉线调整、架拆导线等。</w:t>
            </w:r>
            <w:r>
              <w:rPr>
                <w:rFonts w:hint="eastAsia" w:ascii="宋体" w:hAnsi="宋体" w:cs="宋体"/>
                <w:sz w:val="21"/>
                <w:szCs w:val="21"/>
                <w:highlight w:val="none"/>
              </w:rPr>
              <w:t>杆塔线路进行机械牵引、展放作业时，安排人员登杆作业（检查及调整放线滑车预偏除外)，或线路杆塔上有人作业时，下方人员进行杆塔拉线的调整、拆除，以突然剪断导线、地线、拉线等方法进行松线、撤杆塔。</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工作负责人</w:t>
            </w:r>
          </w:p>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第九条:严禁未落实防坠落、防倒杆措施开展高处作业。</w:t>
            </w: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修订，</w:t>
            </w:r>
            <w:r>
              <w:rPr>
                <w:rFonts w:hint="eastAsia" w:ascii="宋体" w:hAnsi="宋体" w:cs="宋体"/>
                <w:sz w:val="21"/>
                <w:szCs w:val="21"/>
                <w:highlight w:val="none"/>
                <w:lang w:val="en-US" w:eastAsia="zh-CN"/>
              </w:rPr>
              <w:t>调整</w:t>
            </w:r>
            <w:r>
              <w:rPr>
                <w:rFonts w:hint="eastAsia" w:ascii="宋体" w:hAnsi="宋体" w:cs="宋体"/>
                <w:sz w:val="21"/>
                <w:szCs w:val="21"/>
                <w:highlight w:val="none"/>
              </w:rPr>
              <w:t>描述。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14"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A19</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b/>
                <w:bCs/>
                <w:sz w:val="21"/>
                <w:szCs w:val="21"/>
                <w:highlight w:val="none"/>
              </w:rPr>
              <w:t>高处作业失去保护。</w:t>
            </w:r>
            <w:r>
              <w:rPr>
                <w:rFonts w:hint="eastAsia" w:ascii="宋体" w:hAnsi="宋体" w:cs="宋体"/>
                <w:sz w:val="21"/>
                <w:szCs w:val="21"/>
                <w:highlight w:val="none"/>
              </w:rPr>
              <w:t>高处作业（含高度超过1.5米且没有栏杆的脚手架上工作、</w:t>
            </w:r>
            <w:r>
              <w:rPr>
                <w:rFonts w:ascii="宋体" w:hAnsi="宋体" w:cs="宋体"/>
                <w:color w:val="000000"/>
                <w:sz w:val="21"/>
                <w:szCs w:val="21"/>
                <w:highlight w:val="none"/>
              </w:rPr>
              <w:t>工作面边沿</w:t>
            </w:r>
            <w:r>
              <w:rPr>
                <w:rFonts w:hint="eastAsia" w:ascii="宋体" w:hAnsi="宋体" w:cs="宋体"/>
                <w:color w:val="000000"/>
                <w:sz w:val="21"/>
                <w:szCs w:val="21"/>
                <w:highlight w:val="none"/>
              </w:rPr>
              <w:t>或开口处无任何防护设施或防护设施不能满足防护要求的临空状态下进行的高处作业</w:t>
            </w:r>
            <w:r>
              <w:rPr>
                <w:rFonts w:hint="eastAsia" w:ascii="宋体" w:hAnsi="宋体" w:cs="宋体"/>
                <w:sz w:val="21"/>
                <w:szCs w:val="21"/>
                <w:highlight w:val="none"/>
              </w:rPr>
              <w:t>）未使用安全带等防坠落用品、装置，或安全带未挂在牢固的构件上，或攀登杆塔、转移位置时失去安全带的保护。</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机具防护</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第九条:严禁未落实防坠落、防倒杆措施开展高处作业。</w:t>
            </w: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修订，增加“工作面边沿或开口处无任何防护设施或防护设施不能满足防护要求的临空状态下进行的高处作业”情形。</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158"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A20</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b/>
                <w:bCs/>
                <w:sz w:val="21"/>
                <w:szCs w:val="21"/>
                <w:highlight w:val="none"/>
              </w:rPr>
              <w:t>有限空间作业未严格执行“先通风、再检测、后作业”。</w:t>
            </w:r>
            <w:r>
              <w:rPr>
                <w:rFonts w:hint="eastAsia" w:ascii="宋体" w:hAnsi="宋体" w:cs="宋体"/>
                <w:sz w:val="21"/>
                <w:szCs w:val="21"/>
                <w:highlight w:val="none"/>
              </w:rPr>
              <w:t>进入主变等设备内部、事故油池、消防水池、电缆隧道、电缆井、综合管廊、箱涵、深基坑、风机管道等存在自然通风不良，易造成有毒有害、易燃易爆物质积聚或氧含量不足情况的有限空间工作未严格执行“先通风、再检测、后作业”、作业过程中未执行“实时监测、持续通风”要求。</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作业环境</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工作负责人</w:t>
            </w:r>
          </w:p>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有关监理人员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A21</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b/>
                <w:bCs/>
                <w:sz w:val="21"/>
                <w:szCs w:val="21"/>
                <w:highlight w:val="none"/>
              </w:rPr>
              <w:t>动火作业安全措施未落实。</w:t>
            </w:r>
            <w:r>
              <w:rPr>
                <w:rFonts w:hint="eastAsia" w:ascii="宋体" w:hAnsi="宋体" w:cs="宋体"/>
                <w:sz w:val="21"/>
                <w:szCs w:val="21"/>
                <w:highlight w:val="none"/>
              </w:rPr>
              <w:t>带明火进入易燃易爆物品储放场所，或在易燃易爆物品储放场所动火工作未采取防火等安全措施，动火作业点10米内未清除可燃物品或作业后现场有残留火种。</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作业环境</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工作负责人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A22</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p>
        </w:tc>
        <w:tc>
          <w:tcPr>
            <w:tcW w:w="333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64"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A23</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b/>
                <w:bCs/>
                <w:sz w:val="21"/>
                <w:szCs w:val="21"/>
                <w:highlight w:val="none"/>
              </w:rPr>
              <w:t>未经安规考试合格上岗作业。</w:t>
            </w:r>
            <w:r>
              <w:rPr>
                <w:rFonts w:hint="eastAsia" w:ascii="宋体" w:hAnsi="宋体" w:cs="宋体"/>
                <w:sz w:val="21"/>
                <w:szCs w:val="21"/>
                <w:highlight w:val="none"/>
              </w:rPr>
              <w:t>现场作业人员（新员工、转岗未经考核合格人员、实习人员和临时作业人员除外）未经安规考试合格即上岗作业</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第六条：严禁未经安全教育培训并考试合格的人员上岗作业。</w:t>
            </w: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84"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A24</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393"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A25</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b/>
                <w:bCs/>
                <w:sz w:val="21"/>
                <w:szCs w:val="21"/>
                <w:highlight w:val="none"/>
              </w:rPr>
              <w:t>特种设备、机械设备使用不当。</w:t>
            </w:r>
            <w:r>
              <w:rPr>
                <w:rFonts w:hint="eastAsia" w:ascii="宋体" w:hAnsi="宋体" w:cs="宋体"/>
                <w:sz w:val="21"/>
                <w:szCs w:val="21"/>
                <w:highlight w:val="none"/>
              </w:rPr>
              <w:t>使用无证、未按规定检验或检验不合格的特种设备，违规使用起重设备载人作业（合法自制设备除外），或未经计算、验证、检验、审批等程序违规使用自制高空作业平台、吊篮（吊笼）载人作业。</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使用人员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第十条：严禁不正确配备或使用不合格的生产用具。</w:t>
            </w: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7"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A26</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b/>
                <w:bCs/>
                <w:sz w:val="21"/>
                <w:szCs w:val="21"/>
                <w:highlight w:val="none"/>
              </w:rPr>
              <w:t>带电作业人员串入电路。</w:t>
            </w:r>
            <w:r>
              <w:rPr>
                <w:rFonts w:hint="eastAsia" w:ascii="宋体" w:hAnsi="宋体" w:cs="宋体"/>
                <w:sz w:val="21"/>
                <w:szCs w:val="21"/>
                <w:highlight w:val="none"/>
              </w:rPr>
              <w:t>不同电位作业人员直接相互接触，作业人员同时接触两个非连通的带电体、作业人员同时接触带电体与接地体，同时安装或拆除不同电位的绝缘遮蔽，绝缘斗臂车或绝缘平台双人带电作业时，同时在不同相或不同电位作业、安全距离不足时作业人员未采取绝缘遮蔽措施等。</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使用人员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第八条:严禁未按规定落实停电、验电、接地等防触电措施开展作业。</w:t>
            </w: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73"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B01</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b/>
                <w:bCs/>
                <w:sz w:val="21"/>
                <w:szCs w:val="21"/>
                <w:highlight w:val="none"/>
              </w:rPr>
              <w:t>无计划作业。</w:t>
            </w:r>
            <w:r>
              <w:rPr>
                <w:rFonts w:hint="eastAsia" w:ascii="宋体" w:hAnsi="宋体" w:cs="宋体"/>
                <w:sz w:val="21"/>
                <w:szCs w:val="21"/>
                <w:highlight w:val="none"/>
              </w:rPr>
              <w:t>未按照规定制定作业计划；或作业计划未按要求录入信息系统（符合规定允许系统补录的且在作业前已确定作业时间、地点、内容及人员并完成审批的作业计划除外），“体外循环”。</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两票文件</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相关人员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第七条:严禁未经批准作业、违规无票工作、违规无监护操作、违规解锁。</w:t>
            </w: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修订，增加</w:t>
            </w:r>
            <w:r>
              <w:rPr>
                <w:rFonts w:hint="eastAsia" w:ascii="宋体" w:hAnsi="宋体" w:cs="宋体"/>
                <w:sz w:val="21"/>
                <w:szCs w:val="21"/>
                <w:highlight w:val="none"/>
                <w:lang w:val="en-US" w:eastAsia="zh-CN"/>
              </w:rPr>
              <w:t>了</w:t>
            </w:r>
            <w:r>
              <w:rPr>
                <w:rFonts w:hint="eastAsia" w:ascii="宋体" w:hAnsi="宋体" w:cs="宋体"/>
                <w:sz w:val="21"/>
                <w:szCs w:val="21"/>
                <w:highlight w:val="none"/>
              </w:rPr>
              <w:t>对于补录计划的排除情形。</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001"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B02</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b/>
                <w:bCs/>
                <w:sz w:val="21"/>
                <w:szCs w:val="21"/>
                <w:highlight w:val="none"/>
              </w:rPr>
              <w:t>工作票关键内容缺失或错误。</w:t>
            </w:r>
            <w:r>
              <w:rPr>
                <w:rFonts w:hint="eastAsia" w:ascii="宋体" w:hAnsi="宋体" w:cs="宋体"/>
                <w:sz w:val="21"/>
                <w:szCs w:val="21"/>
                <w:highlight w:val="none"/>
              </w:rPr>
              <w:t>工作票主要安全措施（开关、刀闸、接地）遗漏、错误，或停电线路、工作地点、工作任务、设备名称编号错误。</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两票文件</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工作负责人</w:t>
            </w:r>
          </w:p>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工作票签发人</w:t>
            </w:r>
          </w:p>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工作票会签人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158"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B03</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b/>
                <w:bCs/>
                <w:sz w:val="21"/>
                <w:szCs w:val="21"/>
                <w:highlight w:val="none"/>
              </w:rPr>
              <w:t>操作票关键内容缺失或错误。</w:t>
            </w:r>
            <w:r>
              <w:rPr>
                <w:rFonts w:hint="eastAsia" w:ascii="宋体" w:hAnsi="宋体" w:cs="宋体"/>
                <w:sz w:val="21"/>
                <w:szCs w:val="21"/>
                <w:highlight w:val="none"/>
              </w:rPr>
              <w:t>操作票所列操作任务与操作票不相符，现场设备（设备状态、设备名称编号）错误，断合开关、拉合刀闸以及开关、刀闸位置检查、验电、装拆接地线（拉合接地刀闸）、投退保护压板（软压板）等主要操作项目错项、漏项或顺序原则错误。</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两票文件</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操作人</w:t>
            </w:r>
          </w:p>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操作监护人</w:t>
            </w:r>
          </w:p>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值班负责人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2"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B04</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b/>
                <w:bCs/>
                <w:sz w:val="21"/>
                <w:szCs w:val="21"/>
                <w:highlight w:val="none"/>
              </w:rPr>
              <w:t>未开展现场勘察及安全交底（交代）。</w:t>
            </w:r>
            <w:r>
              <w:rPr>
                <w:rFonts w:hint="eastAsia" w:ascii="宋体" w:hAnsi="宋体" w:cs="宋体"/>
                <w:sz w:val="21"/>
                <w:szCs w:val="21"/>
                <w:highlight w:val="none"/>
              </w:rPr>
              <w:t>需开展现场勘察的工作未开展现场勘察。</w:t>
            </w:r>
            <w:r>
              <w:rPr>
                <w:rFonts w:hint="eastAsia" w:ascii="宋体" w:hAnsi="宋体" w:cs="宋体"/>
                <w:sz w:val="21"/>
                <w:szCs w:val="21"/>
                <w:highlight w:val="none"/>
                <w:lang w:val="en-US" w:eastAsia="zh-CN"/>
              </w:rPr>
              <w:t>工作负责人未参加现场</w:t>
            </w:r>
            <w:r>
              <w:rPr>
                <w:rFonts w:hint="eastAsia" w:ascii="宋体" w:hAnsi="宋体" w:cs="宋体"/>
                <w:sz w:val="21"/>
                <w:szCs w:val="21"/>
                <w:highlight w:val="none"/>
              </w:rPr>
              <w:t>勘察</w:t>
            </w:r>
            <w:r>
              <w:rPr>
                <w:rFonts w:hint="eastAsia" w:ascii="宋体" w:hAnsi="宋体" w:cs="宋体"/>
                <w:sz w:val="21"/>
                <w:szCs w:val="21"/>
                <w:highlight w:val="none"/>
                <w:lang w:val="en-US" w:eastAsia="zh-CN"/>
              </w:rPr>
              <w:t>，</w:t>
            </w:r>
            <w:r>
              <w:rPr>
                <w:rFonts w:hint="eastAsia" w:ascii="宋体" w:hAnsi="宋体" w:cs="宋体"/>
                <w:sz w:val="21"/>
                <w:szCs w:val="21"/>
                <w:highlight w:val="none"/>
              </w:rPr>
              <w:t>设备运维单位或项目管理单位未随同施工单位进行现场勘察、未对施工单位进行安全技术交底。工作许可人在许可前，未对工作负责人进行安全交代。</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信息传递</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设备运行单位人员、项目管理单位人员、工作许可人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eastAsia="宋体" w:cs="宋体"/>
                <w:sz w:val="21"/>
                <w:szCs w:val="21"/>
                <w:highlight w:val="none"/>
                <w:lang w:eastAsia="zh-CN"/>
              </w:rPr>
            </w:pPr>
            <w:r>
              <w:rPr>
                <w:rFonts w:hint="eastAsia" w:ascii="宋体" w:hAnsi="宋体" w:cs="宋体"/>
                <w:sz w:val="21"/>
                <w:szCs w:val="21"/>
                <w:highlight w:val="none"/>
              </w:rPr>
              <w:t>修订，</w:t>
            </w:r>
            <w:r>
              <w:rPr>
                <w:rFonts w:hint="eastAsia" w:ascii="宋体" w:hAnsi="宋体" w:cs="宋体"/>
                <w:sz w:val="21"/>
                <w:szCs w:val="21"/>
                <w:highlight w:val="none"/>
                <w:lang w:val="en-US" w:eastAsia="zh-CN"/>
              </w:rPr>
              <w:t>将原C08中的</w:t>
            </w:r>
            <w:r>
              <w:rPr>
                <w:rFonts w:hint="eastAsia" w:ascii="宋体" w:hAnsi="宋体" w:cs="宋体"/>
                <w:sz w:val="21"/>
                <w:szCs w:val="21"/>
                <w:highlight w:val="none"/>
              </w:rPr>
              <w:t>“需开展现场勘察的工作未开展现场勘察”以及“</w:t>
            </w:r>
            <w:r>
              <w:rPr>
                <w:rFonts w:hint="eastAsia" w:ascii="宋体" w:hAnsi="宋体" w:cs="宋体"/>
                <w:sz w:val="21"/>
                <w:szCs w:val="21"/>
                <w:highlight w:val="none"/>
                <w:lang w:val="en-US" w:eastAsia="zh-CN"/>
              </w:rPr>
              <w:t>工作负责人、</w:t>
            </w:r>
            <w:r>
              <w:rPr>
                <w:rFonts w:hint="eastAsia" w:ascii="宋体" w:hAnsi="宋体" w:cs="宋体"/>
                <w:sz w:val="21"/>
                <w:szCs w:val="21"/>
                <w:highlight w:val="none"/>
              </w:rPr>
              <w:t>设备运维单</w:t>
            </w:r>
            <w:r>
              <w:rPr>
                <w:rFonts w:hint="eastAsia" w:ascii="宋体" w:hAnsi="宋体" w:cs="宋体"/>
                <w:sz w:val="21"/>
                <w:szCs w:val="21"/>
                <w:highlight w:val="none"/>
                <w:lang w:val="en-US" w:eastAsia="zh-CN"/>
              </w:rPr>
              <w:t>位等相关人员</w:t>
            </w:r>
            <w:r>
              <w:rPr>
                <w:rFonts w:hint="eastAsia" w:ascii="宋体" w:hAnsi="宋体" w:cs="宋体"/>
                <w:sz w:val="21"/>
                <w:szCs w:val="21"/>
                <w:highlight w:val="none"/>
              </w:rPr>
              <w:t>未</w:t>
            </w:r>
            <w:r>
              <w:rPr>
                <w:rFonts w:hint="eastAsia" w:ascii="宋体" w:hAnsi="宋体" w:cs="宋体"/>
                <w:sz w:val="21"/>
                <w:szCs w:val="21"/>
                <w:highlight w:val="none"/>
                <w:lang w:val="en-US" w:eastAsia="zh-CN"/>
              </w:rPr>
              <w:t>参加</w:t>
            </w:r>
            <w:r>
              <w:rPr>
                <w:rFonts w:hint="eastAsia" w:ascii="宋体" w:hAnsi="宋体" w:cs="宋体"/>
                <w:sz w:val="21"/>
                <w:szCs w:val="21"/>
                <w:highlight w:val="none"/>
              </w:rPr>
              <w:t>现场勘察”的情形</w:t>
            </w:r>
            <w:r>
              <w:rPr>
                <w:rFonts w:hint="eastAsia" w:ascii="宋体" w:hAnsi="宋体" w:cs="宋体"/>
                <w:sz w:val="21"/>
                <w:szCs w:val="21"/>
                <w:highlight w:val="none"/>
                <w:lang w:val="en-US" w:eastAsia="zh-CN"/>
              </w:rPr>
              <w:t>提级到B04</w:t>
            </w:r>
            <w:r>
              <w:rPr>
                <w:rFonts w:hint="eastAsia" w:ascii="宋体" w:hAnsi="宋体" w:cs="宋体"/>
                <w:sz w:val="21"/>
                <w:szCs w:val="21"/>
                <w:highlight w:val="none"/>
                <w:lang w:eastAsia="zh-CN"/>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B05</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b/>
                <w:bCs/>
                <w:sz w:val="21"/>
                <w:szCs w:val="21"/>
                <w:highlight w:val="none"/>
              </w:rPr>
              <w:t>安全交代落实不到位。</w:t>
            </w:r>
            <w:r>
              <w:rPr>
                <w:rFonts w:hint="eastAsia" w:ascii="宋体" w:hAnsi="宋体" w:cs="宋体"/>
                <w:sz w:val="21"/>
                <w:szCs w:val="21"/>
                <w:highlight w:val="none"/>
              </w:rPr>
              <w:t>现场开始工作前，工作负责人未向全体工作班人员或分组负责人宣读工作票、施工作业票，未明确交代工作任务及分工、作业地点及范围、作业环境及风险、安全措施及注意事项等。作业人员未经工作负责人（分组负责人或监护人）同意，未参加工作负责人组织的现场安全交代，或不清楚工作任务、危险点，擅自开始或参与工作。</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信息传递</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工作负责人</w:t>
            </w:r>
          </w:p>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29"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B06</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b/>
                <w:bCs/>
                <w:sz w:val="21"/>
                <w:szCs w:val="21"/>
                <w:highlight w:val="none"/>
              </w:rPr>
              <w:t>擅自变更作业人员或工作内容。</w:t>
            </w:r>
            <w:r>
              <w:rPr>
                <w:rFonts w:hint="eastAsia" w:ascii="宋体" w:hAnsi="宋体" w:cs="宋体"/>
                <w:sz w:val="21"/>
                <w:szCs w:val="21"/>
                <w:highlight w:val="none"/>
              </w:rPr>
              <w:t>工作负责人擅自安排、指派工作票、施工作业票所列工作班人员之外的其他人员参与作业；工作票、施工作业票工作人员变更未履行变更手续；厂站二次措施单见证人未列入二次措施单所属工作票的工作班成员中。无需变更调度或设备运维单位的安全措施增加工作内容未按规定办理变更手续。</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信息传递</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工作负责人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eastAsia="宋体" w:cs="宋体"/>
                <w:sz w:val="21"/>
                <w:szCs w:val="21"/>
                <w:highlight w:val="none"/>
                <w:lang w:eastAsia="zh-CN"/>
              </w:rPr>
            </w:pPr>
            <w:r>
              <w:rPr>
                <w:rFonts w:hint="eastAsia" w:ascii="宋体" w:hAnsi="宋体" w:cs="宋体"/>
                <w:sz w:val="21"/>
                <w:szCs w:val="21"/>
                <w:highlight w:val="none"/>
              </w:rPr>
              <w:t>修订，补充了施工作业票，增加“厂站二次措施单见证人未列入二次措施单所属工作票的工作班成员中”的情形</w:t>
            </w:r>
            <w:r>
              <w:rPr>
                <w:rFonts w:hint="eastAsia" w:ascii="宋体" w:hAnsi="宋体" w:cs="宋体"/>
                <w:sz w:val="21"/>
                <w:szCs w:val="21"/>
                <w:highlight w:val="none"/>
                <w:lang w:eastAsia="zh-CN"/>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B07</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b/>
                <w:bCs/>
                <w:sz w:val="21"/>
                <w:szCs w:val="21"/>
                <w:highlight w:val="none"/>
              </w:rPr>
              <w:t>未按规定办理工作终结。</w:t>
            </w:r>
            <w:r>
              <w:rPr>
                <w:rFonts w:hint="eastAsia" w:ascii="宋体" w:hAnsi="宋体" w:cs="宋体"/>
                <w:sz w:val="21"/>
                <w:szCs w:val="21"/>
                <w:highlight w:val="none"/>
              </w:rPr>
              <w:t>工作班成员还在工作或还未完全撤离工作现场就办理工作终结手续。全部作业结束后，工作布置的安全措施未拆除或未恢复至作业前状态或工作许可人指定的状态；或作业人员撤离现场后，擅自返回工作地点，继续工作或清理工具、遗留物。</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信息传递</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工作负责人</w:t>
            </w:r>
          </w:p>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296"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B08</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B09</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2"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B10</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b/>
                <w:bCs/>
                <w:sz w:val="21"/>
                <w:szCs w:val="21"/>
                <w:highlight w:val="none"/>
              </w:rPr>
              <w:t>现场作业人员资质不符合要求。</w:t>
            </w:r>
            <w:r>
              <w:rPr>
                <w:rFonts w:hint="eastAsia" w:ascii="宋体" w:hAnsi="宋体" w:cs="宋体"/>
                <w:sz w:val="21"/>
                <w:szCs w:val="21"/>
                <w:highlight w:val="none"/>
              </w:rPr>
              <w:t>现场作业人员存在未经实际技能考核合格、未持证上岗、因违章取消或暂停现场作业资质等不具备相应现场作业资格的情况。工作票中相关“三种人”不具备规定的资格要求。</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相关人员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第六条：严禁未经安全教育培训并考试合格的人员上岗作业。</w:t>
            </w: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2"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B11</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B12</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操作票所列人员不具备相应资格。</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相关人员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B13</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在变电站、发电厂等生产运行区域超速、无证驾驶机动车。</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相关人员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第十条：严禁不正确配备或使用不合格的生产用具。</w:t>
            </w: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9"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B14</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b/>
                <w:bCs/>
                <w:sz w:val="21"/>
                <w:szCs w:val="21"/>
                <w:highlight w:val="none"/>
              </w:rPr>
              <w:t>交叉跨越施工未搭设跨越架等安全措施。</w:t>
            </w:r>
            <w:r>
              <w:rPr>
                <w:rFonts w:hint="eastAsia" w:ascii="宋体" w:hAnsi="宋体" w:cs="宋体"/>
                <w:sz w:val="21"/>
                <w:szCs w:val="21"/>
                <w:highlight w:val="none"/>
              </w:rPr>
              <w:t>交叉跨越各种带电电力线路、铁路、铺装路面公路、河流等放线、撤线时，未采取搭设跨越架、封航、封路等安全措施。</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工作负责人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73"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B15</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b/>
                <w:bCs/>
                <w:sz w:val="21"/>
                <w:szCs w:val="21"/>
                <w:highlight w:val="none"/>
              </w:rPr>
              <w:t>接地线装设不牢固不合格未可靠装设接地线。</w:t>
            </w:r>
            <w:r>
              <w:rPr>
                <w:rFonts w:hint="eastAsia" w:ascii="宋体" w:hAnsi="宋体" w:cs="宋体"/>
                <w:sz w:val="21"/>
                <w:szCs w:val="21"/>
                <w:highlight w:val="none"/>
              </w:rPr>
              <w:t>在检修电力线路、设备上装设的工作接地线、系统接地线或个人保安线接地线夹易脱落，或接地体（含临时接地体埋深）不满足安规要求。</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第八条:严禁未按规定落实停电、验电、接地等防触电措施开展作业。</w:t>
            </w: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修订，</w:t>
            </w:r>
            <w:r>
              <w:rPr>
                <w:rFonts w:hint="eastAsia" w:ascii="宋体" w:hAnsi="宋体" w:cs="宋体"/>
                <w:sz w:val="21"/>
                <w:szCs w:val="21"/>
                <w:highlight w:val="none"/>
                <w:lang w:val="en-US" w:eastAsia="zh-CN"/>
              </w:rPr>
              <w:t>调整</w:t>
            </w:r>
            <w:r>
              <w:rPr>
                <w:rFonts w:hint="eastAsia" w:ascii="宋体" w:hAnsi="宋体" w:cs="宋体"/>
                <w:sz w:val="21"/>
                <w:szCs w:val="21"/>
                <w:highlight w:val="none"/>
              </w:rPr>
              <w:t>描述。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B16</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b/>
                <w:bCs/>
                <w:sz w:val="21"/>
                <w:szCs w:val="21"/>
                <w:highlight w:val="none"/>
              </w:rPr>
              <w:t>临近带电体违规使用金属（或非绝缘）机具。</w:t>
            </w:r>
            <w:r>
              <w:rPr>
                <w:rFonts w:hint="eastAsia" w:ascii="宋体" w:hAnsi="宋体" w:cs="宋体"/>
                <w:sz w:val="21"/>
                <w:szCs w:val="21"/>
                <w:highlight w:val="none"/>
              </w:rPr>
              <w:t>采用钢卷尺、皮卷尺、线尺（夹有金属丝者）或其它金属尺具在厂站、配电房、配电开关站邻近无绝缘隔离措施的带电部位进行测量工作或者测量带电线路导线的弛度、档距及导线与通道内其他物体（交叉跨越、建筑物、树木、塔材等）距离。高压配电线路带电立、撤杆作业时，未使用绝缘绳索控制电杆起立。在厂站、配电房、配电开关站的带电区域内或邻近带电线路附近使用金属梯子进行作业。</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B17</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电力线路设备拆除后，带电部分未处理。</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工作负责人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2"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B18</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b/>
                <w:bCs/>
                <w:sz w:val="21"/>
                <w:szCs w:val="21"/>
                <w:highlight w:val="none"/>
              </w:rPr>
              <w:t>未按操作步骤进行操作。</w:t>
            </w:r>
            <w:r>
              <w:rPr>
                <w:rFonts w:hint="eastAsia" w:ascii="宋体" w:hAnsi="宋体" w:cs="宋体"/>
                <w:sz w:val="21"/>
                <w:szCs w:val="21"/>
                <w:highlight w:val="none"/>
              </w:rPr>
              <w:t>未按照操作票操作项目顺序进行操作，存在倒项、添项、漏项、跳项(安规允许的情形除外)。</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操作人</w:t>
            </w:r>
          </w:p>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操作监护人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73"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B19</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b/>
                <w:bCs/>
                <w:sz w:val="21"/>
                <w:szCs w:val="21"/>
                <w:highlight w:val="none"/>
                <w:lang w:bidi="ar"/>
              </w:rPr>
              <w:t>违规无监护操作、无监护工作。</w:t>
            </w:r>
            <w:r>
              <w:rPr>
                <w:rStyle w:val="175"/>
                <w:rFonts w:hint="default" w:ascii="宋体" w:hAnsi="宋体" w:eastAsia="宋体" w:cs="宋体"/>
                <w:color w:val="auto"/>
                <w:sz w:val="21"/>
                <w:szCs w:val="21"/>
                <w:highlight w:val="none"/>
                <w:lang w:bidi="ar"/>
              </w:rPr>
              <w:t>执行监护操作时，未按规定履行操作监护程序而独自操作。动火作业、带电作业、搭设跨越架等《安规》规定需设置专人监护的作业未按照要求设置专人监护或监护不到位。</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操作人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第七条:严禁未经批准作业、违规无票工作、违规无监护操作、违规解锁。</w:t>
            </w: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修订，原C37合并至B19。</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06"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B20</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b/>
                <w:bCs/>
                <w:sz w:val="21"/>
                <w:szCs w:val="21"/>
                <w:highlight w:val="none"/>
              </w:rPr>
              <w:t>防倒杆塔技术措施落实不到位。</w:t>
            </w:r>
            <w:r>
              <w:rPr>
                <w:rFonts w:hint="eastAsia" w:ascii="宋体" w:hAnsi="宋体" w:cs="宋体"/>
                <w:sz w:val="21"/>
                <w:szCs w:val="21"/>
                <w:highlight w:val="none"/>
              </w:rPr>
              <w:t>杆塔组立或组塔架线前，未校核拉线、地锚、索道受力情况，未全面检查或超载荷使用工器具，未紧固地脚螺栓或者地脚螺栓未经验收合格。撤杆塔、撤线或紧线前，未按规定采取防倒杆塔措施。杆塔组立后杆根、塔基未完全牢固或做好拉线即登杆塔作业。在线路杆塔发生基础松弛、塌陷，拉线失效，杆体严重歪斜、上拔，塔材、钢筋变形、断裂，导线断股，金具断裂等严重问题时，未采取可靠安全措施即登杆塔开展作业。</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工作负责人</w:t>
            </w:r>
          </w:p>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第九条:严禁未落实防坠落、防倒杆措施开展高处作业。</w:t>
            </w: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2"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B21</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2"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B22</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b/>
                <w:bCs/>
                <w:sz w:val="21"/>
                <w:szCs w:val="21"/>
                <w:highlight w:val="none"/>
              </w:rPr>
              <w:t>未落实防误登杆塔措施开展作业。</w:t>
            </w:r>
            <w:r>
              <w:rPr>
                <w:rFonts w:hint="eastAsia" w:ascii="宋体" w:hAnsi="宋体" w:cs="宋体"/>
                <w:sz w:val="21"/>
                <w:szCs w:val="21"/>
                <w:highlight w:val="none"/>
              </w:rPr>
              <w:t>登杆塔前未核对线路名称、杆塔号、色标，杆塔号缺失的未做临时标记。</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73"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B23</w:t>
            </w:r>
          </w:p>
        </w:tc>
        <w:tc>
          <w:tcPr>
            <w:tcW w:w="5278" w:type="dxa"/>
            <w:tcBorders>
              <w:tl2br w:val="nil"/>
              <w:tr2bl w:val="nil"/>
            </w:tcBorders>
            <w:tcMar>
              <w:top w:w="10" w:type="dxa"/>
              <w:left w:w="10" w:type="dxa"/>
              <w:right w:w="10" w:type="dxa"/>
            </w:tcMar>
            <w:vAlign w:val="center"/>
          </w:tcPr>
          <w:p>
            <w:pPr>
              <w:pStyle w:val="176"/>
              <w:numPr>
                <w:ilvl w:val="2"/>
                <w:numId w:val="0"/>
              </w:numPr>
              <w:rPr>
                <w:rFonts w:hint="eastAsia" w:hAnsi="宋体" w:cs="宋体"/>
                <w:sz w:val="21"/>
                <w:szCs w:val="21"/>
                <w:highlight w:val="none"/>
              </w:rPr>
            </w:pPr>
            <w:r>
              <w:rPr>
                <w:rFonts w:hint="eastAsia" w:hAnsi="宋体" w:cs="宋体"/>
                <w:b/>
                <w:bCs/>
                <w:sz w:val="21"/>
                <w:szCs w:val="21"/>
                <w:highlight w:val="none"/>
              </w:rPr>
              <w:t>电气操作未按规定使用绝缘安全工器具。</w:t>
            </w:r>
            <w:r>
              <w:rPr>
                <w:rFonts w:hint="eastAsia" w:hAnsi="宋体" w:cs="宋体"/>
                <w:sz w:val="21"/>
                <w:szCs w:val="21"/>
                <w:highlight w:val="none"/>
              </w:rPr>
              <w:t>用绝缘棒拉合隔离开关、经传动机构拉合隔离开关和断路器、跌落式熔断器、高压验电，对厂站设备、配电网设备装拆接地线时未戴绝缘手套；装卸高压熔断器熔管，未戴绝缘手套，未站在绝缘物上或未穿绝缘靴。雷雨天气及一次设备发生接地时，未穿绝缘靴巡视厂站内室外高压设备；雨天在户外操作电气设备时，验电器、绝缘棒、操作杆无防雨罩，未穿绝缘靴、戴绝缘手套。</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机具防护</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73"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B24</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b/>
                <w:bCs/>
                <w:sz w:val="21"/>
                <w:szCs w:val="21"/>
                <w:highlight w:val="none"/>
              </w:rPr>
              <w:t>未落实安全措施即进入水力发电机内部工作。</w:t>
            </w:r>
            <w:r>
              <w:rPr>
                <w:rFonts w:hint="eastAsia" w:ascii="宋体" w:hAnsi="宋体" w:cs="宋体"/>
                <w:sz w:val="21"/>
                <w:szCs w:val="21"/>
                <w:highlight w:val="none"/>
              </w:rPr>
              <w:t>进入水力发电机的蜗壳、尾水管等危险部位时未按规定做好关闭阀门、切断操作能源、排空积水等安全措施。</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B25</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b/>
                <w:bCs/>
                <w:sz w:val="21"/>
                <w:szCs w:val="21"/>
                <w:highlight w:val="none"/>
              </w:rPr>
              <w:t>低压不停电作业绝缘防护措施未落实。</w:t>
            </w:r>
            <w:r>
              <w:rPr>
                <w:rFonts w:hint="eastAsia" w:ascii="宋体" w:hAnsi="宋体" w:cs="宋体"/>
                <w:sz w:val="21"/>
                <w:szCs w:val="21"/>
                <w:highlight w:val="none"/>
              </w:rPr>
              <w:t>低压不停电作业未穿绝缘鞋，未戴</w:t>
            </w:r>
            <w:r>
              <w:rPr>
                <w:sz w:val="21"/>
                <w:szCs w:val="21"/>
                <w:highlight w:val="none"/>
              </w:rPr>
              <w:t>低压绝缘手套</w:t>
            </w:r>
            <w:r>
              <w:rPr>
                <w:rFonts w:hint="eastAsia"/>
                <w:sz w:val="21"/>
                <w:szCs w:val="21"/>
                <w:highlight w:val="none"/>
              </w:rPr>
              <w:t>、帆布手套或低压现场作业防护手套</w:t>
            </w:r>
            <w:r>
              <w:rPr>
                <w:rFonts w:hint="eastAsia" w:ascii="宋体" w:hAnsi="宋体" w:cs="宋体"/>
                <w:sz w:val="21"/>
                <w:szCs w:val="21"/>
                <w:highlight w:val="none"/>
              </w:rPr>
              <w:t>，未使用有绝缘柄的工具，未戴护目镜或防护面罩。进行低压不停电作业前未采取绝缘隔离、遮蔽裸露带电部分等防止相间或接地短路的有效措施。</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机具防护</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修订，原C98合并至B25。根据当前推广使用低压现场作业防护手套的要求，补充了未使用的情形。</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B26</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b/>
                <w:bCs/>
                <w:sz w:val="21"/>
                <w:szCs w:val="21"/>
                <w:highlight w:val="none"/>
              </w:rPr>
              <w:t>带电试验、二次回路作业绝缘防护不到位。</w:t>
            </w:r>
            <w:r>
              <w:rPr>
                <w:rFonts w:hint="eastAsia" w:ascii="宋体" w:hAnsi="宋体" w:cs="宋体"/>
                <w:sz w:val="21"/>
                <w:szCs w:val="21"/>
                <w:highlight w:val="none"/>
              </w:rPr>
              <w:t>对电缆（或试验设备）进行放电及更换试验引线时，未戴绝缘手套。在带电的电流互感器二次回路上进行拆、接线工作时，未穿绝缘鞋或站在绝缘物上。</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机具防护</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51"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B27</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b/>
                <w:bCs/>
                <w:sz w:val="21"/>
                <w:szCs w:val="21"/>
                <w:highlight w:val="none"/>
              </w:rPr>
              <w:t>未按规定使用起重、牵引、升降设备。</w:t>
            </w:r>
            <w:r>
              <w:rPr>
                <w:rFonts w:hint="eastAsia" w:ascii="宋体" w:hAnsi="宋体" w:cs="宋体"/>
                <w:sz w:val="21"/>
                <w:szCs w:val="21"/>
                <w:highlight w:val="none"/>
              </w:rPr>
              <w:t>绞磨、汽车吊、卷扬机等起重机械、牵引设备超过铭牌规定额定荷载值使用，或无制动和逆止装置或制动装置失灵、不灵敏，或受力工器具（静压管桩机械除外）的吊钩防脱落保险装置残缺、变形失效。</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机具防护</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使用人员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第十条：严禁不正确配备或使用不合格的生产用具。</w:t>
            </w: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修订，增加了静压管桩机械的排除情形。</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B28</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B29</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b/>
                <w:bCs/>
                <w:sz w:val="21"/>
                <w:szCs w:val="21"/>
                <w:highlight w:val="none"/>
              </w:rPr>
              <w:t>牵引工具未按规定接地。</w:t>
            </w:r>
            <w:r>
              <w:rPr>
                <w:rFonts w:hint="eastAsia" w:ascii="宋体" w:hAnsi="宋体" w:cs="宋体"/>
                <w:sz w:val="21"/>
                <w:szCs w:val="21"/>
                <w:highlight w:val="none"/>
              </w:rPr>
              <w:t>邻近带电设备场所使用的起重机和绞车等牵引工具未接地，作业的导（地）线未在工作地点接地。牵引机及张力机出线端的牵引绳及导线上未装设接地滑车。</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机具防护</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工作负责人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修订，</w:t>
            </w:r>
            <w:r>
              <w:rPr>
                <w:rFonts w:hint="eastAsia" w:ascii="宋体" w:hAnsi="宋体" w:cs="宋体"/>
                <w:sz w:val="21"/>
                <w:szCs w:val="21"/>
                <w:highlight w:val="none"/>
                <w:lang w:val="en-US" w:eastAsia="zh-CN"/>
              </w:rPr>
              <w:t>调整</w:t>
            </w:r>
            <w:r>
              <w:rPr>
                <w:rFonts w:hint="eastAsia" w:ascii="宋体" w:hAnsi="宋体" w:cs="宋体"/>
                <w:sz w:val="21"/>
                <w:szCs w:val="21"/>
                <w:highlight w:val="none"/>
              </w:rPr>
              <w:t>描述。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B30</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B31</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b/>
                <w:bCs/>
                <w:sz w:val="21"/>
                <w:szCs w:val="21"/>
                <w:highlight w:val="none"/>
              </w:rPr>
              <w:t>未按规定整定定值。</w:t>
            </w:r>
            <w:r>
              <w:rPr>
                <w:rFonts w:hint="eastAsia" w:ascii="宋体" w:hAnsi="宋体" w:cs="宋体"/>
                <w:sz w:val="21"/>
                <w:szCs w:val="21"/>
                <w:highlight w:val="none"/>
              </w:rPr>
              <w:t>未按电力调度规程整定继电保护、调度自动化、安全自动装置的定值。</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40"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B32</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b/>
                <w:bCs/>
                <w:sz w:val="21"/>
                <w:szCs w:val="21"/>
                <w:highlight w:val="none"/>
              </w:rPr>
              <w:t>货运索道载人或超载使用</w:t>
            </w:r>
            <w:r>
              <w:rPr>
                <w:rFonts w:hint="eastAsia" w:ascii="宋体" w:hAnsi="宋体" w:cs="宋体"/>
                <w:sz w:val="21"/>
                <w:szCs w:val="21"/>
                <w:highlight w:val="none"/>
              </w:rPr>
              <w:t>，或使用安全保护装置有缺陷的载人提升设备。</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机具防护</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使用人员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6"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B33</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特种作业人员未经年审或证件过期仍开展特种作业。</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第六条：严禁未经安全教育培训并考试合格的人员上岗作业。</w:t>
            </w: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lang w:val="en-US" w:eastAsia="zh-CN"/>
              </w:rPr>
              <w:t>修订，</w:t>
            </w:r>
            <w:r>
              <w:rPr>
                <w:rFonts w:hint="eastAsia" w:ascii="宋体" w:hAnsi="宋体" w:cs="宋体"/>
                <w:sz w:val="21"/>
                <w:szCs w:val="21"/>
                <w:highlight w:val="none"/>
              </w:rPr>
              <w:t>依据国家应急部最新规定，自2026年6月1日起，特种证取消3年复审</w:t>
            </w:r>
            <w:r>
              <w:rPr>
                <w:rFonts w:hint="eastAsia" w:ascii="宋体" w:hAnsi="宋体" w:cs="宋体"/>
                <w:sz w:val="21"/>
                <w:szCs w:val="21"/>
                <w:highlight w:val="none"/>
                <w:lang w:val="en-US" w:eastAsia="zh-CN"/>
              </w:rPr>
              <w:t>的</w:t>
            </w:r>
            <w:r>
              <w:rPr>
                <w:rFonts w:hint="eastAsia" w:ascii="宋体" w:hAnsi="宋体" w:cs="宋体"/>
                <w:sz w:val="21"/>
                <w:szCs w:val="21"/>
                <w:highlight w:val="none"/>
              </w:rPr>
              <w:t>规定，只需满6年换证。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B34</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乘坐船舶或水上作业不使用救生装备。</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机具防护</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1"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B35</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超负荷作业、超承载能力承接工程。</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信息传递</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相关人员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第一条：严禁在安全生产条件不具备情况下组织生产。</w:t>
            </w: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B36</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未开站班会，或站班会安全技术交底等“三交”“三查”工作与现场安全保障措施、工作任务等严重不符（基建领域专用）。</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两票文件</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工作负责人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B37</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二次措施单与现场不符合。</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两票文件</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工作负责人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B38</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b/>
                <w:bCs/>
                <w:sz w:val="21"/>
                <w:szCs w:val="21"/>
                <w:highlight w:val="none"/>
              </w:rPr>
              <w:t>未按要求验电。</w:t>
            </w:r>
            <w:r>
              <w:rPr>
                <w:rFonts w:hint="eastAsia" w:ascii="宋体" w:hAnsi="宋体" w:cs="宋体"/>
                <w:sz w:val="21"/>
                <w:szCs w:val="21"/>
                <w:highlight w:val="none"/>
              </w:rPr>
              <w:t>未使用相应电压等级且合格的验电器进行验电。对同杆塔架设的多层、同一横担多回线路验电时，未按先验低压，后验高压，先验下层，后验上层，先验近侧，后验远侧的顺序验电。使用低压测电笔对被验电设备的低压部分验电时未与设备的高压部分保持足够的安全距离。</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修订，增加“使用低压测电笔对被验电设备的低压部分验电时未与设备的高压部分保持足够的安全距离”的情形。</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34"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B39</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b/>
                <w:bCs/>
                <w:sz w:val="21"/>
                <w:szCs w:val="21"/>
                <w:highlight w:val="none"/>
              </w:rPr>
              <w:t>开挖作业未落实运行线路基础保护措施。</w:t>
            </w:r>
            <w:r>
              <w:rPr>
                <w:rFonts w:hint="eastAsia" w:ascii="宋体" w:hAnsi="宋体" w:cs="宋体"/>
                <w:sz w:val="21"/>
                <w:szCs w:val="21"/>
                <w:highlight w:val="none"/>
              </w:rPr>
              <w:t>在临近运行线路进行基础开挖施工时，未采取防止开挖对运行线路基础造成破坏的措施（对运行线路基础加固开挖除外）。</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现场负责人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B40</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b/>
                <w:bCs/>
                <w:sz w:val="21"/>
                <w:szCs w:val="21"/>
                <w:highlight w:val="none"/>
              </w:rPr>
              <w:t>公路施工未落实交通安全措施。</w:t>
            </w:r>
            <w:r>
              <w:rPr>
                <w:rFonts w:hint="eastAsia" w:ascii="宋体" w:hAnsi="宋体" w:cs="宋体"/>
                <w:sz w:val="21"/>
                <w:szCs w:val="21"/>
                <w:highlight w:val="none"/>
              </w:rPr>
              <w:t>在高速公路、一级公路等车流量较大的公路施工时，未在工作场所周围装设遮栏（围栏），未设置警示标志，夜间未设置警示光源，未派专人看守。</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现场负责人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04"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B41</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醉酒、酒后等不清醒状态下开展作业。</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工作负责人</w:t>
            </w:r>
          </w:p>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B42</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22"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B43</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b/>
                <w:bCs/>
                <w:sz w:val="21"/>
                <w:szCs w:val="21"/>
                <w:highlight w:val="none"/>
              </w:rPr>
              <w:t>作业现场使用、携带的生产用具不合格</w:t>
            </w:r>
            <w:r>
              <w:rPr>
                <w:rFonts w:hint="eastAsia" w:ascii="宋体" w:hAnsi="宋体" w:cs="宋体"/>
                <w:sz w:val="21"/>
                <w:szCs w:val="21"/>
                <w:highlight w:val="none"/>
              </w:rPr>
              <w:t>。使用不合格（存在严重破损、裂纹、松脱、断股等明显缺陷或达到报废标准）或国家、公司已明令淘汰的安全带、验电器、接地线、绝缘手套、绝缘操作棒、绝缘梯等安全工器具；高压带电作业使用的绝缘工具（绝缘后备保护绳、导电鞋、屏蔽服、手套等）受潮后未重新检测绝缘继续使用；Ⅰ类手持式电动工具、可移式电动工具、移动发电机、高压试验设备金属外壳未接地或裸露导电部分未装设安全保护罩；砂轮机、切割机、圆锯机、角磨机的刀片有裂纹、破损，或机械转动部分保护罩严重破损、缺失；动力机具的转动部分、冷却风扇缺少保护罩。</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机具防护</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相关人员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第十条：严禁不正确配备或使用不合格的生产用具。</w:t>
            </w: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修订，增加“高压带电作业使用的绝缘工具（绝缘后备保护绳、导电鞋、屏蔽服、手套等）受潮后未重新检测绝缘继续使用”的情形。</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B44</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B45</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b/>
                <w:bCs/>
                <w:sz w:val="21"/>
                <w:szCs w:val="21"/>
                <w:highlight w:val="none"/>
              </w:rPr>
              <w:t>未按规定搭设脚手架。</w:t>
            </w:r>
            <w:r>
              <w:rPr>
                <w:rFonts w:hint="eastAsia" w:ascii="宋体" w:hAnsi="宋体" w:cs="宋体"/>
                <w:sz w:val="21"/>
                <w:szCs w:val="21"/>
                <w:highlight w:val="none"/>
              </w:rPr>
              <w:t>悬挑式、落地式作业脚手架材质不符合规格要求，未设置剪刀撑（或斜撑），脚手架底部未装设纵向和横向扫地杆，2米及以上的作业层未铺设脚手板、作业层外侧未采用安全网；悬挑式、6米及以上落地式作业脚手架未设置连墙件。</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机具防护</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相关人员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第九条:严禁未落实防坠落、防倒杆措施开展高处作业。</w:t>
            </w: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修订，</w:t>
            </w:r>
            <w:r>
              <w:rPr>
                <w:rFonts w:hint="eastAsia" w:ascii="宋体" w:hAnsi="宋体" w:cs="宋体"/>
                <w:sz w:val="21"/>
                <w:szCs w:val="21"/>
                <w:highlight w:val="none"/>
                <w:lang w:val="en-US" w:eastAsia="zh-CN"/>
              </w:rPr>
              <w:t>调整</w:t>
            </w:r>
            <w:r>
              <w:rPr>
                <w:rFonts w:hint="eastAsia" w:ascii="宋体" w:hAnsi="宋体" w:cs="宋体"/>
                <w:sz w:val="21"/>
                <w:szCs w:val="21"/>
                <w:highlight w:val="none"/>
              </w:rPr>
              <w:t>描述。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86"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B46</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b/>
                <w:bCs/>
                <w:sz w:val="21"/>
                <w:szCs w:val="21"/>
                <w:highlight w:val="none"/>
              </w:rPr>
              <w:t>危大工程方案编制审批实施不到位。</w:t>
            </w:r>
            <w:r>
              <w:rPr>
                <w:rFonts w:hint="eastAsia" w:ascii="宋体" w:hAnsi="宋体" w:cs="宋体"/>
                <w:sz w:val="21"/>
                <w:szCs w:val="21"/>
                <w:highlight w:val="none"/>
              </w:rPr>
              <w:t>超过一定规模的危险性较大分部分项工程未建立工程清单，或未组织编制专项施工方案，或专项方案未按规定论证、审核、审批、交底及现场监督实施，或擅自改变审批专项方案工序方法进行施工。</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两票文件</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管理人员</w:t>
            </w:r>
          </w:p>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现场负责人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86"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B47</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b/>
                <w:bCs/>
                <w:sz w:val="21"/>
                <w:szCs w:val="21"/>
                <w:highlight w:val="none"/>
              </w:rPr>
              <w:t>未严格执行调度令。</w:t>
            </w:r>
            <w:r>
              <w:rPr>
                <w:rFonts w:hint="eastAsia" w:ascii="宋体" w:hAnsi="宋体" w:cs="宋体"/>
                <w:sz w:val="21"/>
                <w:szCs w:val="21"/>
                <w:highlight w:val="none"/>
              </w:rPr>
              <w:t>不执行或无故拖延执行调度命令。</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受令人</w:t>
            </w:r>
          </w:p>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操作人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第二条：严禁违章指挥、违章作业、违反劳动纪律和调度纪律。</w:t>
            </w: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73"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B48</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b/>
                <w:bCs/>
                <w:sz w:val="21"/>
                <w:szCs w:val="21"/>
                <w:highlight w:val="none"/>
              </w:rPr>
              <w:t>未履行专职监护职责。</w:t>
            </w:r>
            <w:r>
              <w:rPr>
                <w:rFonts w:hint="eastAsia" w:ascii="宋体" w:hAnsi="宋体" w:cs="宋体"/>
                <w:sz w:val="21"/>
                <w:szCs w:val="21"/>
                <w:highlight w:val="none"/>
              </w:rPr>
              <w:t>在可能存在交叉、间歇带电的设备上作业，或在一个电气部分进行多专业协同作业时，工作负责人未履行专职监护职责或直接参与现场作业。</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工作负责人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第七条:严禁未经批准作业、违规无票工作、违规无监护操作、违规解锁。</w:t>
            </w: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B49</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b/>
                <w:bCs/>
                <w:sz w:val="21"/>
                <w:szCs w:val="21"/>
                <w:highlight w:val="none"/>
              </w:rPr>
              <w:t>绞磨或卷扬机放置不平稳或锚固不可靠</w:t>
            </w:r>
            <w:r>
              <w:rPr>
                <w:rFonts w:hint="eastAsia" w:ascii="宋体" w:hAnsi="宋体" w:cs="宋体"/>
                <w:sz w:val="21"/>
                <w:szCs w:val="21"/>
                <w:highlight w:val="none"/>
              </w:rPr>
              <w:t>，如利用树木或外露岩石作牵引、制动等主要受力锚桩。</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使用人员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04"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B50</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b/>
                <w:bCs/>
                <w:sz w:val="21"/>
                <w:szCs w:val="21"/>
                <w:highlight w:val="none"/>
              </w:rPr>
              <w:t>直接接触或穿越绝缘导线作业。</w:t>
            </w:r>
            <w:r>
              <w:rPr>
                <w:rFonts w:hint="eastAsia" w:ascii="宋体" w:hAnsi="宋体" w:cs="宋体"/>
                <w:sz w:val="21"/>
                <w:szCs w:val="21"/>
                <w:highlight w:val="none"/>
              </w:rPr>
              <w:t>直接接触运行中的高压架空绝缘导线、穿越未停电接地或未采取绝缘隔离措施的高压绝缘导线进行工作。</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工作负责人</w:t>
            </w:r>
          </w:p>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第八条:严禁未按规定落实停电、验电、接地等防触电措施开展作业。</w:t>
            </w: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66"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B51</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B52</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2"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B53</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劳务分包人员担任施工班组班长。</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相关人员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第三条:严禁使用不具备规定资质和安全生产保障能力的承包商。</w:t>
            </w: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B54</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B55</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b/>
                <w:bCs/>
                <w:sz w:val="21"/>
                <w:szCs w:val="21"/>
                <w:highlight w:val="none"/>
              </w:rPr>
              <w:t>作业车辆防倾覆措施未落实。</w:t>
            </w:r>
            <w:r>
              <w:rPr>
                <w:rFonts w:hint="eastAsia" w:ascii="宋体" w:hAnsi="宋体" w:cs="宋体"/>
                <w:sz w:val="21"/>
                <w:szCs w:val="21"/>
                <w:highlight w:val="none"/>
              </w:rPr>
              <w:t>采用汽车吊、随车吊、高空作业车、绝缘斗臂车、高处作业平台、混凝土臂架泵车等作业时，整机超出安全倾斜角度，或在松软地面、在有沟、坑的未平整地面未落实稳固支撑等防倾覆措施。</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相关人员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C01</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工作票、施工作业票的签发人同时兼任该项工作的工作负责人，或签发空白工作票、施工作业票。</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两票文件</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工作票签发人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C02</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工作票、操作票、施工作业票、现场勘察及安全技术交底记录等作业文件存在签名漏签、事后补签、违规代签现象。</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两票文件</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相关人员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修订，补充</w:t>
            </w:r>
            <w:r>
              <w:rPr>
                <w:rFonts w:hint="eastAsia" w:ascii="宋体" w:hAnsi="宋体" w:cs="宋体"/>
                <w:sz w:val="21"/>
                <w:szCs w:val="21"/>
                <w:highlight w:val="none"/>
                <w:lang w:val="en-US" w:eastAsia="zh-CN"/>
              </w:rPr>
              <w:t>了</w:t>
            </w:r>
            <w:r>
              <w:rPr>
                <w:rFonts w:hint="eastAsia" w:ascii="宋体" w:hAnsi="宋体" w:cs="宋体"/>
                <w:sz w:val="21"/>
                <w:szCs w:val="21"/>
                <w:highlight w:val="none"/>
              </w:rPr>
              <w:t>施工作业票。</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C03</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工作负责人未履行临时变更或交接手续离开作业现场。</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两票文件</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工作负责人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C04</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工作票不按规定办理延期、间断手续。</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两票文件</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工作负责人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6"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C05</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工作票存在工作地点或工作任务不清晰、工作票附属单不齐全。</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两票文件</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工作负责人</w:t>
            </w:r>
          </w:p>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工作票签发人</w:t>
            </w:r>
          </w:p>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工作票会签人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6"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C06</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一份现场电气操作票存在两个及以上操作任务，或操作任务描述不准确。</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两票文件</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操作人</w:t>
            </w:r>
          </w:p>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操作监护人</w:t>
            </w:r>
          </w:p>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值班负责人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57"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C07</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工作负责人违规持有两张及以上工作票同时组织开展工作（安规允许的情况除外）。</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两票文件</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工作负责人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86"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C08</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现场勘察及安全技术交底记录与现场不一致；未留存勘察记录。</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两票文件</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工作负责人</w:t>
            </w:r>
          </w:p>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相关人员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修订，</w:t>
            </w:r>
            <w:r>
              <w:rPr>
                <w:rFonts w:hint="eastAsia" w:ascii="宋体" w:hAnsi="宋体" w:cs="宋体"/>
                <w:sz w:val="21"/>
                <w:szCs w:val="21"/>
                <w:highlight w:val="none"/>
                <w:lang w:val="en-US" w:eastAsia="zh-CN"/>
              </w:rPr>
              <w:t>原C08中的</w:t>
            </w:r>
            <w:r>
              <w:rPr>
                <w:rFonts w:hint="eastAsia" w:ascii="宋体" w:hAnsi="宋体" w:cs="宋体"/>
                <w:sz w:val="21"/>
                <w:szCs w:val="21"/>
                <w:highlight w:val="none"/>
              </w:rPr>
              <w:t>“需开展现场勘察的工作未开展现场勘察”以及“</w:t>
            </w:r>
            <w:r>
              <w:rPr>
                <w:rFonts w:hint="eastAsia" w:ascii="宋体" w:hAnsi="宋体" w:cs="宋体"/>
                <w:sz w:val="21"/>
                <w:szCs w:val="21"/>
                <w:highlight w:val="none"/>
                <w:lang w:val="en-US" w:eastAsia="zh-CN"/>
              </w:rPr>
              <w:t>工作负责人、</w:t>
            </w:r>
            <w:r>
              <w:rPr>
                <w:rFonts w:hint="eastAsia" w:ascii="宋体" w:hAnsi="宋体" w:cs="宋体"/>
                <w:sz w:val="21"/>
                <w:szCs w:val="21"/>
                <w:highlight w:val="none"/>
              </w:rPr>
              <w:t>设备运维单</w:t>
            </w:r>
            <w:r>
              <w:rPr>
                <w:rFonts w:hint="eastAsia" w:ascii="宋体" w:hAnsi="宋体" w:cs="宋体"/>
                <w:sz w:val="21"/>
                <w:szCs w:val="21"/>
                <w:highlight w:val="none"/>
                <w:lang w:val="en-US" w:eastAsia="zh-CN"/>
              </w:rPr>
              <w:t>位等相关人员</w:t>
            </w:r>
            <w:r>
              <w:rPr>
                <w:rFonts w:hint="eastAsia" w:ascii="宋体" w:hAnsi="宋体" w:cs="宋体"/>
                <w:sz w:val="21"/>
                <w:szCs w:val="21"/>
                <w:highlight w:val="none"/>
              </w:rPr>
              <w:t>未</w:t>
            </w:r>
            <w:r>
              <w:rPr>
                <w:rFonts w:hint="eastAsia" w:ascii="宋体" w:hAnsi="宋体" w:cs="宋体"/>
                <w:sz w:val="21"/>
                <w:szCs w:val="21"/>
                <w:highlight w:val="none"/>
                <w:lang w:val="en-US" w:eastAsia="zh-CN"/>
              </w:rPr>
              <w:t>参加</w:t>
            </w:r>
            <w:r>
              <w:rPr>
                <w:rFonts w:hint="eastAsia" w:ascii="宋体" w:hAnsi="宋体" w:cs="宋体"/>
                <w:sz w:val="21"/>
                <w:szCs w:val="21"/>
                <w:highlight w:val="none"/>
              </w:rPr>
              <w:t>现场勘察”的情形</w:t>
            </w:r>
            <w:r>
              <w:rPr>
                <w:rFonts w:hint="eastAsia" w:ascii="宋体" w:hAnsi="宋体" w:cs="宋体"/>
                <w:sz w:val="21"/>
                <w:szCs w:val="21"/>
                <w:highlight w:val="none"/>
                <w:lang w:val="en-US" w:eastAsia="zh-CN"/>
              </w:rPr>
              <w:t>已提级到B04</w:t>
            </w:r>
            <w:r>
              <w:rPr>
                <w:rFonts w:hint="eastAsia" w:ascii="宋体" w:hAnsi="宋体" w:cs="宋体"/>
                <w:sz w:val="21"/>
                <w:szCs w:val="21"/>
                <w:highlight w:val="none"/>
                <w:lang w:eastAsia="zh-CN"/>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C09</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未开展风险评估、风险识别不全面或风险评估定级错误。未按规定制定风险管控措施或风险控制措施无效、失效。</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两票文件</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现场负责人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C10</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装、拆接地线后未及时做好相关记录。</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两票文件</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相关人员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C11</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C12</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砍伐树木过程中，未采取防止树枝跌落导线及砸伤人员的措施。</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工作负责人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C13</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在高处作业地点的垂直下方及坠物可能落到的地方通行或逗留，高处作业人员随手上下抛掷工具、器具和材料。</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C14</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放线、紧线与撤线作业时，工作人员站或跨在已受力的牵引绳、导（地）线的内角侧及正上方、牵引绳或架空线的垂直下方、导（地）线及牵引绳圈内。</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C15</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高边坡施工未按要求设置安全防护设施；对不良地质构造的高边坡，未按设计要求采取锚喷或加固等支护措施。</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工作负责人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C16</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现场坑、沟、孔洞、临边、临时道路、桩基础等施工区域、模板拆除区域未按规定设置盖板或防止外人通行的围栏、警示标志。</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工作负责人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C17</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起吊作业范围没有防止外人通行的围蔽设施、未设置警示标志。</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工作负责人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C18</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在城区、人口密集区、通行道路上或交通道口施工时，工作场所周围未设遮栏（围栏）或其他安全措施。</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工作负责人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04"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C19</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漏填写、漏装（拆）、错装（拆）工作票所列安全措施中的标志牌、安全遮栏（围栏）。</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工作许可人</w:t>
            </w:r>
          </w:p>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工作负责人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C20</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高压试验现场未装设遮栏，或遮栏与试验设备高压部分未保持足够的安全距离，或未向外悬挂“止步，高压危险！”标志牌。</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工作负责人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04"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C21</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工作许可人</w:t>
            </w:r>
          </w:p>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工作负责人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C22</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施工检修电源箱外壳未接地或接地不规范、无锁、无警示标志等。变压器、电抗器在放油及滤油过程中，储油罐和油处理设备未可靠接地。</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使用人员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6"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C23</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随意挪用或损坏现场安全标志等各类安全设施。</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相关人员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C24</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作业人员擅自移动安全遮栏（围栏）、拆除标志牌等。</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C25</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擅自拆除孔洞盖板、栏杆、隔离层，或因工作需要拆除附属设施时未设明显标示，未及时恢复。</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C26</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运行值班人员未经批准擅自离开运行值班岗位。</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值班人员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C27</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作业人员擅自穿、跨越安全遮栏（围栏）或超越安全警戒线开展工作。</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C28</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电容器、电缆等设备检修前或试验调整接线前，未逐个、逐相进行充分放电。</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C29</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作业人员在受力钢丝绳上下方、内角侧，或起吊物下逗留或通过。</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C30</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将运行中转动设备的防护罩打开，或将手伸入运行中转动设备的遮栏内。戴手套或用抹布对转动部分进行清扫或进行其他工作。</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C31</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攀爬脆弱或枯死的树枝和已经锯过或砍过未断的树枝。</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C32</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不按规定顺序装、拆接地线。</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C33</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电气设备移动、收放电源线时未切断电源。</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04"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C34</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操作时未执行唱票复诵制度。</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信息传递</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操作人</w:t>
            </w:r>
          </w:p>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操作监护人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C35</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工作负责人在工作内容、分工、范围等变动后，未重新组织工作班人员进行安全交代。</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信息传递</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工作负责人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C36</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建设单位、施工单位、监理单位等管理人员未按作业风险管控规定履职管控。</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信息传递</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相关人员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C37</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信息传递</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工作负责人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原C37提级为B类违章，合并至B19。</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C38</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高压试验加压过程未进行监护和呼唱，变更接线或试验结束时未将升压设备的高压部分放电、短路接地。</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信息传递</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04"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C39</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起吊作业进行中，操作人员离开操作台、室，指挥人员离开现场，或指挥信息不清晰、不畅通。</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信息传递</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指挥人员</w:t>
            </w:r>
          </w:p>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操作人员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C40</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搬运、起吊重大物件无统一指挥、统一信号。</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信息传递</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工作负责人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C41</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电源箱设置不符合“一机、一闸、一保护”要求，临时电源箱无漏电保护装置或漏电装置损坏，或插头、插座、电源箱破损明显，或使用铁线、铜线等代替保险丝。</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机具防护</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使用人员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C42</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电气设备、工具的电源线直接钩挂在闸刀上或直接插入插座使用。</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机具防护</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C43</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雨雪天户外露天使用电焊机，或电焊机电源线直接搭接在电线上。</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机具防护</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使用人员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C44</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绞磨牵引钢丝绳未从绞磨下方卷入，钢丝绳在卷筒或磨心上缠绕少于5圈，磨芯未放置防钢丝绳跑出的安全装置。拉磨尾绳人员站于锚桩前面、绳圈内侧。</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机具防护</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使用人员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C45</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使用大锤或操作钻床、车床等转动机械时戴棉纱手套。</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机具防护</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31"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C46</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梯子架设在不稳定的支持物上，或梯子无防滑措施，或人字梯无限制开度的拉绳或限位器。梯子架设不稳固时无专人扶持或在未绑扎牢固的梯子上作业。</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机具防护</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监护人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C47</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有人站立梯子上作业时移动梯子，站立在梯子限高档位以上作业或两人同时站立在同一梯子上作业。</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机具防护</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64"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C48</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作业脚手架作业层安全网封闭、网间连接不严密、牢靠，脚手板不严密、牢靠。脚手架、跨越架搭设后未经检验合格即投入使用，脚手架、跨越架未定期开展检查或记录缺失，长时间停止使用或在暴雨、6级以上强风过后未经检查合格就投入使用。</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机具防护</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相关人员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C49</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梯子与地面的倾斜角远大于或小于60°。</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机具防护</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使用人员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C50</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在变电站、发电厂等生产场所不按规定使用和搬运梯子、管子等长物。</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机具防护</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C51</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C52</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应进行试验的用电设备、手工器具未定期试验，或无试验合格标示或试验过期。</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机具防护</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使用人员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73"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C53</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现场使用的验电器、安全帽、安全带、脚扣、登高脚踏板、接地线、绝缘杆、绝缘手套、绝缘鞋、绝缘靴、绝缘绳、绝缘挡板、绝缘梯等工器具未定期试验、无试验合格标示或试验过期，不按规定存放工器具或不按时入库，超标准配置随车工器具。</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机具防护</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使用人员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6"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C54</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防误闭锁装置钥匙未按规定保存、管理和使用。</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机具防护</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相关人员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31"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C55</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使用长度在2米以上的安全带、安全绳等未加装缓冲器或在具备条件的情况下安全带未高挂低用。进行拆除绝缘子串等可能造成导（地）线与杆塔受力连接件断开的工作，将后备保护绳挂在杆塔横担上后未解开系在导（地）线侧的安全带主绳。</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机具防护</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使用人员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修订，增加“进行拆除绝缘子串等可能造成导（地）线与杆塔受力连接件断开的工作，将后备保护绳挂在杆塔横担上后未解开系在导（地）线侧的安全带主绳”的情形。</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C56</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现场作业时未按规定着装。</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机具防护</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C57</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不按规定佩戴或未正确佩戴安全帽。</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机具防护</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C58</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施工作业人员在道路、或在隧洞等环境较暗的场所、或在夜间作业时未佩戴反光标志或未穿着反光衣。</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机具防护</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C59</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与无牢固防护设施的海洋、河流、湖泊、水库、水塘等自然或人工水体岸线距离不足2m的临水作业未配置救生措施（救生衣、救生圈、救生绳等）。</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机具防护</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工作负责人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C60</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机具防护</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C61</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电、气焊接与热切割工作时不戴防护镜、不穿帆布或全棉工作服、不戴防护手套等专用劳动防护用品。使用油锯或电锯作业、砂轮切割研磨作业时不戴防护镜。</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机具防护</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C62</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在电缆沟、隧道、夹层或金属容器内工作时，未使用安全电压行灯照明。</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机具防护</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工作负责人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C63</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二次回路工作未落实防止电流互感器二次侧开路或电压互感器二次侧短路的措施。</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工作负责人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65"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C64</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二次回路工作使用的金属工具未按规定进行绝缘保护，低压不停电作业使用的工具工作部位外裸露的导电部位未采取绝缘包裹措施。</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86"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C65</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在继保、安自、通信、测控等二次设备屏柜或端子排作业时，正在运行的设备与开展作业的设备间，没有采取可靠隔离措施或没有明显的分隔标示；或进行振动较大的工作时，未采取防误动、误碰的安全措施。</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工作负责人</w:t>
            </w:r>
          </w:p>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工作许可人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C66</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凭借栏杆、作业脚手架、瓷件等起吊物件。</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工作负责人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C67</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生产运行现场消防设备设施、灭火器材未定期检验、检查，或损坏、失效。</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作业环境</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相关人员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C68</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易燃、易爆物品或各种气瓶不按规定储运、存放、使用。如氧气瓶与乙炔瓶同车运载及混放使用中的氧气瓶、乙炔瓶放置相距不足5米，距明火不足10米，未垂直放置固定。</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作业环境</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相关人员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C69</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使用中的乙炔瓶没有防回火装置，气管有龟裂、鼓包、漏气等现象。</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作业环境</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相关人员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C70</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作业环境</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工作负责人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C71</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动火作业现场未放置足够、合格的灭火器材。</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作业环境</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工作负责人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C72</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违规使用没有“一书一签”（化学品安全技术说明书、化学品安全标签）的危险化学品。</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作业环境</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C73</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擅自倾倒、堆放、丢弃或遗撒危险化学品。</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作业环境</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C74</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雨雪、冰冻天气的高处作业未采取防滑、防冻措施。</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作业环境</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C75</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作业环境</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工作负责人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C76</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未履行有关手续即对有压力、带电、充油的容器及管道施焊。</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作业环境</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工作负责人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C77</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检修完毕后，在封闭风洞盖板、风洞门、压力钢管、蜗壳、尾水管和压力容器前，未清点人数和工具，未检查确无人员和物件遗留。</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作业环境</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工作负责人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C78</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在进入SF6开关室前，未进行充分的通风。</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作业环境</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77"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C79</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开展有限空间工作时，有限空间外未按规定设置监护人或未全程持续监护。</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作业环境</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相关人员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6"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C80</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外单位人员办理工作票时，未按规定实行“双签发”（第三种工作票、紧急抢修票、书面布置记录票除外）。中风险及以上作业任务的施工作业票未按规定实行“双签发”，高风险以及危大工程作业任务的施工作业票，未增加业主项目部会签。</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两票文件</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工作负责人</w:t>
            </w:r>
          </w:p>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工作票签发人</w:t>
            </w:r>
          </w:p>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工作票会签人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修订，增加</w:t>
            </w:r>
            <w:r>
              <w:rPr>
                <w:rFonts w:hint="eastAsia" w:ascii="宋体" w:hAnsi="宋体" w:cs="宋体"/>
                <w:sz w:val="21"/>
                <w:szCs w:val="21"/>
                <w:highlight w:val="none"/>
                <w:lang w:val="en-US" w:eastAsia="zh-CN"/>
              </w:rPr>
              <w:t>了</w:t>
            </w:r>
            <w:r>
              <w:rPr>
                <w:rFonts w:hint="eastAsia" w:ascii="宋体" w:hAnsi="宋体" w:cs="宋体"/>
                <w:sz w:val="21"/>
                <w:szCs w:val="21"/>
                <w:highlight w:val="none"/>
              </w:rPr>
              <w:t>施工作业票未按规定实行“双签发”的情形。</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C81</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工作票填写、签发、接收、许可等流程不符合《安规》要求，如工作负责人对作业班组人员安全交代在工作许可之前，工作票接收在签发之前等。</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两票文件</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相关人员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C82</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工作票、施工作业票选型错误。</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两票文件</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现场负责人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修订，补充</w:t>
            </w:r>
            <w:r>
              <w:rPr>
                <w:rFonts w:hint="eastAsia" w:ascii="宋体" w:hAnsi="宋体" w:cs="宋体"/>
                <w:sz w:val="21"/>
                <w:szCs w:val="21"/>
                <w:highlight w:val="none"/>
                <w:lang w:val="en-US" w:eastAsia="zh-CN"/>
              </w:rPr>
              <w:t>了</w:t>
            </w:r>
            <w:r>
              <w:rPr>
                <w:rFonts w:hint="eastAsia" w:ascii="宋体" w:hAnsi="宋体" w:cs="宋体"/>
                <w:sz w:val="21"/>
                <w:szCs w:val="21"/>
                <w:highlight w:val="none"/>
              </w:rPr>
              <w:t>施工作业票。</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C83</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施工作业同时有多个工作地点需分组工作时，不按规定填写小组派工单和指定小组负责人（监护人）。</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信息传递</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工作负责人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C84</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一般临时作业未进行审批。</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两票文件</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工作负责人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6"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C85</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操作票未经过“三审”，或者操作票存在B03条款以外的填写不正确、不规范问题。</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两票文件</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操作人</w:t>
            </w:r>
          </w:p>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监护人</w:t>
            </w:r>
          </w:p>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值班负责人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6"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C86</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敷设电缆过程中无专人指挥，电缆移动时用手搬动滑轮。</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工作负责人</w:t>
            </w:r>
          </w:p>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监护人</w:t>
            </w:r>
          </w:p>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C87</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未按规定将作业纳入视频监控（含视频点不足、故意遮挡视频、非可调摄像头未对准作业现场、位置摆放错误）。</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信息传递</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相关人员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C88</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设备运维单位或项目管理单位对施工单位安全技术交底未在办理工作票之前，交底中安全措施与现场不符或交底内容不全。</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信息传递</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相关人员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73"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C89</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未编制施工方案或未按施工方案规定开展作业，或有限空间作业未填用《有限空间作业审批单》。</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两票文件</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管理人员</w:t>
            </w:r>
          </w:p>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现场负责人</w:t>
            </w:r>
          </w:p>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C90</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高压试验操作人员未穿绝缘鞋或未站在绝缘台（垫）上（远程操作除外）。</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C91</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安排有职业禁忌病症的人员从事相应的禁忌作业。</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现场负责人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86"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C92</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监理日志/监理日记记录不全，或旁站记录不规范、不真实（记录表内容与现场不符，或旁站记录与监理日志内容不符），或未及时发现现场重大安全隐患并提出整改要求。</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现场负责人</w:t>
            </w:r>
          </w:p>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监理人员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04"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C93</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高空作业车、带电作业车车辆行驶时，作业平台上载人。</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监护人</w:t>
            </w:r>
          </w:p>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使用人员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C94</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铁塔组立或台架组立后，未按设计要求在导线架设前与接地装置连接，或未做好成品保护。</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工作负责人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04"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C95</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二次工作中将回路的永久接地点、安全接地点断开。</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工作负责人</w:t>
            </w:r>
          </w:p>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C96</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未按规定办理审批、交底等手续或未探明地下管线等分布情况，盲目开挖、掘进、顶管等作业。</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作业环境</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现场负责人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C97</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现场处于使用状态的施工机械（具）、发电车或施工用电设备无人看护。</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机具防护</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现场负责人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C98</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机具防护</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原C98提级为B类违章，合并至B25。</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40"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C99</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施工车辆安全管理不到位，存在危险驾驶、保养维护不到位等问题。</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机具防护</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驾驶员</w:t>
            </w:r>
          </w:p>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车辆管理人员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C100</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在杆塔上高处作业时，安全带未使用后备保护绳或防坠器。</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机具防护</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2"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C101</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使用金具U型环代替卸扣、使用普通材料的螺栓取代卸扣销轴、钢丝套插接长度不满足要求。</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机具防护</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工作负责人</w:t>
            </w:r>
          </w:p>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C102</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危化品、爆破品运输、存储、使用不规范。</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作业环境</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相关人员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D01</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操作票未按规定填写操作时间或未填写操作发令单位、发令人、受令单位、受令人等。</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两票文件</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操作监护人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D02</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操作票未对操作项目逐项打“√”。</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两票文件</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操作监护人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04"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D03</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调令下达人员、受复令人员未规范使用调度术语。</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两票文件</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下令人</w:t>
            </w:r>
          </w:p>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受复令人</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D04</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安全交底（代）不规范。</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两票文件</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相关人员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86"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D05</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施工方案编制不规范，或审核流程执行不规范。</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信息传递</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项目管理人员</w:t>
            </w:r>
          </w:p>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工作负责人</w:t>
            </w:r>
          </w:p>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监理人员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D06</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现场勘察及安全技术交底记录、风险评估记录、施工作业表单、二次措施单等现场作业文件和表单、记录填写不规范。</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两票文件</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相关人员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D07</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应纳入视频管控作业的现场视频不规范（非硬件原因导致的视频与作业时长不符，未全过程记录；可调节的摄像头未对准现场或者作业人员、应上传的作业视频未及时上传等情况）。</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信息传递</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相关人员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24"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D08</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缺陷、隐患、故障填写不规范、检查或分析不到位、整改不彻底、整改完后未及时在系统中记录。</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两票文件</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相关人员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D09</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现场勘察及安全技术交底记录未在系统上传。</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两票文件</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相关人员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D10</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信息系统的作业信息填报不正确、不规范。</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两票文件</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相关人员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D11</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作业记录未按时录入系统。</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两票文件</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相关人员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D12</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作业人员上下设备或构架时未使用工作梯，或沿坑壁、支撑或乘坐非载人运输工具进出深基坑。</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机具防护</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D13</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安全工器具无编号或编号错误，未定置存放。</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机具防护</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作业人员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D14</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成套的接地线、个人保安线护套使用不透明胶布缠绕。</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机具防护</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使用人员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662"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D15</w:t>
            </w:r>
          </w:p>
        </w:tc>
        <w:tc>
          <w:tcPr>
            <w:tcW w:w="527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r>
              <w:rPr>
                <w:rFonts w:hint="eastAsia" w:ascii="宋体" w:hAnsi="宋体" w:cs="宋体"/>
                <w:sz w:val="21"/>
                <w:szCs w:val="21"/>
                <w:highlight w:val="none"/>
              </w:rPr>
              <w:t>在高压室、保护室、控制室、阀冷屏柜等禁烟区域或施工作业现场内吸烟。</w:t>
            </w:r>
          </w:p>
        </w:tc>
        <w:tc>
          <w:tcPr>
            <w:tcW w:w="1338"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人员行为</w:t>
            </w:r>
          </w:p>
        </w:tc>
        <w:tc>
          <w:tcPr>
            <w:tcW w:w="1546" w:type="dxa"/>
            <w:tcBorders>
              <w:tl2br w:val="nil"/>
              <w:tr2bl w:val="nil"/>
            </w:tcBorders>
            <w:tcMar>
              <w:top w:w="10" w:type="dxa"/>
              <w:left w:w="10" w:type="dxa"/>
              <w:right w:w="10" w:type="dxa"/>
            </w:tcMar>
            <w:vAlign w:val="center"/>
          </w:tcPr>
          <w:p>
            <w:pPr>
              <w:jc w:val="center"/>
              <w:textAlignment w:val="center"/>
              <w:rPr>
                <w:rFonts w:hint="eastAsia" w:ascii="宋体" w:hAnsi="宋体" w:cs="宋体"/>
                <w:sz w:val="21"/>
                <w:szCs w:val="21"/>
                <w:highlight w:val="none"/>
              </w:rPr>
            </w:pPr>
            <w:r>
              <w:rPr>
                <w:rFonts w:hint="eastAsia" w:ascii="宋体" w:hAnsi="宋体" w:cs="宋体"/>
                <w:sz w:val="21"/>
                <w:szCs w:val="21"/>
                <w:highlight w:val="none"/>
              </w:rPr>
              <w:t>相关人员</w:t>
            </w:r>
          </w:p>
        </w:tc>
        <w:tc>
          <w:tcPr>
            <w:tcW w:w="3336"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c>
          <w:tcPr>
            <w:tcW w:w="1868" w:type="dxa"/>
            <w:tcBorders>
              <w:tl2br w:val="nil"/>
              <w:tr2bl w:val="nil"/>
            </w:tcBorders>
            <w:tcMar>
              <w:top w:w="10" w:type="dxa"/>
              <w:left w:w="10" w:type="dxa"/>
              <w:right w:w="10" w:type="dxa"/>
            </w:tcMar>
            <w:vAlign w:val="center"/>
          </w:tcPr>
          <w:p>
            <w:pPr>
              <w:textAlignment w:val="center"/>
              <w:rPr>
                <w:rFonts w:hint="eastAsia" w:ascii="宋体" w:hAnsi="宋体" w:cs="宋体"/>
                <w:sz w:val="21"/>
                <w:szCs w:val="21"/>
                <w:highlight w:val="none"/>
              </w:rPr>
            </w:pPr>
          </w:p>
        </w:tc>
      </w:tr>
      <w:bookmarkEnd w:id="5"/>
    </w:tbl>
    <w:p/>
    <w:p>
      <w:pPr>
        <w:spacing w:line="360" w:lineRule="auto"/>
        <w:rPr>
          <w:rFonts w:hint="eastAsia" w:asciiTheme="minorEastAsia" w:hAnsiTheme="minorEastAsia" w:eastAsiaTheme="minorEastAsia" w:cstheme="minorEastAsia"/>
          <w:sz w:val="24"/>
          <w:szCs w:val="24"/>
          <w:highlight w:val="none"/>
        </w:rPr>
      </w:pPr>
    </w:p>
    <w:p>
      <w:pPr>
        <w:spacing w:line="360" w:lineRule="auto"/>
        <w:rPr>
          <w:sz w:val="24"/>
          <w:highlight w:val="none"/>
        </w:rPr>
      </w:pPr>
    </w:p>
    <w:sectPr>
      <w:pgSz w:w="16838" w:h="11906" w:orient="landscape"/>
      <w:pgMar w:top="1600" w:right="1440" w:bottom="1486"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FZHei-B01">
    <w:altName w:val="宋体"/>
    <w:panose1 w:val="00000000000000000000"/>
    <w:charset w:val="86"/>
    <w:family w:val="script"/>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方正小标宋_GBK">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7"/>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BDD327E"/>
    <w:multiLevelType w:val="multilevel"/>
    <w:tmpl w:val="1BDD327E"/>
    <w:lvl w:ilvl="0" w:tentative="0">
      <w:start w:val="1"/>
      <w:numFmt w:val="decimal"/>
      <w:pStyle w:val="140"/>
      <w:lvlText w:val="%1."/>
      <w:lvlJc w:val="left"/>
      <w:pPr>
        <w:ind w:left="720" w:hanging="360"/>
      </w:pPr>
    </w:lvl>
    <w:lvl w:ilvl="1" w:tentative="0">
      <w:start w:val="1"/>
      <w:numFmt w:val="decimal"/>
      <w:lvlText w:val="%1.%2."/>
      <w:lvlJc w:val="left"/>
      <w:pPr>
        <w:ind w:left="1152" w:hanging="432"/>
      </w:pPr>
    </w:lvl>
    <w:lvl w:ilvl="2" w:tentative="0">
      <w:start w:val="1"/>
      <w:numFmt w:val="decimal"/>
      <w:lvlText w:val="%1.%2.%3."/>
      <w:lvlJc w:val="left"/>
      <w:pPr>
        <w:ind w:left="1584" w:hanging="504"/>
      </w:pPr>
    </w:lvl>
    <w:lvl w:ilvl="3" w:tentative="0">
      <w:start w:val="1"/>
      <w:numFmt w:val="decimal"/>
      <w:lvlText w:val="%1.%2.%3.%4."/>
      <w:lvlJc w:val="left"/>
      <w:pPr>
        <w:ind w:left="2088" w:hanging="648"/>
      </w:pPr>
    </w:lvl>
    <w:lvl w:ilvl="4" w:tentative="0">
      <w:start w:val="1"/>
      <w:numFmt w:val="decimal"/>
      <w:lvlText w:val="%1.%2.%3.%4.%5."/>
      <w:lvlJc w:val="left"/>
      <w:pPr>
        <w:ind w:left="2592" w:hanging="792"/>
      </w:pPr>
    </w:lvl>
    <w:lvl w:ilvl="5" w:tentative="0">
      <w:start w:val="1"/>
      <w:numFmt w:val="decimal"/>
      <w:lvlText w:val="%1.%2.%3.%4.%5.%6."/>
      <w:lvlJc w:val="left"/>
      <w:pPr>
        <w:ind w:left="3096" w:hanging="936"/>
      </w:pPr>
    </w:lvl>
    <w:lvl w:ilvl="6" w:tentative="0">
      <w:start w:val="1"/>
      <w:numFmt w:val="decimal"/>
      <w:lvlText w:val="%1.%2.%3.%4.%5.%6.%7."/>
      <w:lvlJc w:val="left"/>
      <w:pPr>
        <w:ind w:left="3600" w:hanging="1080"/>
      </w:pPr>
    </w:lvl>
    <w:lvl w:ilvl="7" w:tentative="0">
      <w:start w:val="1"/>
      <w:numFmt w:val="decimal"/>
      <w:lvlText w:val="%1.%2.%3.%4.%5.%6.%7.%8."/>
      <w:lvlJc w:val="left"/>
      <w:pPr>
        <w:ind w:left="4104" w:hanging="1224"/>
      </w:pPr>
    </w:lvl>
    <w:lvl w:ilvl="8" w:tentative="0">
      <w:start w:val="1"/>
      <w:numFmt w:val="decimal"/>
      <w:lvlText w:val="%1.%2.%3.%4.%5.%6.%7.%8.%9."/>
      <w:lvlJc w:val="left"/>
      <w:pPr>
        <w:ind w:left="4680" w:hanging="1440"/>
      </w:pPr>
    </w:lvl>
  </w:abstractNum>
  <w:abstractNum w:abstractNumId="1">
    <w:nsid w:val="1EFA0247"/>
    <w:multiLevelType w:val="multilevel"/>
    <w:tmpl w:val="1EFA0247"/>
    <w:lvl w:ilvl="0" w:tentative="0">
      <w:start w:val="1"/>
      <w:numFmt w:val="decimal"/>
      <w:pStyle w:val="147"/>
      <w:lvlText w:val="%1）"/>
      <w:lvlJc w:val="left"/>
      <w:pPr>
        <w:ind w:left="456" w:hanging="420"/>
      </w:pPr>
      <w:rPr>
        <w:rFonts w:hint="eastAsia"/>
      </w:rPr>
    </w:lvl>
    <w:lvl w:ilvl="1" w:tentative="0">
      <w:start w:val="1"/>
      <w:numFmt w:val="lowerLetter"/>
      <w:lvlText w:val="%2)"/>
      <w:lvlJc w:val="left"/>
      <w:pPr>
        <w:ind w:left="876" w:hanging="420"/>
      </w:pPr>
    </w:lvl>
    <w:lvl w:ilvl="2" w:tentative="0">
      <w:start w:val="1"/>
      <w:numFmt w:val="lowerRoman"/>
      <w:lvlText w:val="%3."/>
      <w:lvlJc w:val="right"/>
      <w:pPr>
        <w:ind w:left="1296" w:hanging="420"/>
      </w:pPr>
    </w:lvl>
    <w:lvl w:ilvl="3" w:tentative="0">
      <w:start w:val="1"/>
      <w:numFmt w:val="decimal"/>
      <w:lvlText w:val="%4."/>
      <w:lvlJc w:val="left"/>
      <w:pPr>
        <w:ind w:left="1716" w:hanging="420"/>
      </w:pPr>
    </w:lvl>
    <w:lvl w:ilvl="4" w:tentative="0">
      <w:start w:val="1"/>
      <w:numFmt w:val="lowerLetter"/>
      <w:lvlText w:val="%5)"/>
      <w:lvlJc w:val="left"/>
      <w:pPr>
        <w:ind w:left="2136" w:hanging="420"/>
      </w:pPr>
    </w:lvl>
    <w:lvl w:ilvl="5" w:tentative="0">
      <w:start w:val="1"/>
      <w:numFmt w:val="lowerRoman"/>
      <w:lvlText w:val="%6."/>
      <w:lvlJc w:val="right"/>
      <w:pPr>
        <w:ind w:left="2556" w:hanging="420"/>
      </w:pPr>
    </w:lvl>
    <w:lvl w:ilvl="6" w:tentative="0">
      <w:start w:val="1"/>
      <w:numFmt w:val="decimal"/>
      <w:lvlText w:val="%7."/>
      <w:lvlJc w:val="left"/>
      <w:pPr>
        <w:ind w:left="2976" w:hanging="420"/>
      </w:pPr>
    </w:lvl>
    <w:lvl w:ilvl="7" w:tentative="0">
      <w:start w:val="1"/>
      <w:numFmt w:val="lowerLetter"/>
      <w:lvlText w:val="%8)"/>
      <w:lvlJc w:val="left"/>
      <w:pPr>
        <w:ind w:left="3396" w:hanging="420"/>
      </w:pPr>
    </w:lvl>
    <w:lvl w:ilvl="8" w:tentative="0">
      <w:start w:val="1"/>
      <w:numFmt w:val="lowerRoman"/>
      <w:lvlText w:val="%9."/>
      <w:lvlJc w:val="right"/>
      <w:pPr>
        <w:ind w:left="3816" w:hanging="420"/>
      </w:pPr>
    </w:lvl>
  </w:abstractNum>
  <w:abstractNum w:abstractNumId="2">
    <w:nsid w:val="30FE387D"/>
    <w:multiLevelType w:val="multilevel"/>
    <w:tmpl w:val="30FE387D"/>
    <w:lvl w:ilvl="0" w:tentative="0">
      <w:start w:val="1"/>
      <w:numFmt w:val="decimal"/>
      <w:pStyle w:val="146"/>
      <w:lvlText w:val="%1）"/>
      <w:lvlJc w:val="left"/>
      <w:pPr>
        <w:ind w:left="710" w:firstLine="0"/>
      </w:pPr>
      <w:rPr>
        <w:rFonts w:hint="eastAsia"/>
      </w:rPr>
    </w:lvl>
    <w:lvl w:ilvl="1" w:tentative="0">
      <w:start w:val="1"/>
      <w:numFmt w:val="lowerLetter"/>
      <w:lvlText w:val="%2)"/>
      <w:lvlJc w:val="left"/>
      <w:pPr>
        <w:ind w:left="2100" w:hanging="420"/>
      </w:pPr>
    </w:lvl>
    <w:lvl w:ilvl="2" w:tentative="0">
      <w:start w:val="1"/>
      <w:numFmt w:val="lowerRoman"/>
      <w:lvlText w:val="%3."/>
      <w:lvlJc w:val="right"/>
      <w:pPr>
        <w:ind w:left="2520" w:hanging="420"/>
      </w:pPr>
    </w:lvl>
    <w:lvl w:ilvl="3" w:tentative="0">
      <w:start w:val="1"/>
      <w:numFmt w:val="decimal"/>
      <w:lvlText w:val="%4."/>
      <w:lvlJc w:val="left"/>
      <w:pPr>
        <w:ind w:left="2940" w:hanging="420"/>
      </w:pPr>
    </w:lvl>
    <w:lvl w:ilvl="4" w:tentative="0">
      <w:start w:val="1"/>
      <w:numFmt w:val="lowerLetter"/>
      <w:lvlText w:val="%5)"/>
      <w:lvlJc w:val="left"/>
      <w:pPr>
        <w:ind w:left="3360" w:hanging="420"/>
      </w:pPr>
    </w:lvl>
    <w:lvl w:ilvl="5" w:tentative="0">
      <w:start w:val="1"/>
      <w:numFmt w:val="lowerRoman"/>
      <w:lvlText w:val="%6."/>
      <w:lvlJc w:val="right"/>
      <w:pPr>
        <w:ind w:left="3780" w:hanging="420"/>
      </w:pPr>
    </w:lvl>
    <w:lvl w:ilvl="6" w:tentative="0">
      <w:start w:val="1"/>
      <w:numFmt w:val="decimal"/>
      <w:lvlText w:val="%7."/>
      <w:lvlJc w:val="left"/>
      <w:pPr>
        <w:ind w:left="4200" w:hanging="420"/>
      </w:pPr>
    </w:lvl>
    <w:lvl w:ilvl="7" w:tentative="0">
      <w:start w:val="1"/>
      <w:numFmt w:val="lowerLetter"/>
      <w:lvlText w:val="%8)"/>
      <w:lvlJc w:val="left"/>
      <w:pPr>
        <w:ind w:left="4620" w:hanging="420"/>
      </w:pPr>
    </w:lvl>
    <w:lvl w:ilvl="8" w:tentative="0">
      <w:start w:val="1"/>
      <w:numFmt w:val="lowerRoman"/>
      <w:lvlText w:val="%9."/>
      <w:lvlJc w:val="right"/>
      <w:pPr>
        <w:ind w:left="5040" w:hanging="420"/>
      </w:pPr>
    </w:lvl>
  </w:abstractNum>
  <w:abstractNum w:abstractNumId="3">
    <w:nsid w:val="45580C4B"/>
    <w:multiLevelType w:val="multilevel"/>
    <w:tmpl w:val="45580C4B"/>
    <w:lvl w:ilvl="0" w:tentative="0">
      <w:start w:val="1"/>
      <w:numFmt w:val="none"/>
      <w:suff w:val="nothing"/>
      <w:lvlText w:val=""/>
      <w:lvlJc w:val="left"/>
      <w:pPr>
        <w:ind w:left="0" w:firstLine="0"/>
      </w:pPr>
      <w:rPr>
        <w:rFonts w:hint="eastAsia" w:ascii="黑体" w:hAnsi="Times New Roman" w:eastAsia="黑体"/>
        <w:b/>
        <w:i w:val="0"/>
        <w:sz w:val="28"/>
      </w:rPr>
    </w:lvl>
    <w:lvl w:ilvl="1" w:tentative="0">
      <w:start w:val="1"/>
      <w:numFmt w:val="decimal"/>
      <w:pStyle w:val="79"/>
      <w:lvlText w:val="%1%2"/>
      <w:lvlJc w:val="left"/>
      <w:pPr>
        <w:tabs>
          <w:tab w:val="left" w:pos="360"/>
        </w:tabs>
        <w:ind w:left="0" w:firstLine="0"/>
      </w:pPr>
      <w:rPr>
        <w:rFonts w:hint="eastAsia" w:ascii="黑体" w:hAnsi="Times New Roman" w:eastAsia="黑体"/>
        <w:b w:val="0"/>
        <w:i w:val="0"/>
        <w:sz w:val="24"/>
        <w:szCs w:val="24"/>
      </w:rPr>
    </w:lvl>
    <w:lvl w:ilvl="2" w:tentative="0">
      <w:start w:val="1"/>
      <w:numFmt w:val="decimal"/>
      <w:pStyle w:val="80"/>
      <w:lvlText w:val="%1%2.%3"/>
      <w:lvlJc w:val="left"/>
      <w:pPr>
        <w:tabs>
          <w:tab w:val="left" w:pos="825"/>
        </w:tabs>
        <w:ind w:left="105" w:firstLine="0"/>
      </w:pPr>
      <w:rPr>
        <w:rFonts w:hint="eastAsia" w:ascii="宋体" w:hAnsi="宋体" w:eastAsia="宋体"/>
        <w:b w:val="0"/>
        <w:i w:val="0"/>
        <w:sz w:val="24"/>
        <w:szCs w:val="24"/>
      </w:rPr>
    </w:lvl>
    <w:lvl w:ilvl="3" w:tentative="0">
      <w:start w:val="1"/>
      <w:numFmt w:val="decimal"/>
      <w:pStyle w:val="82"/>
      <w:lvlText w:val="%1%2.%3.%4"/>
      <w:lvlJc w:val="left"/>
      <w:pPr>
        <w:tabs>
          <w:tab w:val="left" w:pos="720"/>
        </w:tabs>
        <w:ind w:left="0" w:firstLine="0"/>
      </w:pPr>
      <w:rPr>
        <w:rFonts w:hint="eastAsia" w:ascii="宋体" w:hAnsi="宋体" w:eastAsia="宋体"/>
        <w:b w:val="0"/>
        <w:i w:val="0"/>
        <w:sz w:val="24"/>
        <w:szCs w:val="24"/>
      </w:rPr>
    </w:lvl>
    <w:lvl w:ilvl="4" w:tentative="0">
      <w:start w:val="1"/>
      <w:numFmt w:val="decimal"/>
      <w:pStyle w:val="83"/>
      <w:lvlText w:val="%2.%3.%4.%5"/>
      <w:lvlJc w:val="left"/>
      <w:pPr>
        <w:tabs>
          <w:tab w:val="left" w:pos="1080"/>
        </w:tabs>
        <w:ind w:left="0" w:firstLine="0"/>
      </w:pPr>
      <w:rPr>
        <w:rFonts w:hint="eastAsia" w:ascii="宋体" w:hAnsi="宋体" w:eastAsia="宋体"/>
        <w:b w:val="0"/>
        <w:i w:val="0"/>
        <w:color w:val="auto"/>
        <w:sz w:val="24"/>
        <w:szCs w:val="24"/>
      </w:rPr>
    </w:lvl>
    <w:lvl w:ilvl="5" w:tentative="0">
      <w:start w:val="1"/>
      <w:numFmt w:val="decimal"/>
      <w:pStyle w:val="84"/>
      <w:lvlText w:val="%2.%3.%4.%5.%6"/>
      <w:lvlJc w:val="left"/>
      <w:pPr>
        <w:tabs>
          <w:tab w:val="left" w:pos="1021"/>
        </w:tabs>
        <w:ind w:left="1021" w:hanging="1021"/>
      </w:pPr>
      <w:rPr>
        <w:rFonts w:hint="eastAsia" w:ascii="黑体" w:hAnsi="Times New Roman" w:eastAsia="黑体"/>
        <w:b/>
        <w:i w:val="0"/>
        <w:sz w:val="30"/>
        <w:szCs w:val="30"/>
      </w:rPr>
    </w:lvl>
    <w:lvl w:ilvl="6" w:tentative="0">
      <w:start w:val="1"/>
      <w:numFmt w:val="decimal"/>
      <w:lvlRestart w:val="5"/>
      <w:pStyle w:val="85"/>
      <w:lvlText w:val="%2.%3.%4.%5.%6.%7"/>
      <w:lvlJc w:val="left"/>
      <w:pPr>
        <w:tabs>
          <w:tab w:val="left" w:pos="1440"/>
        </w:tabs>
        <w:ind w:left="0" w:firstLine="0"/>
      </w:pPr>
      <w:rPr>
        <w:rFonts w:hint="eastAsia" w:ascii="黑体" w:hAnsi="Times New Roman" w:eastAsia="黑体"/>
        <w:b/>
        <w:i w:val="0"/>
        <w:sz w:val="30"/>
        <w:szCs w:val="30"/>
      </w:rPr>
    </w:lvl>
    <w:lvl w:ilvl="7" w:tentative="0">
      <w:start w:val="1"/>
      <w:numFmt w:val="decimal"/>
      <w:lvlRestart w:val="5"/>
      <w:lvlText w:val="图 %2.0.%5 -%8"/>
      <w:lvlJc w:val="left"/>
      <w:pPr>
        <w:tabs>
          <w:tab w:val="left" w:pos="1440"/>
        </w:tabs>
        <w:ind w:left="0" w:firstLine="0"/>
      </w:pPr>
      <w:rPr>
        <w:rFonts w:hint="eastAsia" w:ascii="黑体" w:eastAsia="黑体"/>
        <w:b/>
        <w:i w:val="0"/>
        <w:sz w:val="21"/>
      </w:rPr>
    </w:lvl>
    <w:lvl w:ilvl="8" w:tentative="0">
      <w:start w:val="1"/>
      <w:numFmt w:val="decimal"/>
      <w:lvlRestart w:val="6"/>
      <w:lvlText w:val="      %9)"/>
      <w:lvlJc w:val="left"/>
      <w:pPr>
        <w:tabs>
          <w:tab w:val="left" w:pos="1080"/>
        </w:tabs>
        <w:ind w:left="0" w:firstLine="0"/>
      </w:pPr>
      <w:rPr>
        <w:rFonts w:hint="eastAsia" w:ascii="黑体" w:hAnsi="华文细黑" w:eastAsia="黑体"/>
        <w:b/>
        <w:i w:val="0"/>
        <w:sz w:val="21"/>
      </w:rPr>
    </w:lvl>
  </w:abstractNum>
  <w:abstractNum w:abstractNumId="4">
    <w:nsid w:val="46806F7D"/>
    <w:multiLevelType w:val="multilevel"/>
    <w:tmpl w:val="46806F7D"/>
    <w:lvl w:ilvl="0" w:tentative="0">
      <w:start w:val="1"/>
      <w:numFmt w:val="none"/>
      <w:pStyle w:val="128"/>
      <w:lvlText w:val="图"/>
      <w:lvlJc w:val="left"/>
      <w:pPr>
        <w:tabs>
          <w:tab w:val="left" w:pos="360"/>
        </w:tabs>
        <w:ind w:left="0" w:firstLine="0"/>
      </w:pPr>
      <w:rPr>
        <w:rFonts w:hint="eastAsia" w:ascii="黑体" w:eastAsia="黑体"/>
        <w:b w:val="0"/>
        <w:i w:val="0"/>
        <w:sz w:val="21"/>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4CF81C36"/>
    <w:multiLevelType w:val="multilevel"/>
    <w:tmpl w:val="4CF81C36"/>
    <w:lvl w:ilvl="0" w:tentative="0">
      <w:start w:val="1"/>
      <w:numFmt w:val="lowerLetter"/>
      <w:pStyle w:val="149"/>
      <w:lvlText w:val="%1)"/>
      <w:lvlJc w:val="left"/>
      <w:pPr>
        <w:tabs>
          <w:tab w:val="left" w:pos="840"/>
        </w:tabs>
        <w:ind w:left="840" w:hanging="420"/>
      </w:pPr>
      <w:rPr>
        <w:rFonts w:ascii="宋体" w:hAnsi="宋体" w:eastAsia="宋体"/>
      </w:rPr>
    </w:lvl>
    <w:lvl w:ilvl="1" w:tentative="0">
      <w:start w:val="1"/>
      <w:numFmt w:val="lowerLetter"/>
      <w:lvlText w:val="%2）"/>
      <w:lvlJc w:val="left"/>
      <w:pPr>
        <w:tabs>
          <w:tab w:val="left" w:pos="780"/>
        </w:tabs>
        <w:ind w:left="780" w:hanging="360"/>
      </w:pPr>
      <w:rPr>
        <w:rFonts w:hint="default" w:eastAsia="黑体"/>
        <w:sz w:val="24"/>
        <w:szCs w:val="24"/>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4F302902"/>
    <w:multiLevelType w:val="multilevel"/>
    <w:tmpl w:val="4F302902"/>
    <w:lvl w:ilvl="0" w:tentative="0">
      <w:start w:val="1"/>
      <w:numFmt w:val="none"/>
      <w:pStyle w:val="122"/>
      <w:lvlText w:val="表"/>
      <w:lvlJc w:val="left"/>
      <w:pPr>
        <w:tabs>
          <w:tab w:val="left" w:pos="360"/>
        </w:tabs>
        <w:ind w:left="0" w:firstLine="0"/>
      </w:pPr>
      <w:rPr>
        <w:rFonts w:hint="eastAsia" w:ascii="黑体" w:eastAsia="黑体"/>
        <w:b w:val="0"/>
        <w:i w:val="0"/>
        <w:sz w:val="21"/>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54062920"/>
    <w:multiLevelType w:val="multilevel"/>
    <w:tmpl w:val="54062920"/>
    <w:lvl w:ilvl="0" w:tentative="0">
      <w:start w:val="1"/>
      <w:numFmt w:val="decimal"/>
      <w:lvlText w:val="%1."/>
      <w:lvlJc w:val="left"/>
      <w:pPr>
        <w:ind w:left="360" w:hanging="360"/>
      </w:pPr>
      <w:rPr>
        <w:rFonts w:hint="eastAsia"/>
      </w:rPr>
    </w:lvl>
    <w:lvl w:ilvl="1" w:tentative="0">
      <w:start w:val="1"/>
      <w:numFmt w:val="decimal"/>
      <w:lvlText w:val="%1.%2."/>
      <w:lvlJc w:val="left"/>
      <w:pPr>
        <w:ind w:left="792" w:hanging="432"/>
      </w:pPr>
      <w:rPr>
        <w:rFonts w:hint="eastAsia"/>
      </w:rPr>
    </w:lvl>
    <w:lvl w:ilvl="2" w:tentative="0">
      <w:start w:val="1"/>
      <w:numFmt w:val="decimal"/>
      <w:lvlText w:val="%1.%2.%3."/>
      <w:lvlJc w:val="left"/>
      <w:pPr>
        <w:ind w:left="567" w:firstLine="153"/>
      </w:pPr>
      <w:rPr>
        <w:rFonts w:hint="eastAsia"/>
        <w:b w:val="0"/>
      </w:rPr>
    </w:lvl>
    <w:lvl w:ilvl="3" w:tentative="0">
      <w:start w:val="1"/>
      <w:numFmt w:val="decimal"/>
      <w:lvlText w:val="%1.%2.%3.%4."/>
      <w:lvlJc w:val="left"/>
      <w:pPr>
        <w:ind w:left="1728" w:hanging="648"/>
      </w:pPr>
      <w:rPr>
        <w:rFonts w:hint="eastAsia"/>
      </w:rPr>
    </w:lvl>
    <w:lvl w:ilvl="4" w:tentative="0">
      <w:start w:val="1"/>
      <w:numFmt w:val="decimal"/>
      <w:lvlText w:val="%1.%2.%3.%4.%5."/>
      <w:lvlJc w:val="left"/>
      <w:pPr>
        <w:ind w:left="2232" w:hanging="792"/>
      </w:pPr>
      <w:rPr>
        <w:rFonts w:hint="eastAsia"/>
      </w:rPr>
    </w:lvl>
    <w:lvl w:ilvl="5" w:tentative="0">
      <w:start w:val="1"/>
      <w:numFmt w:val="decimal"/>
      <w:lvlText w:val="%1.%2.%3.%4.%5.%6."/>
      <w:lvlJc w:val="left"/>
      <w:pPr>
        <w:ind w:left="2736" w:hanging="936"/>
      </w:pPr>
      <w:rPr>
        <w:rFonts w:hint="eastAsia"/>
      </w:rPr>
    </w:lvl>
    <w:lvl w:ilvl="6" w:tentative="0">
      <w:start w:val="1"/>
      <w:numFmt w:val="decimal"/>
      <w:pStyle w:val="129"/>
      <w:lvlText w:val="%1.%2.%3.%4.%5.%6.%7."/>
      <w:lvlJc w:val="left"/>
      <w:pPr>
        <w:ind w:left="3240" w:hanging="1080"/>
      </w:pPr>
      <w:rPr>
        <w:rFonts w:hint="eastAsia"/>
      </w:rPr>
    </w:lvl>
    <w:lvl w:ilvl="7" w:tentative="0">
      <w:start w:val="1"/>
      <w:numFmt w:val="decimal"/>
      <w:lvlText w:val="%1.%2.%3.%4.%5.%6.%7.%8."/>
      <w:lvlJc w:val="left"/>
      <w:pPr>
        <w:ind w:left="3744" w:hanging="1224"/>
      </w:pPr>
      <w:rPr>
        <w:rFonts w:hint="eastAsia"/>
      </w:rPr>
    </w:lvl>
    <w:lvl w:ilvl="8" w:tentative="0">
      <w:start w:val="1"/>
      <w:numFmt w:val="decimal"/>
      <w:lvlText w:val="%1.%2.%3.%4.%5.%6.%7.%8.%9."/>
      <w:lvlJc w:val="left"/>
      <w:pPr>
        <w:ind w:left="4320" w:hanging="1440"/>
      </w:pPr>
      <w:rPr>
        <w:rFonts w:hint="eastAsia"/>
      </w:rPr>
    </w:lvl>
  </w:abstractNum>
  <w:abstractNum w:abstractNumId="8">
    <w:nsid w:val="557C2AF5"/>
    <w:multiLevelType w:val="multilevel"/>
    <w:tmpl w:val="557C2AF5"/>
    <w:lvl w:ilvl="0" w:tentative="0">
      <w:start w:val="1"/>
      <w:numFmt w:val="decimal"/>
      <w:pStyle w:val="152"/>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9">
    <w:nsid w:val="5AA12481"/>
    <w:multiLevelType w:val="multilevel"/>
    <w:tmpl w:val="5AA12481"/>
    <w:lvl w:ilvl="0" w:tentative="0">
      <w:start w:val="1"/>
      <w:numFmt w:val="decimal"/>
      <w:lvlText w:val="%1"/>
      <w:lvlJc w:val="left"/>
      <w:pPr>
        <w:ind w:left="425" w:hanging="425"/>
      </w:pPr>
    </w:lvl>
    <w:lvl w:ilvl="1" w:tentative="0">
      <w:start w:val="1"/>
      <w:numFmt w:val="decimal"/>
      <w:pStyle w:val="123"/>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708"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10">
    <w:nsid w:val="6350366A"/>
    <w:multiLevelType w:val="multilevel"/>
    <w:tmpl w:val="6350366A"/>
    <w:lvl w:ilvl="0" w:tentative="0">
      <w:start w:val="1"/>
      <w:numFmt w:val="none"/>
      <w:pStyle w:val="134"/>
      <w:lvlText w:val="%1●　"/>
      <w:lvlJc w:val="left"/>
      <w:pPr>
        <w:tabs>
          <w:tab w:val="left" w:pos="760"/>
        </w:tabs>
        <w:ind w:left="717" w:hanging="317"/>
      </w:pPr>
      <w:rPr>
        <w:rFonts w:hint="eastAsia" w:ascii="宋体" w:hAnsi="Times New Roman" w:eastAsia="宋体"/>
        <w:b w:val="0"/>
        <w:i w:val="0"/>
        <w:position w:val="4"/>
        <w:sz w:val="13"/>
      </w:rPr>
    </w:lvl>
    <w:lvl w:ilvl="1" w:tentative="0">
      <w:start w:val="1"/>
      <w:numFmt w:val="lowerLetter"/>
      <w:lvlText w:val="%2)"/>
      <w:lvlJc w:val="left"/>
      <w:pPr>
        <w:tabs>
          <w:tab w:val="left" w:pos="780"/>
        </w:tabs>
        <w:ind w:left="780" w:hanging="360"/>
      </w:pPr>
      <w:rPr>
        <w:rFonts w:hint="eastAsia"/>
      </w:rPr>
    </w:lvl>
    <w:lvl w:ilvl="2" w:tentative="0">
      <w:start w:val="1"/>
      <w:numFmt w:val="decimal"/>
      <w:lvlText w:val="%3)"/>
      <w:lvlJc w:val="left"/>
      <w:pPr>
        <w:tabs>
          <w:tab w:val="left" w:pos="1200"/>
        </w:tabs>
        <w:ind w:left="1200" w:hanging="36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657D3FBC"/>
    <w:multiLevelType w:val="multilevel"/>
    <w:tmpl w:val="657D3FBC"/>
    <w:lvl w:ilvl="0" w:tentative="0">
      <w:start w:val="1"/>
      <w:numFmt w:val="upperLetter"/>
      <w:suff w:val="nothing"/>
      <w:lvlText w:val="附　录　%1"/>
      <w:lvlJc w:val="left"/>
      <w:pPr>
        <w:ind w:left="0" w:firstLine="0"/>
      </w:pPr>
      <w:rPr>
        <w:rFonts w:hint="eastAsia" w:ascii="黑体" w:hAnsi="Times New Roman" w:eastAsia="黑体"/>
        <w:b w:val="0"/>
        <w:i w:val="0"/>
        <w:sz w:val="21"/>
      </w:rPr>
    </w:lvl>
    <w:lvl w:ilvl="1" w:tentative="0">
      <w:start w:val="1"/>
      <w:numFmt w:val="decimal"/>
      <w:pStyle w:val="124"/>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25"/>
      <w:suff w:val="nothing"/>
      <w:lvlText w:val="%1.%2.%3　"/>
      <w:lvlJc w:val="left"/>
      <w:pPr>
        <w:ind w:left="0" w:firstLine="0"/>
      </w:pPr>
      <w:rPr>
        <w:rFonts w:hint="eastAsia" w:ascii="黑体" w:hAnsi="Times New Roman" w:eastAsia="黑体"/>
        <w:b w:val="0"/>
        <w:i w:val="0"/>
        <w:sz w:val="21"/>
      </w:rPr>
    </w:lvl>
    <w:lvl w:ilvl="3" w:tentative="0">
      <w:start w:val="1"/>
      <w:numFmt w:val="decimal"/>
      <w:pStyle w:val="126"/>
      <w:suff w:val="nothing"/>
      <w:lvlText w:val="%1.%2.%3.%4　"/>
      <w:lvlJc w:val="left"/>
      <w:pPr>
        <w:ind w:left="0" w:firstLine="0"/>
      </w:pPr>
      <w:rPr>
        <w:rFonts w:hint="eastAsia" w:ascii="黑体" w:hAnsi="Times New Roman" w:eastAsia="黑体"/>
        <w:b w:val="0"/>
        <w:i w:val="0"/>
        <w:sz w:val="21"/>
      </w:rPr>
    </w:lvl>
    <w:lvl w:ilvl="4" w:tentative="0">
      <w:start w:val="1"/>
      <w:numFmt w:val="decimal"/>
      <w:pStyle w:val="127"/>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2">
    <w:nsid w:val="6C622F4B"/>
    <w:multiLevelType w:val="multilevel"/>
    <w:tmpl w:val="6C622F4B"/>
    <w:lvl w:ilvl="0" w:tentative="0">
      <w:start w:val="1"/>
      <w:numFmt w:val="decimal"/>
      <w:pStyle w:val="148"/>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6CEA2025"/>
    <w:multiLevelType w:val="multilevel"/>
    <w:tmpl w:val="6CEA2025"/>
    <w:lvl w:ilvl="0" w:tentative="0">
      <w:start w:val="1"/>
      <w:numFmt w:val="none"/>
      <w:suff w:val="nothing"/>
      <w:lvlText w:val="%1"/>
      <w:lvlJc w:val="left"/>
      <w:pPr>
        <w:ind w:left="0" w:firstLine="0"/>
      </w:pPr>
      <w:rPr>
        <w:rFonts w:hint="default" w:ascii="Times New Roman" w:hAnsi="Times New Roman"/>
        <w:b/>
        <w:i w:val="0"/>
        <w:sz w:val="21"/>
      </w:rPr>
    </w:lvl>
    <w:lvl w:ilvl="1" w:tentative="0">
      <w:start w:val="1"/>
      <w:numFmt w:val="decimal"/>
      <w:pStyle w:val="73"/>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pStyle w:val="75"/>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pStyle w:val="106"/>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4">
    <w:nsid w:val="6DBF04F4"/>
    <w:multiLevelType w:val="multilevel"/>
    <w:tmpl w:val="6DBF04F4"/>
    <w:lvl w:ilvl="0" w:tentative="0">
      <w:start w:val="1"/>
      <w:numFmt w:val="none"/>
      <w:pStyle w:val="153"/>
      <w:lvlText w:val="%1注："/>
      <w:lvlJc w:val="left"/>
      <w:pPr>
        <w:tabs>
          <w:tab w:val="left" w:pos="1140"/>
        </w:tabs>
        <w:ind w:left="840" w:hanging="42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5">
    <w:nsid w:val="76933334"/>
    <w:multiLevelType w:val="multilevel"/>
    <w:tmpl w:val="76933334"/>
    <w:lvl w:ilvl="0" w:tentative="0">
      <w:start w:val="1"/>
      <w:numFmt w:val="upperLetter"/>
      <w:pStyle w:val="121"/>
      <w:suff w:val="nothing"/>
      <w:lvlText w:val="附  录  %1 "/>
      <w:lvlJc w:val="left"/>
      <w:pPr>
        <w:ind w:left="420" w:firstLine="0"/>
      </w:pPr>
      <w:rPr>
        <w:rFonts w:hint="eastAsia" w:ascii="黑体" w:hAnsi="Times New Roman" w:eastAsia="黑体"/>
        <w:b w:val="0"/>
        <w:i w:val="0"/>
        <w:sz w:val="21"/>
        <w:szCs w:val="21"/>
      </w:rPr>
    </w:lvl>
    <w:lvl w:ilvl="1" w:tentative="0">
      <w:start w:val="1"/>
      <w:numFmt w:val="decimal"/>
      <w:suff w:val="nothing"/>
      <w:lvlText w:val="%1%2　"/>
      <w:lvlJc w:val="left"/>
      <w:pPr>
        <w:ind w:left="420" w:firstLine="0"/>
      </w:pPr>
      <w:rPr>
        <w:rFonts w:hint="eastAsia" w:ascii="黑体" w:hAnsi="Times New Roman" w:eastAsia="黑体"/>
        <w:b w:val="0"/>
        <w:i w:val="0"/>
        <w:sz w:val="21"/>
      </w:rPr>
    </w:lvl>
    <w:lvl w:ilvl="2" w:tentative="0">
      <w:start w:val="1"/>
      <w:numFmt w:val="decimal"/>
      <w:suff w:val="nothing"/>
      <w:lvlText w:val="%1%2.%3　"/>
      <w:lvlJc w:val="left"/>
      <w:pPr>
        <w:ind w:left="420" w:firstLine="0"/>
      </w:pPr>
      <w:rPr>
        <w:rFonts w:hint="eastAsia" w:ascii="黑体" w:hAnsi="Times New Roman" w:eastAsia="黑体"/>
        <w:b w:val="0"/>
        <w:i w:val="0"/>
        <w:sz w:val="21"/>
      </w:rPr>
    </w:lvl>
    <w:lvl w:ilvl="3" w:tentative="0">
      <w:start w:val="1"/>
      <w:numFmt w:val="decimal"/>
      <w:suff w:val="nothing"/>
      <w:lvlText w:val="%1%2.%3.%4　"/>
      <w:lvlJc w:val="left"/>
      <w:pPr>
        <w:ind w:left="420" w:firstLine="0"/>
      </w:pPr>
      <w:rPr>
        <w:rFonts w:hint="eastAsia" w:ascii="黑体" w:hAnsi="Times New Roman" w:eastAsia="黑体"/>
        <w:b w:val="0"/>
        <w:i w:val="0"/>
        <w:sz w:val="21"/>
      </w:rPr>
    </w:lvl>
    <w:lvl w:ilvl="4" w:tentative="0">
      <w:start w:val="1"/>
      <w:numFmt w:val="decimal"/>
      <w:suff w:val="nothing"/>
      <w:lvlText w:val="%1%2.%3.%4.%5　"/>
      <w:lvlJc w:val="left"/>
      <w:pPr>
        <w:ind w:left="420" w:firstLine="0"/>
      </w:pPr>
      <w:rPr>
        <w:rFonts w:hint="eastAsia" w:ascii="黑体" w:hAnsi="Times New Roman" w:eastAsia="黑体"/>
        <w:b w:val="0"/>
        <w:i w:val="0"/>
        <w:sz w:val="21"/>
      </w:rPr>
    </w:lvl>
    <w:lvl w:ilvl="5" w:tentative="0">
      <w:start w:val="1"/>
      <w:numFmt w:val="decimal"/>
      <w:suff w:val="nothing"/>
      <w:lvlText w:val="%1%2.%3.%4.%5.%6　"/>
      <w:lvlJc w:val="left"/>
      <w:pPr>
        <w:ind w:left="420" w:firstLine="0"/>
      </w:pPr>
      <w:rPr>
        <w:rFonts w:hint="eastAsia" w:ascii="黑体" w:hAnsi="Times New Roman" w:eastAsia="黑体"/>
        <w:b w:val="0"/>
        <w:i w:val="0"/>
        <w:sz w:val="21"/>
      </w:rPr>
    </w:lvl>
    <w:lvl w:ilvl="6" w:tentative="0">
      <w:start w:val="1"/>
      <w:numFmt w:val="decimal"/>
      <w:suff w:val="nothing"/>
      <w:lvlText w:val="%1%2.%3.%4.%5.%6.%7　"/>
      <w:lvlJc w:val="left"/>
      <w:pPr>
        <w:ind w:left="420" w:firstLine="0"/>
      </w:pPr>
      <w:rPr>
        <w:rFonts w:hint="eastAsia" w:ascii="黑体" w:hAnsi="Times New Roman" w:eastAsia="黑体"/>
        <w:b w:val="0"/>
        <w:i w:val="0"/>
        <w:sz w:val="21"/>
      </w:rPr>
    </w:lvl>
    <w:lvl w:ilvl="7" w:tentative="0">
      <w:start w:val="1"/>
      <w:numFmt w:val="decimal"/>
      <w:lvlText w:val="%1.%2.%3.%4.%5.%6.%7.%8"/>
      <w:lvlJc w:val="left"/>
      <w:pPr>
        <w:tabs>
          <w:tab w:val="left" w:pos="4771"/>
        </w:tabs>
        <w:ind w:left="4389" w:hanging="1418"/>
      </w:pPr>
      <w:rPr>
        <w:rFonts w:hint="eastAsia"/>
      </w:rPr>
    </w:lvl>
    <w:lvl w:ilvl="8" w:tentative="0">
      <w:start w:val="1"/>
      <w:numFmt w:val="decimal"/>
      <w:lvlText w:val="%1.%2.%3.%4.%5.%6.%7.%8.%9"/>
      <w:lvlJc w:val="left"/>
      <w:pPr>
        <w:tabs>
          <w:tab w:val="left" w:pos="5197"/>
        </w:tabs>
        <w:ind w:left="5097" w:hanging="1700"/>
      </w:pPr>
      <w:rPr>
        <w:rFonts w:hint="eastAsia"/>
      </w:rPr>
    </w:lvl>
  </w:abstractNum>
  <w:num w:numId="1">
    <w:abstractNumId w:val="13"/>
  </w:num>
  <w:num w:numId="2">
    <w:abstractNumId w:val="3"/>
  </w:num>
  <w:num w:numId="3">
    <w:abstractNumId w:val="15"/>
  </w:num>
  <w:num w:numId="4">
    <w:abstractNumId w:val="6"/>
  </w:num>
  <w:num w:numId="5">
    <w:abstractNumId w:val="9"/>
  </w:num>
  <w:num w:numId="6">
    <w:abstractNumId w:val="11"/>
  </w:num>
  <w:num w:numId="7">
    <w:abstractNumId w:val="4"/>
  </w:num>
  <w:num w:numId="8">
    <w:abstractNumId w:val="7"/>
  </w:num>
  <w:num w:numId="9">
    <w:abstractNumId w:val="10"/>
  </w:num>
  <w:num w:numId="10">
    <w:abstractNumId w:val="0"/>
  </w:num>
  <w:num w:numId="11">
    <w:abstractNumId w:val="2"/>
  </w:num>
  <w:num w:numId="12">
    <w:abstractNumId w:val="1"/>
  </w:num>
  <w:num w:numId="13">
    <w:abstractNumId w:val="12"/>
  </w:num>
  <w:num w:numId="14">
    <w:abstractNumId w:val="5"/>
  </w:num>
  <w:num w:numId="15">
    <w:abstractNumId w:val="8"/>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doNotValidateAgainstSchema/>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ZmOTMwYTk1Zjc0Y2ZlZTNkNTE2ZmNlNGEzZDg0N2QifQ=="/>
  </w:docVars>
  <w:rsids>
    <w:rsidRoot w:val="000031BF"/>
    <w:rsid w:val="00002D14"/>
    <w:rsid w:val="000031BF"/>
    <w:rsid w:val="000036B9"/>
    <w:rsid w:val="00012BE8"/>
    <w:rsid w:val="000215EB"/>
    <w:rsid w:val="00024A4E"/>
    <w:rsid w:val="00032722"/>
    <w:rsid w:val="00033BB2"/>
    <w:rsid w:val="00035F46"/>
    <w:rsid w:val="00062265"/>
    <w:rsid w:val="0007661D"/>
    <w:rsid w:val="000818F9"/>
    <w:rsid w:val="00097CD5"/>
    <w:rsid w:val="000B2ED6"/>
    <w:rsid w:val="00104D6C"/>
    <w:rsid w:val="001064D4"/>
    <w:rsid w:val="00112DFE"/>
    <w:rsid w:val="001217BB"/>
    <w:rsid w:val="00137ECD"/>
    <w:rsid w:val="00163A09"/>
    <w:rsid w:val="00190C25"/>
    <w:rsid w:val="001A11CE"/>
    <w:rsid w:val="001A58F3"/>
    <w:rsid w:val="001B7EA3"/>
    <w:rsid w:val="001D7D23"/>
    <w:rsid w:val="001F2659"/>
    <w:rsid w:val="001F64F7"/>
    <w:rsid w:val="002072CC"/>
    <w:rsid w:val="002179E4"/>
    <w:rsid w:val="00226080"/>
    <w:rsid w:val="00254AD9"/>
    <w:rsid w:val="0029655F"/>
    <w:rsid w:val="002A5627"/>
    <w:rsid w:val="002B3F82"/>
    <w:rsid w:val="002B5AD1"/>
    <w:rsid w:val="002C6F6E"/>
    <w:rsid w:val="002F049C"/>
    <w:rsid w:val="002F53AD"/>
    <w:rsid w:val="00316652"/>
    <w:rsid w:val="00344F6F"/>
    <w:rsid w:val="0035672D"/>
    <w:rsid w:val="00397F36"/>
    <w:rsid w:val="003D0FD9"/>
    <w:rsid w:val="003E3C16"/>
    <w:rsid w:val="00402020"/>
    <w:rsid w:val="00412175"/>
    <w:rsid w:val="004123A0"/>
    <w:rsid w:val="00422B12"/>
    <w:rsid w:val="0043749B"/>
    <w:rsid w:val="0044485A"/>
    <w:rsid w:val="00451812"/>
    <w:rsid w:val="00461764"/>
    <w:rsid w:val="00474C3F"/>
    <w:rsid w:val="0048586F"/>
    <w:rsid w:val="004B7559"/>
    <w:rsid w:val="004C63C2"/>
    <w:rsid w:val="004D0F2D"/>
    <w:rsid w:val="004D37F3"/>
    <w:rsid w:val="0052741D"/>
    <w:rsid w:val="00543A1E"/>
    <w:rsid w:val="00574494"/>
    <w:rsid w:val="0058263C"/>
    <w:rsid w:val="0059152D"/>
    <w:rsid w:val="00591E05"/>
    <w:rsid w:val="0059376A"/>
    <w:rsid w:val="0059767F"/>
    <w:rsid w:val="005B462A"/>
    <w:rsid w:val="005B5318"/>
    <w:rsid w:val="005C0D4D"/>
    <w:rsid w:val="005C1B6D"/>
    <w:rsid w:val="005C3D52"/>
    <w:rsid w:val="005C71E8"/>
    <w:rsid w:val="005E7B29"/>
    <w:rsid w:val="005F121D"/>
    <w:rsid w:val="005F25E4"/>
    <w:rsid w:val="00615951"/>
    <w:rsid w:val="00666D47"/>
    <w:rsid w:val="00673C6E"/>
    <w:rsid w:val="006C22E8"/>
    <w:rsid w:val="006C2894"/>
    <w:rsid w:val="006D742E"/>
    <w:rsid w:val="006E2FA9"/>
    <w:rsid w:val="006F30A2"/>
    <w:rsid w:val="006F37F3"/>
    <w:rsid w:val="007112E0"/>
    <w:rsid w:val="00722843"/>
    <w:rsid w:val="00733ADF"/>
    <w:rsid w:val="00736D0B"/>
    <w:rsid w:val="00753EEE"/>
    <w:rsid w:val="0078651C"/>
    <w:rsid w:val="007A6CF3"/>
    <w:rsid w:val="007B5AC9"/>
    <w:rsid w:val="007B6556"/>
    <w:rsid w:val="007C491A"/>
    <w:rsid w:val="007C580E"/>
    <w:rsid w:val="007C6810"/>
    <w:rsid w:val="007F2C2B"/>
    <w:rsid w:val="0081475D"/>
    <w:rsid w:val="008163C0"/>
    <w:rsid w:val="008200E9"/>
    <w:rsid w:val="008419D7"/>
    <w:rsid w:val="0087136F"/>
    <w:rsid w:val="00872446"/>
    <w:rsid w:val="0087467B"/>
    <w:rsid w:val="00874D48"/>
    <w:rsid w:val="008A5B0C"/>
    <w:rsid w:val="008B6729"/>
    <w:rsid w:val="008C223B"/>
    <w:rsid w:val="008C6F47"/>
    <w:rsid w:val="008D1802"/>
    <w:rsid w:val="008D2795"/>
    <w:rsid w:val="008D5E01"/>
    <w:rsid w:val="008E1E03"/>
    <w:rsid w:val="008E353B"/>
    <w:rsid w:val="008F4D0D"/>
    <w:rsid w:val="009075CD"/>
    <w:rsid w:val="0092631E"/>
    <w:rsid w:val="00944A5F"/>
    <w:rsid w:val="00953700"/>
    <w:rsid w:val="00964ABF"/>
    <w:rsid w:val="0096595E"/>
    <w:rsid w:val="009765D5"/>
    <w:rsid w:val="009B307A"/>
    <w:rsid w:val="00A4295C"/>
    <w:rsid w:val="00A61358"/>
    <w:rsid w:val="00A81CD1"/>
    <w:rsid w:val="00A93B14"/>
    <w:rsid w:val="00A96658"/>
    <w:rsid w:val="00AF174A"/>
    <w:rsid w:val="00B01557"/>
    <w:rsid w:val="00B07325"/>
    <w:rsid w:val="00B13982"/>
    <w:rsid w:val="00B2262A"/>
    <w:rsid w:val="00B4584D"/>
    <w:rsid w:val="00B67B57"/>
    <w:rsid w:val="00B76346"/>
    <w:rsid w:val="00B8616E"/>
    <w:rsid w:val="00B87FCD"/>
    <w:rsid w:val="00B94DCE"/>
    <w:rsid w:val="00BE364F"/>
    <w:rsid w:val="00BE7C02"/>
    <w:rsid w:val="00BF7A43"/>
    <w:rsid w:val="00C32C4D"/>
    <w:rsid w:val="00C37C90"/>
    <w:rsid w:val="00C4030C"/>
    <w:rsid w:val="00C43662"/>
    <w:rsid w:val="00C86520"/>
    <w:rsid w:val="00C9361A"/>
    <w:rsid w:val="00CC3180"/>
    <w:rsid w:val="00D005CC"/>
    <w:rsid w:val="00D007FB"/>
    <w:rsid w:val="00D3168A"/>
    <w:rsid w:val="00D6089A"/>
    <w:rsid w:val="00D71929"/>
    <w:rsid w:val="00D80D2C"/>
    <w:rsid w:val="00D924AB"/>
    <w:rsid w:val="00DA2760"/>
    <w:rsid w:val="00DC4E3C"/>
    <w:rsid w:val="00E0494F"/>
    <w:rsid w:val="00E07BD0"/>
    <w:rsid w:val="00E3416C"/>
    <w:rsid w:val="00E37399"/>
    <w:rsid w:val="00E7028E"/>
    <w:rsid w:val="00E7120F"/>
    <w:rsid w:val="00E7348B"/>
    <w:rsid w:val="00E87C4B"/>
    <w:rsid w:val="00E908CD"/>
    <w:rsid w:val="00E97368"/>
    <w:rsid w:val="00EA58A7"/>
    <w:rsid w:val="00EB7C9C"/>
    <w:rsid w:val="00EC3838"/>
    <w:rsid w:val="00EC4763"/>
    <w:rsid w:val="00EC6675"/>
    <w:rsid w:val="00ED0484"/>
    <w:rsid w:val="00EE4636"/>
    <w:rsid w:val="00EE6527"/>
    <w:rsid w:val="00EF75BC"/>
    <w:rsid w:val="00F01AF3"/>
    <w:rsid w:val="00F03AA5"/>
    <w:rsid w:val="00F10B03"/>
    <w:rsid w:val="00F36A4A"/>
    <w:rsid w:val="00F72B49"/>
    <w:rsid w:val="00F9195D"/>
    <w:rsid w:val="00F966F8"/>
    <w:rsid w:val="00FA1843"/>
    <w:rsid w:val="00FA683F"/>
    <w:rsid w:val="00FB792F"/>
    <w:rsid w:val="00FE37FF"/>
    <w:rsid w:val="00FF6CD1"/>
    <w:rsid w:val="012249BF"/>
    <w:rsid w:val="02182062"/>
    <w:rsid w:val="022F3E96"/>
    <w:rsid w:val="028011D3"/>
    <w:rsid w:val="02EB2859"/>
    <w:rsid w:val="035D0EBB"/>
    <w:rsid w:val="03975450"/>
    <w:rsid w:val="046D0CA0"/>
    <w:rsid w:val="05467EB4"/>
    <w:rsid w:val="062C22F1"/>
    <w:rsid w:val="0664047C"/>
    <w:rsid w:val="094C4AEF"/>
    <w:rsid w:val="098C149F"/>
    <w:rsid w:val="09F00069"/>
    <w:rsid w:val="0A5A7A5B"/>
    <w:rsid w:val="0AB02CF8"/>
    <w:rsid w:val="0B3B62D2"/>
    <w:rsid w:val="0BBA7FB9"/>
    <w:rsid w:val="0D3F5680"/>
    <w:rsid w:val="0E1D615B"/>
    <w:rsid w:val="0E4218C1"/>
    <w:rsid w:val="0E427FC4"/>
    <w:rsid w:val="0F917FAD"/>
    <w:rsid w:val="10592273"/>
    <w:rsid w:val="10651E79"/>
    <w:rsid w:val="117D0C4F"/>
    <w:rsid w:val="12837BF9"/>
    <w:rsid w:val="12BB4676"/>
    <w:rsid w:val="13370CE3"/>
    <w:rsid w:val="1337550A"/>
    <w:rsid w:val="13842CCB"/>
    <w:rsid w:val="159A0C1F"/>
    <w:rsid w:val="15ED20AE"/>
    <w:rsid w:val="16225936"/>
    <w:rsid w:val="16A17BD3"/>
    <w:rsid w:val="183F6638"/>
    <w:rsid w:val="188A1372"/>
    <w:rsid w:val="18E30276"/>
    <w:rsid w:val="1A2A5AC3"/>
    <w:rsid w:val="1B835C09"/>
    <w:rsid w:val="1CAB0ECA"/>
    <w:rsid w:val="1D6E33B3"/>
    <w:rsid w:val="1DC500AC"/>
    <w:rsid w:val="1EDB015E"/>
    <w:rsid w:val="1F8B0146"/>
    <w:rsid w:val="1F8D1DD9"/>
    <w:rsid w:val="1FD66C85"/>
    <w:rsid w:val="20D37BEE"/>
    <w:rsid w:val="20DA68F0"/>
    <w:rsid w:val="23147353"/>
    <w:rsid w:val="23F50008"/>
    <w:rsid w:val="24CD271B"/>
    <w:rsid w:val="261D39C1"/>
    <w:rsid w:val="26E15F77"/>
    <w:rsid w:val="27562330"/>
    <w:rsid w:val="279625B9"/>
    <w:rsid w:val="283E73CF"/>
    <w:rsid w:val="288B6335"/>
    <w:rsid w:val="29AA61AB"/>
    <w:rsid w:val="2A1C786E"/>
    <w:rsid w:val="2AE67B75"/>
    <w:rsid w:val="2B8E2E36"/>
    <w:rsid w:val="2C8D6413"/>
    <w:rsid w:val="2D246F3A"/>
    <w:rsid w:val="2D424209"/>
    <w:rsid w:val="2DF70094"/>
    <w:rsid w:val="2EA15549"/>
    <w:rsid w:val="3050585C"/>
    <w:rsid w:val="31176C37"/>
    <w:rsid w:val="31DD31B6"/>
    <w:rsid w:val="32691899"/>
    <w:rsid w:val="33F86B71"/>
    <w:rsid w:val="346A11D8"/>
    <w:rsid w:val="35720311"/>
    <w:rsid w:val="363F681F"/>
    <w:rsid w:val="393870B9"/>
    <w:rsid w:val="39CF2763"/>
    <w:rsid w:val="3A1C2540"/>
    <w:rsid w:val="3A7D35A4"/>
    <w:rsid w:val="3B065D7A"/>
    <w:rsid w:val="3C663B83"/>
    <w:rsid w:val="3D045C7F"/>
    <w:rsid w:val="3E354352"/>
    <w:rsid w:val="409622FB"/>
    <w:rsid w:val="411F6586"/>
    <w:rsid w:val="416B7BC4"/>
    <w:rsid w:val="41BA672E"/>
    <w:rsid w:val="420D1FDA"/>
    <w:rsid w:val="42294B3C"/>
    <w:rsid w:val="43094DBA"/>
    <w:rsid w:val="437F7F59"/>
    <w:rsid w:val="44E31F22"/>
    <w:rsid w:val="462B3D62"/>
    <w:rsid w:val="47067E54"/>
    <w:rsid w:val="47463953"/>
    <w:rsid w:val="4945340D"/>
    <w:rsid w:val="4AC77F95"/>
    <w:rsid w:val="4BBE353C"/>
    <w:rsid w:val="4CBF0DA6"/>
    <w:rsid w:val="4D6B5354"/>
    <w:rsid w:val="4DCF28A6"/>
    <w:rsid w:val="4E085AB6"/>
    <w:rsid w:val="4EA73F70"/>
    <w:rsid w:val="4EC941F0"/>
    <w:rsid w:val="51C814B6"/>
    <w:rsid w:val="52737CE9"/>
    <w:rsid w:val="53B57319"/>
    <w:rsid w:val="56BD5E67"/>
    <w:rsid w:val="57D33488"/>
    <w:rsid w:val="589F0473"/>
    <w:rsid w:val="58B47C48"/>
    <w:rsid w:val="58D0360B"/>
    <w:rsid w:val="59557784"/>
    <w:rsid w:val="59CC7E43"/>
    <w:rsid w:val="5A0B0CD2"/>
    <w:rsid w:val="5A0B2C4A"/>
    <w:rsid w:val="5A7D06B1"/>
    <w:rsid w:val="5AC727E4"/>
    <w:rsid w:val="5BA43CFC"/>
    <w:rsid w:val="5BA5558B"/>
    <w:rsid w:val="5BFB00CD"/>
    <w:rsid w:val="5E996F46"/>
    <w:rsid w:val="5F3F3F5E"/>
    <w:rsid w:val="5FB16D0D"/>
    <w:rsid w:val="5FB76338"/>
    <w:rsid w:val="60FF414B"/>
    <w:rsid w:val="61635616"/>
    <w:rsid w:val="61A52564"/>
    <w:rsid w:val="63125672"/>
    <w:rsid w:val="64215F56"/>
    <w:rsid w:val="64C011C1"/>
    <w:rsid w:val="64E5191A"/>
    <w:rsid w:val="66527BFE"/>
    <w:rsid w:val="66904E24"/>
    <w:rsid w:val="66CB4A36"/>
    <w:rsid w:val="66D54996"/>
    <w:rsid w:val="66FC2F4B"/>
    <w:rsid w:val="676212C1"/>
    <w:rsid w:val="68850F51"/>
    <w:rsid w:val="68E42D61"/>
    <w:rsid w:val="69A44F87"/>
    <w:rsid w:val="6A013C2B"/>
    <w:rsid w:val="6AAD3DA3"/>
    <w:rsid w:val="6AFF3AC0"/>
    <w:rsid w:val="6D90790B"/>
    <w:rsid w:val="6EDB4D78"/>
    <w:rsid w:val="6F176DC2"/>
    <w:rsid w:val="6FD838B5"/>
    <w:rsid w:val="7132318C"/>
    <w:rsid w:val="723D6325"/>
    <w:rsid w:val="72724B36"/>
    <w:rsid w:val="73CB5710"/>
    <w:rsid w:val="74691242"/>
    <w:rsid w:val="761F1D0A"/>
    <w:rsid w:val="77D23BE5"/>
    <w:rsid w:val="788749C3"/>
    <w:rsid w:val="78DA6B98"/>
    <w:rsid w:val="797701F4"/>
    <w:rsid w:val="79FB0BC6"/>
    <w:rsid w:val="7CCF3806"/>
    <w:rsid w:val="7CD50582"/>
    <w:rsid w:val="7F18323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iPriority="99"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0" w:semiHidden="0" w:name="Document Map"/>
    <w:lsdException w:qFormat="1" w:unhideWhenUsed="0" w:uiPriority="0" w:semiHidden="0" w:name="Plain Text"/>
    <w:lsdException w:uiPriority="99" w:name="E-mail Signature"/>
    <w:lsdException w:qFormat="1" w:unhideWhenUsed="0" w:uiPriority="99"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5"/>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56"/>
    <w:qFormat/>
    <w:uiPriority w:val="9"/>
    <w:pPr>
      <w:keepNext/>
      <w:keepLines/>
      <w:spacing w:before="260" w:after="260" w:line="416" w:lineRule="auto"/>
      <w:outlineLvl w:val="1"/>
    </w:pPr>
    <w:rPr>
      <w:rFonts w:ascii="Cambria" w:hAnsi="Cambria"/>
      <w:b/>
      <w:bCs/>
      <w:color w:val="4F81BD"/>
      <w:sz w:val="26"/>
      <w:szCs w:val="26"/>
    </w:rPr>
  </w:style>
  <w:style w:type="paragraph" w:styleId="4">
    <w:name w:val="heading 3"/>
    <w:basedOn w:val="1"/>
    <w:next w:val="1"/>
    <w:link w:val="57"/>
    <w:qFormat/>
    <w:uiPriority w:val="0"/>
    <w:pPr>
      <w:keepNext/>
      <w:keepLines/>
      <w:spacing w:before="260" w:after="260" w:line="416" w:lineRule="auto"/>
      <w:outlineLvl w:val="2"/>
    </w:pPr>
    <w:rPr>
      <w:b/>
      <w:bCs/>
      <w:sz w:val="32"/>
      <w:szCs w:val="32"/>
    </w:rPr>
  </w:style>
  <w:style w:type="paragraph" w:styleId="5">
    <w:name w:val="heading 4"/>
    <w:basedOn w:val="1"/>
    <w:next w:val="1"/>
    <w:link w:val="58"/>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59"/>
    <w:qFormat/>
    <w:uiPriority w:val="0"/>
    <w:pPr>
      <w:keepNext/>
      <w:keepLines/>
      <w:spacing w:before="280" w:after="290" w:line="376" w:lineRule="auto"/>
      <w:outlineLvl w:val="4"/>
    </w:pPr>
    <w:rPr>
      <w:b/>
      <w:bCs/>
      <w:sz w:val="28"/>
      <w:szCs w:val="28"/>
    </w:rPr>
  </w:style>
  <w:style w:type="paragraph" w:styleId="7">
    <w:name w:val="heading 6"/>
    <w:basedOn w:val="1"/>
    <w:next w:val="1"/>
    <w:link w:val="60"/>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61"/>
    <w:qFormat/>
    <w:uiPriority w:val="0"/>
    <w:pPr>
      <w:keepNext/>
      <w:keepLines/>
      <w:spacing w:before="240" w:after="64" w:line="320" w:lineRule="auto"/>
      <w:outlineLvl w:val="6"/>
    </w:pPr>
    <w:rPr>
      <w:b/>
      <w:bCs/>
      <w:sz w:val="24"/>
    </w:rPr>
  </w:style>
  <w:style w:type="paragraph" w:styleId="9">
    <w:name w:val="heading 8"/>
    <w:basedOn w:val="1"/>
    <w:next w:val="1"/>
    <w:link w:val="62"/>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63"/>
    <w:qFormat/>
    <w:uiPriority w:val="0"/>
    <w:pPr>
      <w:keepNext/>
      <w:keepLines/>
      <w:spacing w:before="240" w:after="64" w:line="320" w:lineRule="auto"/>
      <w:outlineLvl w:val="8"/>
    </w:pPr>
    <w:rPr>
      <w:rFonts w:ascii="Arial" w:hAnsi="Arial" w:eastAsia="黑体"/>
      <w:szCs w:val="21"/>
    </w:rPr>
  </w:style>
  <w:style w:type="character" w:default="1" w:styleId="40">
    <w:name w:val="Default Paragraph Font"/>
    <w:unhideWhenUsed/>
    <w:qFormat/>
    <w:uiPriority w:val="1"/>
  </w:style>
  <w:style w:type="table" w:default="1" w:styleId="38">
    <w:name w:val="Normal Table"/>
    <w:unhideWhenUsed/>
    <w:qFormat/>
    <w:uiPriority w:val="99"/>
    <w:tblPr>
      <w:tblCellMar>
        <w:top w:w="0" w:type="dxa"/>
        <w:left w:w="108" w:type="dxa"/>
        <w:bottom w:w="0" w:type="dxa"/>
        <w:right w:w="108" w:type="dxa"/>
      </w:tblCellMar>
    </w:tblPr>
  </w:style>
  <w:style w:type="paragraph" w:styleId="11">
    <w:name w:val="toc 7"/>
    <w:basedOn w:val="12"/>
    <w:next w:val="1"/>
    <w:qFormat/>
    <w:uiPriority w:val="0"/>
  </w:style>
  <w:style w:type="paragraph" w:styleId="12">
    <w:name w:val="toc 6"/>
    <w:basedOn w:val="13"/>
    <w:next w:val="1"/>
    <w:qFormat/>
    <w:uiPriority w:val="0"/>
  </w:style>
  <w:style w:type="paragraph" w:styleId="13">
    <w:name w:val="toc 5"/>
    <w:basedOn w:val="14"/>
    <w:next w:val="1"/>
    <w:qFormat/>
    <w:uiPriority w:val="0"/>
  </w:style>
  <w:style w:type="paragraph" w:styleId="14">
    <w:name w:val="toc 4"/>
    <w:basedOn w:val="15"/>
    <w:next w:val="1"/>
    <w:qFormat/>
    <w:uiPriority w:val="0"/>
  </w:style>
  <w:style w:type="paragraph" w:styleId="15">
    <w:name w:val="toc 3"/>
    <w:basedOn w:val="16"/>
    <w:next w:val="1"/>
    <w:qFormat/>
    <w:uiPriority w:val="0"/>
    <w:pPr>
      <w:widowControl/>
      <w:spacing w:after="0"/>
      <w:ind w:left="0"/>
    </w:pPr>
    <w:rPr>
      <w:rFonts w:ascii="宋体" w:hAnsi="Times New Roman"/>
      <w:kern w:val="0"/>
      <w:szCs w:val="20"/>
    </w:rPr>
  </w:style>
  <w:style w:type="paragraph" w:styleId="16">
    <w:name w:val="toc 2"/>
    <w:basedOn w:val="1"/>
    <w:next w:val="1"/>
    <w:unhideWhenUsed/>
    <w:qFormat/>
    <w:uiPriority w:val="39"/>
    <w:pPr>
      <w:spacing w:after="100"/>
      <w:ind w:left="210"/>
    </w:pPr>
    <w:rPr>
      <w:rFonts w:ascii="Calibri" w:hAnsi="Calibri"/>
      <w:szCs w:val="22"/>
    </w:rPr>
  </w:style>
  <w:style w:type="paragraph" w:styleId="17">
    <w:name w:val="Document Map"/>
    <w:basedOn w:val="1"/>
    <w:link w:val="70"/>
    <w:unhideWhenUsed/>
    <w:qFormat/>
    <w:uiPriority w:val="0"/>
    <w:rPr>
      <w:rFonts w:ascii="宋体" w:hAnsi="Calibri"/>
      <w:kern w:val="0"/>
      <w:sz w:val="18"/>
      <w:szCs w:val="18"/>
    </w:rPr>
  </w:style>
  <w:style w:type="paragraph" w:styleId="18">
    <w:name w:val="annotation text"/>
    <w:basedOn w:val="1"/>
    <w:link w:val="69"/>
    <w:qFormat/>
    <w:uiPriority w:val="0"/>
    <w:pPr>
      <w:jc w:val="left"/>
    </w:pPr>
    <w:rPr>
      <w:rFonts w:ascii="Calibri" w:hAnsi="Calibri"/>
      <w:kern w:val="0"/>
      <w:sz w:val="20"/>
      <w:szCs w:val="20"/>
    </w:rPr>
  </w:style>
  <w:style w:type="paragraph" w:styleId="19">
    <w:name w:val="Body Text"/>
    <w:basedOn w:val="1"/>
    <w:next w:val="20"/>
    <w:link w:val="93"/>
    <w:unhideWhenUsed/>
    <w:qFormat/>
    <w:uiPriority w:val="99"/>
    <w:pPr>
      <w:spacing w:after="120"/>
    </w:pPr>
    <w:rPr>
      <w:rFonts w:ascii="Calibri" w:hAnsi="Calibri"/>
      <w:szCs w:val="22"/>
    </w:rPr>
  </w:style>
  <w:style w:type="paragraph" w:styleId="20">
    <w:name w:val="Title"/>
    <w:basedOn w:val="1"/>
    <w:link w:val="100"/>
    <w:qFormat/>
    <w:uiPriority w:val="0"/>
    <w:pPr>
      <w:spacing w:before="240" w:after="60"/>
      <w:jc w:val="center"/>
      <w:outlineLvl w:val="0"/>
    </w:pPr>
    <w:rPr>
      <w:rFonts w:ascii="Arial" w:hAnsi="Arial"/>
      <w:b/>
      <w:bCs/>
      <w:sz w:val="32"/>
      <w:szCs w:val="32"/>
    </w:rPr>
  </w:style>
  <w:style w:type="paragraph" w:styleId="21">
    <w:name w:val="Body Text Indent"/>
    <w:basedOn w:val="1"/>
    <w:link w:val="86"/>
    <w:qFormat/>
    <w:uiPriority w:val="0"/>
    <w:pPr>
      <w:spacing w:after="120"/>
      <w:ind w:left="420" w:leftChars="200"/>
    </w:pPr>
    <w:rPr>
      <w:rFonts w:ascii="Calibri" w:hAnsi="Calibri"/>
      <w:szCs w:val="22"/>
    </w:rPr>
  </w:style>
  <w:style w:type="paragraph" w:styleId="22">
    <w:name w:val="HTML Address"/>
    <w:basedOn w:val="1"/>
    <w:link w:val="98"/>
    <w:qFormat/>
    <w:uiPriority w:val="0"/>
    <w:rPr>
      <w:i/>
      <w:iCs/>
    </w:rPr>
  </w:style>
  <w:style w:type="paragraph" w:styleId="23">
    <w:name w:val="Plain Text"/>
    <w:basedOn w:val="1"/>
    <w:link w:val="172"/>
    <w:qFormat/>
    <w:uiPriority w:val="0"/>
    <w:rPr>
      <w:rFonts w:ascii="宋体" w:hAnsi="Courier New"/>
      <w:szCs w:val="20"/>
    </w:rPr>
  </w:style>
  <w:style w:type="paragraph" w:styleId="24">
    <w:name w:val="toc 8"/>
    <w:basedOn w:val="11"/>
    <w:next w:val="1"/>
    <w:qFormat/>
    <w:uiPriority w:val="0"/>
  </w:style>
  <w:style w:type="paragraph" w:styleId="25">
    <w:name w:val="Date"/>
    <w:basedOn w:val="1"/>
    <w:next w:val="1"/>
    <w:link w:val="151"/>
    <w:qFormat/>
    <w:uiPriority w:val="0"/>
    <w:pPr>
      <w:ind w:left="100" w:leftChars="2500"/>
    </w:pPr>
  </w:style>
  <w:style w:type="paragraph" w:styleId="26">
    <w:name w:val="Balloon Text"/>
    <w:basedOn w:val="1"/>
    <w:link w:val="71"/>
    <w:unhideWhenUsed/>
    <w:qFormat/>
    <w:uiPriority w:val="99"/>
    <w:rPr>
      <w:rFonts w:ascii="宋体" w:hAnsi="Calibri"/>
      <w:kern w:val="0"/>
      <w:sz w:val="18"/>
      <w:szCs w:val="18"/>
    </w:rPr>
  </w:style>
  <w:style w:type="paragraph" w:styleId="27">
    <w:name w:val="footer"/>
    <w:basedOn w:val="1"/>
    <w:link w:val="65"/>
    <w:qFormat/>
    <w:uiPriority w:val="99"/>
    <w:pPr>
      <w:tabs>
        <w:tab w:val="center" w:pos="4153"/>
        <w:tab w:val="right" w:pos="8306"/>
      </w:tabs>
      <w:snapToGrid w:val="0"/>
      <w:jc w:val="left"/>
    </w:pPr>
    <w:rPr>
      <w:sz w:val="18"/>
      <w:szCs w:val="18"/>
    </w:rPr>
  </w:style>
  <w:style w:type="paragraph" w:styleId="28">
    <w:name w:val="header"/>
    <w:basedOn w:val="1"/>
    <w:link w:val="64"/>
    <w:qFormat/>
    <w:uiPriority w:val="99"/>
    <w:pPr>
      <w:pBdr>
        <w:bottom w:val="single" w:color="auto" w:sz="6" w:space="1"/>
      </w:pBdr>
      <w:tabs>
        <w:tab w:val="center" w:pos="4153"/>
        <w:tab w:val="right" w:pos="8306"/>
      </w:tabs>
      <w:snapToGrid w:val="0"/>
      <w:jc w:val="center"/>
    </w:pPr>
    <w:rPr>
      <w:sz w:val="18"/>
      <w:szCs w:val="18"/>
    </w:rPr>
  </w:style>
  <w:style w:type="paragraph" w:styleId="29">
    <w:name w:val="toc 1"/>
    <w:basedOn w:val="1"/>
    <w:next w:val="1"/>
    <w:unhideWhenUsed/>
    <w:qFormat/>
    <w:uiPriority w:val="39"/>
    <w:pPr>
      <w:tabs>
        <w:tab w:val="left" w:pos="840"/>
        <w:tab w:val="right" w:leader="dot" w:pos="8302"/>
      </w:tabs>
      <w:spacing w:line="276" w:lineRule="auto"/>
    </w:pPr>
    <w:rPr>
      <w:rFonts w:ascii="Calibri" w:hAnsi="Calibri"/>
      <w:szCs w:val="22"/>
    </w:rPr>
  </w:style>
  <w:style w:type="paragraph" w:styleId="30">
    <w:name w:val="footnote text"/>
    <w:basedOn w:val="1"/>
    <w:link w:val="132"/>
    <w:qFormat/>
    <w:uiPriority w:val="0"/>
    <w:pPr>
      <w:snapToGrid w:val="0"/>
      <w:jc w:val="left"/>
    </w:pPr>
    <w:rPr>
      <w:sz w:val="18"/>
      <w:szCs w:val="18"/>
    </w:rPr>
  </w:style>
  <w:style w:type="paragraph" w:styleId="31">
    <w:name w:val="Body Text Indent 3"/>
    <w:basedOn w:val="1"/>
    <w:link w:val="159"/>
    <w:qFormat/>
    <w:uiPriority w:val="0"/>
    <w:pPr>
      <w:spacing w:after="120"/>
      <w:ind w:left="420" w:leftChars="200"/>
    </w:pPr>
    <w:rPr>
      <w:sz w:val="16"/>
      <w:szCs w:val="16"/>
    </w:rPr>
  </w:style>
  <w:style w:type="paragraph" w:styleId="32">
    <w:name w:val="toc 9"/>
    <w:basedOn w:val="24"/>
    <w:next w:val="1"/>
    <w:qFormat/>
    <w:uiPriority w:val="0"/>
  </w:style>
  <w:style w:type="paragraph" w:styleId="33">
    <w:name w:val="HTML Preformatted"/>
    <w:basedOn w:val="1"/>
    <w:link w:val="99"/>
    <w:qFormat/>
    <w:uiPriority w:val="0"/>
    <w:rPr>
      <w:rFonts w:ascii="Courier New" w:hAnsi="Courier New"/>
      <w:sz w:val="20"/>
      <w:szCs w:val="20"/>
    </w:rPr>
  </w:style>
  <w:style w:type="paragraph" w:styleId="34">
    <w:name w:val="Normal (Web)"/>
    <w:basedOn w:val="1"/>
    <w:qFormat/>
    <w:uiPriority w:val="99"/>
    <w:pPr>
      <w:widowControl/>
      <w:spacing w:before="100" w:beforeAutospacing="1" w:after="100" w:afterAutospacing="1"/>
      <w:jc w:val="left"/>
    </w:pPr>
    <w:rPr>
      <w:rFonts w:ascii="宋体" w:hAnsi="宋体" w:cs="宋体"/>
      <w:color w:val="000000"/>
      <w:kern w:val="0"/>
      <w:sz w:val="24"/>
    </w:rPr>
  </w:style>
  <w:style w:type="paragraph" w:styleId="35">
    <w:name w:val="annotation subject"/>
    <w:basedOn w:val="18"/>
    <w:next w:val="18"/>
    <w:link w:val="72"/>
    <w:unhideWhenUsed/>
    <w:qFormat/>
    <w:uiPriority w:val="99"/>
    <w:pPr>
      <w:jc w:val="both"/>
    </w:pPr>
    <w:rPr>
      <w:b/>
      <w:bCs/>
    </w:rPr>
  </w:style>
  <w:style w:type="paragraph" w:styleId="36">
    <w:name w:val="Body Text First Indent"/>
    <w:basedOn w:val="19"/>
    <w:link w:val="161"/>
    <w:qFormat/>
    <w:uiPriority w:val="0"/>
    <w:pPr>
      <w:spacing w:before="120" w:after="0"/>
      <w:ind w:firstLine="200" w:firstLineChars="200"/>
    </w:pPr>
    <w:rPr>
      <w:lang w:eastAsia="en-US"/>
    </w:rPr>
  </w:style>
  <w:style w:type="paragraph" w:styleId="37">
    <w:name w:val="Body Text First Indent 2"/>
    <w:basedOn w:val="21"/>
    <w:link w:val="87"/>
    <w:qFormat/>
    <w:uiPriority w:val="0"/>
    <w:pPr>
      <w:ind w:firstLine="420" w:firstLineChars="200"/>
    </w:pPr>
    <w:rPr>
      <w:sz w:val="28"/>
    </w:rPr>
  </w:style>
  <w:style w:type="table" w:styleId="39">
    <w:name w:val="Table Grid"/>
    <w:basedOn w:val="3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1">
    <w:name w:val="Strong"/>
    <w:qFormat/>
    <w:uiPriority w:val="22"/>
    <w:rPr>
      <w:b/>
      <w:bCs/>
    </w:rPr>
  </w:style>
  <w:style w:type="character" w:styleId="42">
    <w:name w:val="page number"/>
    <w:qFormat/>
    <w:uiPriority w:val="0"/>
    <w:rPr>
      <w:rFonts w:ascii="Times New Roman" w:hAnsi="Times New Roman" w:eastAsia="宋体"/>
      <w:sz w:val="18"/>
    </w:rPr>
  </w:style>
  <w:style w:type="character" w:styleId="43">
    <w:name w:val="FollowedHyperlink"/>
    <w:unhideWhenUsed/>
    <w:qFormat/>
    <w:uiPriority w:val="99"/>
    <w:rPr>
      <w:color w:val="800080"/>
      <w:u w:val="single"/>
    </w:rPr>
  </w:style>
  <w:style w:type="character" w:styleId="44">
    <w:name w:val="HTML Definition"/>
    <w:qFormat/>
    <w:uiPriority w:val="0"/>
    <w:rPr>
      <w:i/>
      <w:iCs/>
    </w:rPr>
  </w:style>
  <w:style w:type="character" w:styleId="45">
    <w:name w:val="HTML Typewriter"/>
    <w:qFormat/>
    <w:uiPriority w:val="0"/>
    <w:rPr>
      <w:rFonts w:ascii="Courier New" w:hAnsi="Courier New"/>
      <w:sz w:val="20"/>
      <w:szCs w:val="20"/>
    </w:rPr>
  </w:style>
  <w:style w:type="character" w:styleId="46">
    <w:name w:val="HTML Acronym"/>
    <w:qFormat/>
    <w:uiPriority w:val="0"/>
  </w:style>
  <w:style w:type="character" w:styleId="47">
    <w:name w:val="HTML Variable"/>
    <w:qFormat/>
    <w:uiPriority w:val="0"/>
    <w:rPr>
      <w:i/>
      <w:iCs/>
    </w:rPr>
  </w:style>
  <w:style w:type="character" w:styleId="48">
    <w:name w:val="Hyperlink"/>
    <w:unhideWhenUsed/>
    <w:qFormat/>
    <w:uiPriority w:val="99"/>
    <w:rPr>
      <w:color w:val="0000FF"/>
      <w:u w:val="single"/>
    </w:rPr>
  </w:style>
  <w:style w:type="character" w:styleId="49">
    <w:name w:val="HTML Code"/>
    <w:qFormat/>
    <w:uiPriority w:val="0"/>
    <w:rPr>
      <w:rFonts w:ascii="Courier New" w:hAnsi="Courier New"/>
      <w:sz w:val="20"/>
      <w:szCs w:val="20"/>
    </w:rPr>
  </w:style>
  <w:style w:type="character" w:styleId="50">
    <w:name w:val="annotation reference"/>
    <w:qFormat/>
    <w:uiPriority w:val="0"/>
    <w:rPr>
      <w:sz w:val="21"/>
      <w:szCs w:val="21"/>
    </w:rPr>
  </w:style>
  <w:style w:type="character" w:styleId="51">
    <w:name w:val="HTML Cite"/>
    <w:qFormat/>
    <w:uiPriority w:val="0"/>
    <w:rPr>
      <w:i/>
      <w:iCs/>
    </w:rPr>
  </w:style>
  <w:style w:type="character" w:styleId="52">
    <w:name w:val="footnote reference"/>
    <w:qFormat/>
    <w:uiPriority w:val="0"/>
    <w:rPr>
      <w:vertAlign w:val="superscript"/>
    </w:rPr>
  </w:style>
  <w:style w:type="character" w:styleId="53">
    <w:name w:val="HTML Keyboard"/>
    <w:qFormat/>
    <w:uiPriority w:val="0"/>
    <w:rPr>
      <w:rFonts w:ascii="Courier New" w:hAnsi="Courier New"/>
      <w:sz w:val="20"/>
      <w:szCs w:val="20"/>
    </w:rPr>
  </w:style>
  <w:style w:type="character" w:styleId="54">
    <w:name w:val="HTML Sample"/>
    <w:qFormat/>
    <w:uiPriority w:val="0"/>
    <w:rPr>
      <w:rFonts w:ascii="Courier New" w:hAnsi="Courier New"/>
    </w:rPr>
  </w:style>
  <w:style w:type="character" w:customStyle="1" w:styleId="55">
    <w:name w:val="标题 1 Char"/>
    <w:basedOn w:val="40"/>
    <w:link w:val="2"/>
    <w:qFormat/>
    <w:uiPriority w:val="0"/>
    <w:rPr>
      <w:rFonts w:ascii="Times New Roman" w:hAnsi="Times New Roman" w:eastAsia="宋体" w:cs="Times New Roman"/>
      <w:b/>
      <w:bCs/>
      <w:kern w:val="44"/>
      <w:sz w:val="44"/>
      <w:szCs w:val="44"/>
    </w:rPr>
  </w:style>
  <w:style w:type="character" w:customStyle="1" w:styleId="56">
    <w:name w:val="标题 2 Char"/>
    <w:basedOn w:val="40"/>
    <w:link w:val="3"/>
    <w:qFormat/>
    <w:uiPriority w:val="9"/>
    <w:rPr>
      <w:rFonts w:ascii="Cambria" w:hAnsi="Cambria" w:eastAsia="宋体" w:cs="Times New Roman"/>
      <w:b/>
      <w:bCs/>
      <w:color w:val="4F81BD"/>
      <w:sz w:val="26"/>
      <w:szCs w:val="26"/>
    </w:rPr>
  </w:style>
  <w:style w:type="character" w:customStyle="1" w:styleId="57">
    <w:name w:val="标题 3 Char"/>
    <w:basedOn w:val="40"/>
    <w:link w:val="4"/>
    <w:qFormat/>
    <w:uiPriority w:val="0"/>
    <w:rPr>
      <w:rFonts w:ascii="Times New Roman" w:hAnsi="Times New Roman" w:eastAsia="宋体" w:cs="Times New Roman"/>
      <w:b/>
      <w:bCs/>
      <w:sz w:val="32"/>
      <w:szCs w:val="32"/>
    </w:rPr>
  </w:style>
  <w:style w:type="character" w:customStyle="1" w:styleId="58">
    <w:name w:val="标题 4 Char"/>
    <w:basedOn w:val="40"/>
    <w:link w:val="5"/>
    <w:qFormat/>
    <w:uiPriority w:val="0"/>
    <w:rPr>
      <w:rFonts w:ascii="Arial" w:hAnsi="Arial" w:eastAsia="黑体" w:cs="Times New Roman"/>
      <w:b/>
      <w:bCs/>
      <w:sz w:val="28"/>
      <w:szCs w:val="28"/>
    </w:rPr>
  </w:style>
  <w:style w:type="character" w:customStyle="1" w:styleId="59">
    <w:name w:val="标题 5 Char"/>
    <w:basedOn w:val="40"/>
    <w:link w:val="6"/>
    <w:qFormat/>
    <w:uiPriority w:val="0"/>
    <w:rPr>
      <w:rFonts w:ascii="Times New Roman" w:hAnsi="Times New Roman" w:eastAsia="宋体" w:cs="Times New Roman"/>
      <w:b/>
      <w:bCs/>
      <w:sz w:val="28"/>
      <w:szCs w:val="28"/>
    </w:rPr>
  </w:style>
  <w:style w:type="character" w:customStyle="1" w:styleId="60">
    <w:name w:val="标题 6 Char"/>
    <w:basedOn w:val="40"/>
    <w:link w:val="7"/>
    <w:qFormat/>
    <w:uiPriority w:val="0"/>
    <w:rPr>
      <w:rFonts w:ascii="Arial" w:hAnsi="Arial" w:eastAsia="黑体" w:cs="Times New Roman"/>
      <w:b/>
      <w:bCs/>
      <w:sz w:val="24"/>
      <w:szCs w:val="24"/>
    </w:rPr>
  </w:style>
  <w:style w:type="character" w:customStyle="1" w:styleId="61">
    <w:name w:val="标题 7 Char"/>
    <w:basedOn w:val="40"/>
    <w:link w:val="8"/>
    <w:qFormat/>
    <w:uiPriority w:val="0"/>
    <w:rPr>
      <w:rFonts w:ascii="Times New Roman" w:hAnsi="Times New Roman" w:eastAsia="宋体" w:cs="Times New Roman"/>
      <w:b/>
      <w:bCs/>
      <w:sz w:val="24"/>
      <w:szCs w:val="24"/>
    </w:rPr>
  </w:style>
  <w:style w:type="character" w:customStyle="1" w:styleId="62">
    <w:name w:val="标题 8 Char"/>
    <w:basedOn w:val="40"/>
    <w:link w:val="9"/>
    <w:qFormat/>
    <w:uiPriority w:val="0"/>
    <w:rPr>
      <w:rFonts w:ascii="Arial" w:hAnsi="Arial" w:eastAsia="黑体" w:cs="Times New Roman"/>
      <w:sz w:val="24"/>
      <w:szCs w:val="24"/>
    </w:rPr>
  </w:style>
  <w:style w:type="character" w:customStyle="1" w:styleId="63">
    <w:name w:val="标题 9 Char"/>
    <w:basedOn w:val="40"/>
    <w:link w:val="10"/>
    <w:qFormat/>
    <w:uiPriority w:val="0"/>
    <w:rPr>
      <w:rFonts w:ascii="Arial" w:hAnsi="Arial" w:eastAsia="黑体" w:cs="Times New Roman"/>
      <w:szCs w:val="21"/>
    </w:rPr>
  </w:style>
  <w:style w:type="character" w:customStyle="1" w:styleId="64">
    <w:name w:val="页眉 Char"/>
    <w:basedOn w:val="40"/>
    <w:link w:val="28"/>
    <w:qFormat/>
    <w:uiPriority w:val="99"/>
    <w:rPr>
      <w:rFonts w:ascii="Times New Roman" w:hAnsi="Times New Roman" w:eastAsia="宋体" w:cs="Times New Roman"/>
      <w:sz w:val="18"/>
      <w:szCs w:val="18"/>
    </w:rPr>
  </w:style>
  <w:style w:type="character" w:customStyle="1" w:styleId="65">
    <w:name w:val="页脚 Char"/>
    <w:basedOn w:val="40"/>
    <w:link w:val="27"/>
    <w:qFormat/>
    <w:uiPriority w:val="99"/>
    <w:rPr>
      <w:rFonts w:ascii="Times New Roman" w:hAnsi="Times New Roman" w:eastAsia="宋体" w:cs="Times New Roman"/>
      <w:sz w:val="18"/>
      <w:szCs w:val="18"/>
    </w:rPr>
  </w:style>
  <w:style w:type="paragraph" w:customStyle="1" w:styleId="66">
    <w:name w:val="标题 21"/>
    <w:basedOn w:val="1"/>
    <w:next w:val="1"/>
    <w:unhideWhenUsed/>
    <w:qFormat/>
    <w:uiPriority w:val="9"/>
    <w:pPr>
      <w:keepNext/>
      <w:keepLines/>
      <w:spacing w:before="200"/>
      <w:outlineLvl w:val="1"/>
    </w:pPr>
    <w:rPr>
      <w:rFonts w:ascii="Cambria" w:hAnsi="Cambria"/>
      <w:b/>
      <w:bCs/>
      <w:color w:val="4F81BD"/>
      <w:sz w:val="26"/>
      <w:szCs w:val="26"/>
    </w:rPr>
  </w:style>
  <w:style w:type="paragraph" w:customStyle="1" w:styleId="67">
    <w:name w:val="列出段落1"/>
    <w:basedOn w:val="1"/>
    <w:qFormat/>
    <w:uiPriority w:val="99"/>
    <w:pPr>
      <w:ind w:firstLine="420" w:firstLineChars="200"/>
    </w:pPr>
    <w:rPr>
      <w:rFonts w:ascii="Calibri" w:hAnsi="Calibri"/>
      <w:szCs w:val="22"/>
    </w:rPr>
  </w:style>
  <w:style w:type="paragraph" w:customStyle="1" w:styleId="68">
    <w:name w:val="Cover text 2"/>
    <w:basedOn w:val="1"/>
    <w:qFormat/>
    <w:uiPriority w:val="0"/>
    <w:pPr>
      <w:widowControl/>
      <w:suppressAutoHyphens/>
      <w:autoSpaceDN w:val="0"/>
      <w:spacing w:before="120" w:after="120" w:line="360" w:lineRule="auto"/>
      <w:jc w:val="center"/>
      <w:textAlignment w:val="baseline"/>
    </w:pPr>
    <w:rPr>
      <w:rFonts w:ascii="Arial" w:hAnsi="Arial" w:eastAsia="Times New Roman" w:cs="Arial"/>
      <w:kern w:val="0"/>
      <w:sz w:val="40"/>
      <w:szCs w:val="40"/>
    </w:rPr>
  </w:style>
  <w:style w:type="character" w:customStyle="1" w:styleId="69">
    <w:name w:val="批注文字 Char"/>
    <w:basedOn w:val="40"/>
    <w:link w:val="18"/>
    <w:qFormat/>
    <w:uiPriority w:val="0"/>
    <w:rPr>
      <w:rFonts w:ascii="Calibri" w:hAnsi="Calibri" w:eastAsia="宋体" w:cs="Times New Roman"/>
      <w:kern w:val="0"/>
      <w:sz w:val="20"/>
      <w:szCs w:val="20"/>
    </w:rPr>
  </w:style>
  <w:style w:type="character" w:customStyle="1" w:styleId="70">
    <w:name w:val="文档结构图 Char"/>
    <w:basedOn w:val="40"/>
    <w:link w:val="17"/>
    <w:qFormat/>
    <w:uiPriority w:val="0"/>
    <w:rPr>
      <w:rFonts w:ascii="宋体" w:hAnsi="Calibri" w:eastAsia="宋体" w:cs="Times New Roman"/>
      <w:kern w:val="0"/>
      <w:sz w:val="18"/>
      <w:szCs w:val="18"/>
    </w:rPr>
  </w:style>
  <w:style w:type="character" w:customStyle="1" w:styleId="71">
    <w:name w:val="批注框文本 Char"/>
    <w:basedOn w:val="40"/>
    <w:link w:val="26"/>
    <w:qFormat/>
    <w:uiPriority w:val="99"/>
    <w:rPr>
      <w:rFonts w:ascii="宋体" w:hAnsi="Calibri" w:eastAsia="宋体" w:cs="Times New Roman"/>
      <w:kern w:val="0"/>
      <w:sz w:val="18"/>
      <w:szCs w:val="18"/>
    </w:rPr>
  </w:style>
  <w:style w:type="character" w:customStyle="1" w:styleId="72">
    <w:name w:val="批注主题 Char"/>
    <w:basedOn w:val="69"/>
    <w:link w:val="35"/>
    <w:qFormat/>
    <w:uiPriority w:val="99"/>
    <w:rPr>
      <w:rFonts w:ascii="Calibri" w:hAnsi="Calibri" w:eastAsia="宋体" w:cs="Times New Roman"/>
      <w:b/>
      <w:bCs/>
      <w:kern w:val="0"/>
      <w:sz w:val="20"/>
      <w:szCs w:val="20"/>
    </w:rPr>
  </w:style>
  <w:style w:type="paragraph" w:customStyle="1" w:styleId="73">
    <w:name w:val="1111111"/>
    <w:basedOn w:val="3"/>
    <w:link w:val="74"/>
    <w:qFormat/>
    <w:uiPriority w:val="0"/>
    <w:pPr>
      <w:numPr>
        <w:ilvl w:val="1"/>
        <w:numId w:val="1"/>
      </w:numPr>
    </w:pPr>
  </w:style>
  <w:style w:type="character" w:customStyle="1" w:styleId="74">
    <w:name w:val="1111111 Char"/>
    <w:link w:val="73"/>
    <w:qFormat/>
    <w:uiPriority w:val="0"/>
    <w:rPr>
      <w:rFonts w:ascii="Cambria" w:hAnsi="Cambria" w:eastAsia="宋体" w:cs="Times New Roman"/>
      <w:b/>
      <w:bCs/>
      <w:color w:val="4F81BD"/>
      <w:sz w:val="26"/>
      <w:szCs w:val="26"/>
    </w:rPr>
  </w:style>
  <w:style w:type="paragraph" w:customStyle="1" w:styleId="75">
    <w:name w:val="修订1"/>
    <w:hidden/>
    <w:semiHidden/>
    <w:qFormat/>
    <w:uiPriority w:val="99"/>
    <w:pPr>
      <w:numPr>
        <w:ilvl w:val="3"/>
        <w:numId w:val="1"/>
      </w:numPr>
    </w:pPr>
    <w:rPr>
      <w:rFonts w:ascii="Calibri" w:hAnsi="Calibri" w:eastAsia="宋体" w:cs="Times New Roman"/>
      <w:kern w:val="2"/>
      <w:sz w:val="21"/>
      <w:szCs w:val="22"/>
      <w:lang w:val="en-US" w:eastAsia="zh-CN" w:bidi="ar-SA"/>
    </w:rPr>
  </w:style>
  <w:style w:type="character" w:customStyle="1" w:styleId="76">
    <w:name w:val="标题 2 Char1"/>
    <w:semiHidden/>
    <w:qFormat/>
    <w:uiPriority w:val="9"/>
    <w:rPr>
      <w:rFonts w:ascii="Cambria" w:hAnsi="Cambria" w:eastAsia="宋体" w:cs="Times New Roman"/>
      <w:b/>
      <w:bCs/>
      <w:sz w:val="32"/>
      <w:szCs w:val="32"/>
    </w:rPr>
  </w:style>
  <w:style w:type="paragraph" w:customStyle="1" w:styleId="77">
    <w:name w:val="无间隔1"/>
    <w:link w:val="78"/>
    <w:qFormat/>
    <w:uiPriority w:val="1"/>
    <w:rPr>
      <w:rFonts w:ascii="Calibri" w:hAnsi="Calibri" w:eastAsia="宋体" w:cs="Times New Roman"/>
      <w:sz w:val="22"/>
      <w:lang w:val="en-US" w:eastAsia="zh-CN" w:bidi="ar-SA"/>
    </w:rPr>
  </w:style>
  <w:style w:type="character" w:customStyle="1" w:styleId="78">
    <w:name w:val="无间隔 Char"/>
    <w:link w:val="77"/>
    <w:qFormat/>
    <w:uiPriority w:val="1"/>
    <w:rPr>
      <w:rFonts w:ascii="Calibri" w:hAnsi="Calibri" w:eastAsia="宋体" w:cs="Times New Roman"/>
      <w:kern w:val="0"/>
      <w:sz w:val="22"/>
      <w:szCs w:val="20"/>
    </w:rPr>
  </w:style>
  <w:style w:type="paragraph" w:customStyle="1" w:styleId="79">
    <w:name w:val="章标题"/>
    <w:next w:val="1"/>
    <w:qFormat/>
    <w:uiPriority w:val="0"/>
    <w:pPr>
      <w:numPr>
        <w:ilvl w:val="1"/>
        <w:numId w:val="2"/>
      </w:numPr>
      <w:tabs>
        <w:tab w:val="left" w:pos="420"/>
      </w:tabs>
      <w:spacing w:before="120" w:after="120" w:line="360" w:lineRule="auto"/>
      <w:jc w:val="both"/>
      <w:outlineLvl w:val="1"/>
    </w:pPr>
    <w:rPr>
      <w:rFonts w:ascii="黑体" w:hAnsi="Times New Roman" w:eastAsia="黑体" w:cs="Times New Roman"/>
      <w:sz w:val="24"/>
      <w:lang w:val="en-US" w:eastAsia="zh-CN" w:bidi="ar-SA"/>
    </w:rPr>
  </w:style>
  <w:style w:type="paragraph" w:customStyle="1" w:styleId="80">
    <w:name w:val="一级条标题"/>
    <w:basedOn w:val="79"/>
    <w:next w:val="81"/>
    <w:link w:val="145"/>
    <w:qFormat/>
    <w:uiPriority w:val="0"/>
    <w:pPr>
      <w:numPr>
        <w:ilvl w:val="2"/>
      </w:numPr>
      <w:tabs>
        <w:tab w:val="left" w:pos="525"/>
        <w:tab w:val="clear" w:pos="420"/>
      </w:tabs>
      <w:spacing w:before="0" w:after="0"/>
      <w:outlineLvl w:val="2"/>
    </w:pPr>
    <w:rPr>
      <w:rFonts w:ascii="宋体" w:hAnsi="宋体" w:eastAsia="宋体"/>
    </w:rPr>
  </w:style>
  <w:style w:type="paragraph" w:customStyle="1" w:styleId="81">
    <w:name w:val="段"/>
    <w:link w:val="154"/>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82">
    <w:name w:val="二级条标题"/>
    <w:basedOn w:val="80"/>
    <w:next w:val="81"/>
    <w:link w:val="158"/>
    <w:qFormat/>
    <w:uiPriority w:val="0"/>
    <w:pPr>
      <w:numPr>
        <w:ilvl w:val="3"/>
      </w:numPr>
      <w:tabs>
        <w:tab w:val="clear" w:pos="525"/>
      </w:tabs>
      <w:outlineLvl w:val="3"/>
    </w:pPr>
  </w:style>
  <w:style w:type="paragraph" w:customStyle="1" w:styleId="83">
    <w:name w:val="三级条标题"/>
    <w:basedOn w:val="82"/>
    <w:next w:val="1"/>
    <w:qFormat/>
    <w:uiPriority w:val="0"/>
    <w:pPr>
      <w:numPr>
        <w:ilvl w:val="4"/>
      </w:numPr>
      <w:tabs>
        <w:tab w:val="left" w:pos="945"/>
      </w:tabs>
      <w:outlineLvl w:val="4"/>
    </w:pPr>
  </w:style>
  <w:style w:type="paragraph" w:customStyle="1" w:styleId="84">
    <w:name w:val="四级条标题"/>
    <w:basedOn w:val="83"/>
    <w:next w:val="1"/>
    <w:qFormat/>
    <w:uiPriority w:val="0"/>
    <w:pPr>
      <w:numPr>
        <w:ilvl w:val="5"/>
      </w:numPr>
      <w:tabs>
        <w:tab w:val="left" w:pos="1155"/>
        <w:tab w:val="clear" w:pos="945"/>
      </w:tabs>
      <w:outlineLvl w:val="5"/>
    </w:pPr>
  </w:style>
  <w:style w:type="paragraph" w:customStyle="1" w:styleId="85">
    <w:name w:val="五级条标题"/>
    <w:basedOn w:val="84"/>
    <w:next w:val="1"/>
    <w:qFormat/>
    <w:uiPriority w:val="0"/>
    <w:pPr>
      <w:numPr>
        <w:ilvl w:val="6"/>
      </w:numPr>
      <w:tabs>
        <w:tab w:val="left" w:pos="1407"/>
        <w:tab w:val="clear" w:pos="1155"/>
      </w:tabs>
      <w:outlineLvl w:val="6"/>
    </w:pPr>
  </w:style>
  <w:style w:type="character" w:customStyle="1" w:styleId="86">
    <w:name w:val="正文文本缩进 Char"/>
    <w:basedOn w:val="40"/>
    <w:link w:val="21"/>
    <w:qFormat/>
    <w:uiPriority w:val="0"/>
    <w:rPr>
      <w:rFonts w:ascii="Calibri" w:hAnsi="Calibri" w:eastAsia="宋体" w:cs="Times New Roman"/>
    </w:rPr>
  </w:style>
  <w:style w:type="character" w:customStyle="1" w:styleId="87">
    <w:name w:val="正文首行缩进 2 Char"/>
    <w:basedOn w:val="86"/>
    <w:link w:val="37"/>
    <w:qFormat/>
    <w:uiPriority w:val="0"/>
    <w:rPr>
      <w:rFonts w:ascii="Calibri" w:hAnsi="Calibri" w:eastAsia="宋体" w:cs="Times New Roman"/>
      <w:sz w:val="28"/>
    </w:rPr>
  </w:style>
  <w:style w:type="paragraph" w:customStyle="1" w:styleId="88">
    <w:name w:val="h三级条标题"/>
    <w:basedOn w:val="1"/>
    <w:next w:val="1"/>
    <w:qFormat/>
    <w:uiPriority w:val="0"/>
    <w:pPr>
      <w:widowControl/>
      <w:tabs>
        <w:tab w:val="left" w:pos="945"/>
        <w:tab w:val="left" w:pos="1080"/>
      </w:tabs>
      <w:spacing w:line="360" w:lineRule="auto"/>
      <w:outlineLvl w:val="4"/>
    </w:pPr>
    <w:rPr>
      <w:kern w:val="0"/>
      <w:sz w:val="24"/>
      <w:szCs w:val="20"/>
    </w:rPr>
  </w:style>
  <w:style w:type="paragraph" w:customStyle="1" w:styleId="89">
    <w:name w:val="h这是章节的"/>
    <w:basedOn w:val="79"/>
    <w:qFormat/>
    <w:uiPriority w:val="0"/>
    <w:pPr>
      <w:numPr>
        <w:ilvl w:val="0"/>
        <w:numId w:val="0"/>
      </w:numPr>
      <w:spacing w:beforeLines="50" w:afterLines="50" w:line="240" w:lineRule="auto"/>
    </w:pPr>
    <w:rPr>
      <w:rFonts w:cs="宋体"/>
      <w:b/>
      <w:bCs/>
    </w:rPr>
  </w:style>
  <w:style w:type="paragraph" w:customStyle="1" w:styleId="90">
    <w:name w:val="h这是正文的"/>
    <w:basedOn w:val="37"/>
    <w:qFormat/>
    <w:uiPriority w:val="0"/>
    <w:pPr>
      <w:spacing w:line="360" w:lineRule="auto"/>
      <w:ind w:left="200" w:firstLine="200"/>
    </w:pPr>
    <w:rPr>
      <w:rFonts w:cs="宋体"/>
      <w:sz w:val="24"/>
    </w:rPr>
  </w:style>
  <w:style w:type="paragraph" w:customStyle="1" w:styleId="91">
    <w:name w:val="样式 段 + 首行缩进:  2 字符"/>
    <w:basedOn w:val="1"/>
    <w:qFormat/>
    <w:uiPriority w:val="0"/>
    <w:pPr>
      <w:widowControl/>
      <w:spacing w:line="360" w:lineRule="auto"/>
      <w:jc w:val="center"/>
      <w:outlineLvl w:val="1"/>
    </w:pPr>
    <w:rPr>
      <w:rFonts w:ascii="黑体" w:hAnsi="宋体" w:eastAsia="黑体" w:cs="宋体"/>
      <w:kern w:val="0"/>
      <w:sz w:val="32"/>
      <w:szCs w:val="21"/>
    </w:rPr>
  </w:style>
  <w:style w:type="paragraph" w:customStyle="1" w:styleId="92">
    <w:name w:val="Char Char Char Char Char Char"/>
    <w:basedOn w:val="1"/>
    <w:qFormat/>
    <w:uiPriority w:val="0"/>
    <w:pPr>
      <w:spacing w:line="360" w:lineRule="auto"/>
    </w:pPr>
    <w:rPr>
      <w:rFonts w:ascii="Tahoma" w:hAnsi="Tahoma"/>
      <w:sz w:val="24"/>
      <w:szCs w:val="20"/>
    </w:rPr>
  </w:style>
  <w:style w:type="character" w:customStyle="1" w:styleId="93">
    <w:name w:val="正文文本 Char"/>
    <w:basedOn w:val="40"/>
    <w:link w:val="19"/>
    <w:qFormat/>
    <w:uiPriority w:val="99"/>
    <w:rPr>
      <w:rFonts w:ascii="Calibri" w:hAnsi="Calibri" w:eastAsia="宋体" w:cs="Times New Roman"/>
    </w:rPr>
  </w:style>
  <w:style w:type="paragraph" w:customStyle="1" w:styleId="94">
    <w:name w:val="表格标题"/>
    <w:basedOn w:val="1"/>
    <w:next w:val="1"/>
    <w:qFormat/>
    <w:uiPriority w:val="0"/>
    <w:pPr>
      <w:jc w:val="center"/>
    </w:pPr>
    <w:rPr>
      <w:rFonts w:cs="宋体"/>
      <w:b/>
      <w:bCs/>
      <w:smallCaps/>
      <w:szCs w:val="20"/>
    </w:rPr>
  </w:style>
  <w:style w:type="paragraph" w:customStyle="1" w:styleId="95">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96">
    <w:name w:val="表格文本 居左"/>
    <w:basedOn w:val="1"/>
    <w:link w:val="97"/>
    <w:unhideWhenUsed/>
    <w:qFormat/>
    <w:uiPriority w:val="0"/>
    <w:pPr>
      <w:wordWrap w:val="0"/>
      <w:jc w:val="left"/>
    </w:pPr>
    <w:rPr>
      <w:rFonts w:ascii="宋体" w:hAnsi="宋体"/>
      <w:szCs w:val="21"/>
    </w:rPr>
  </w:style>
  <w:style w:type="character" w:customStyle="1" w:styleId="97">
    <w:name w:val="表格文本 居左 Char"/>
    <w:link w:val="96"/>
    <w:qFormat/>
    <w:uiPriority w:val="0"/>
    <w:rPr>
      <w:rFonts w:ascii="宋体" w:hAnsi="宋体" w:eastAsia="宋体" w:cs="Times New Roman"/>
      <w:szCs w:val="21"/>
    </w:rPr>
  </w:style>
  <w:style w:type="character" w:customStyle="1" w:styleId="98">
    <w:name w:val="HTML 地址 Char"/>
    <w:basedOn w:val="40"/>
    <w:link w:val="22"/>
    <w:qFormat/>
    <w:uiPriority w:val="0"/>
    <w:rPr>
      <w:rFonts w:ascii="Times New Roman" w:hAnsi="Times New Roman" w:eastAsia="宋体" w:cs="Times New Roman"/>
      <w:i/>
      <w:iCs/>
      <w:szCs w:val="24"/>
    </w:rPr>
  </w:style>
  <w:style w:type="character" w:customStyle="1" w:styleId="99">
    <w:name w:val="HTML 预设格式 Char"/>
    <w:basedOn w:val="40"/>
    <w:link w:val="33"/>
    <w:qFormat/>
    <w:uiPriority w:val="0"/>
    <w:rPr>
      <w:rFonts w:ascii="Courier New" w:hAnsi="Courier New" w:eastAsia="宋体" w:cs="Times New Roman"/>
      <w:sz w:val="20"/>
      <w:szCs w:val="20"/>
    </w:rPr>
  </w:style>
  <w:style w:type="character" w:customStyle="1" w:styleId="100">
    <w:name w:val="标题 Char"/>
    <w:basedOn w:val="40"/>
    <w:link w:val="20"/>
    <w:qFormat/>
    <w:uiPriority w:val="0"/>
    <w:rPr>
      <w:rFonts w:ascii="Arial" w:hAnsi="Arial" w:eastAsia="宋体" w:cs="Times New Roman"/>
      <w:b/>
      <w:bCs/>
      <w:sz w:val="32"/>
      <w:szCs w:val="32"/>
    </w:rPr>
  </w:style>
  <w:style w:type="paragraph" w:customStyle="1" w:styleId="101">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102">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103">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104">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05">
    <w:name w:val="标准书眉_偶数页"/>
    <w:basedOn w:val="104"/>
    <w:next w:val="1"/>
    <w:qFormat/>
    <w:uiPriority w:val="0"/>
    <w:pPr>
      <w:jc w:val="left"/>
    </w:pPr>
  </w:style>
  <w:style w:type="paragraph" w:customStyle="1" w:styleId="106">
    <w:name w:val="标准书眉一"/>
    <w:qFormat/>
    <w:uiPriority w:val="0"/>
    <w:pPr>
      <w:numPr>
        <w:ilvl w:val="6"/>
        <w:numId w:val="1"/>
      </w:numPr>
      <w:jc w:val="both"/>
    </w:pPr>
    <w:rPr>
      <w:rFonts w:ascii="Times New Roman" w:hAnsi="Times New Roman" w:eastAsia="宋体" w:cs="Times New Roman"/>
      <w:lang w:val="en-US" w:eastAsia="zh-CN" w:bidi="ar-SA"/>
    </w:rPr>
  </w:style>
  <w:style w:type="paragraph" w:customStyle="1" w:styleId="107">
    <w:name w:val="前言、引言标题"/>
    <w:next w:val="1"/>
    <w:link w:val="156"/>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08">
    <w:name w:val="参考文献、索引标题"/>
    <w:basedOn w:val="107"/>
    <w:next w:val="1"/>
    <w:qFormat/>
    <w:uiPriority w:val="0"/>
    <w:pPr>
      <w:spacing w:after="200"/>
    </w:pPr>
    <w:rPr>
      <w:sz w:val="21"/>
    </w:rPr>
  </w:style>
  <w:style w:type="character" w:customStyle="1" w:styleId="109">
    <w:name w:val="发布"/>
    <w:qFormat/>
    <w:uiPriority w:val="0"/>
    <w:rPr>
      <w:rFonts w:ascii="黑体" w:eastAsia="黑体"/>
      <w:spacing w:val="22"/>
      <w:w w:val="100"/>
      <w:position w:val="3"/>
      <w:sz w:val="28"/>
    </w:rPr>
  </w:style>
  <w:style w:type="paragraph" w:customStyle="1" w:styleId="110">
    <w:name w:val="发布部门"/>
    <w:next w:val="81"/>
    <w:qFormat/>
    <w:uiPriority w:val="0"/>
    <w:pPr>
      <w:framePr w:w="7433" w:h="585" w:hRule="exact" w:hSpace="180" w:vSpace="180" w:wrap="around" w:vAnchor="margin" w:hAnchor="margin" w:xAlign="center" w:y="14401" w:anchorLock="1"/>
      <w:jc w:val="center"/>
    </w:pPr>
    <w:rPr>
      <w:rFonts w:ascii="宋体" w:hAnsi="Times New Roman" w:eastAsia="宋体" w:cs="Times New Roman"/>
      <w:b/>
      <w:spacing w:val="20"/>
      <w:w w:val="135"/>
      <w:sz w:val="36"/>
      <w:lang w:val="en-US" w:eastAsia="zh-CN" w:bidi="ar-SA"/>
    </w:rPr>
  </w:style>
  <w:style w:type="paragraph" w:customStyle="1" w:styleId="111">
    <w:name w:val="发布日期"/>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112">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13">
    <w:name w:val="封面标准号2"/>
    <w:basedOn w:val="112"/>
    <w:qFormat/>
    <w:uiPriority w:val="0"/>
    <w:pPr>
      <w:framePr w:w="9138" w:h="1244" w:hRule="exact" w:wrap="around" w:vAnchor="page" w:hAnchor="margin" w:y="2908"/>
      <w:adjustRightInd w:val="0"/>
      <w:spacing w:before="357" w:line="280" w:lineRule="exact"/>
    </w:pPr>
  </w:style>
  <w:style w:type="paragraph" w:customStyle="1" w:styleId="114">
    <w:name w:val="封面标准代替信息"/>
    <w:basedOn w:val="113"/>
    <w:qFormat/>
    <w:uiPriority w:val="0"/>
    <w:pPr>
      <w:spacing w:before="57"/>
    </w:pPr>
    <w:rPr>
      <w:rFonts w:ascii="宋体"/>
      <w:sz w:val="21"/>
    </w:rPr>
  </w:style>
  <w:style w:type="paragraph" w:customStyle="1" w:styleId="115">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16">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17">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118">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119">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120">
    <w:name w:val="封面正文"/>
    <w:qFormat/>
    <w:uiPriority w:val="0"/>
    <w:pPr>
      <w:jc w:val="both"/>
    </w:pPr>
    <w:rPr>
      <w:rFonts w:ascii="Times New Roman" w:hAnsi="Times New Roman" w:eastAsia="宋体" w:cs="Times New Roman"/>
      <w:lang w:val="en-US" w:eastAsia="zh-CN" w:bidi="ar-SA"/>
    </w:rPr>
  </w:style>
  <w:style w:type="paragraph" w:customStyle="1" w:styleId="121">
    <w:name w:val="附录标识"/>
    <w:basedOn w:val="107"/>
    <w:link w:val="157"/>
    <w:qFormat/>
    <w:uiPriority w:val="0"/>
    <w:pPr>
      <w:numPr>
        <w:ilvl w:val="0"/>
        <w:numId w:val="3"/>
      </w:numPr>
      <w:tabs>
        <w:tab w:val="left" w:pos="6405"/>
      </w:tabs>
      <w:spacing w:after="200"/>
    </w:pPr>
    <w:rPr>
      <w:sz w:val="21"/>
    </w:rPr>
  </w:style>
  <w:style w:type="paragraph" w:customStyle="1" w:styleId="122">
    <w:name w:val="附录表标题"/>
    <w:next w:val="81"/>
    <w:qFormat/>
    <w:uiPriority w:val="0"/>
    <w:pPr>
      <w:numPr>
        <w:ilvl w:val="0"/>
        <w:numId w:val="4"/>
      </w:numPr>
      <w:jc w:val="center"/>
      <w:textAlignment w:val="baseline"/>
    </w:pPr>
    <w:rPr>
      <w:rFonts w:ascii="黑体" w:hAnsi="Times New Roman" w:eastAsia="黑体" w:cs="Times New Roman"/>
      <w:kern w:val="21"/>
      <w:sz w:val="21"/>
      <w:lang w:val="en-US" w:eastAsia="zh-CN" w:bidi="ar-SA"/>
    </w:rPr>
  </w:style>
  <w:style w:type="paragraph" w:customStyle="1" w:styleId="123">
    <w:name w:val="附录章标题"/>
    <w:next w:val="81"/>
    <w:qFormat/>
    <w:uiPriority w:val="0"/>
    <w:pPr>
      <w:numPr>
        <w:ilvl w:val="1"/>
        <w:numId w:val="5"/>
      </w:numPr>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124">
    <w:name w:val="附录一级条标题"/>
    <w:basedOn w:val="123"/>
    <w:next w:val="81"/>
    <w:qFormat/>
    <w:uiPriority w:val="0"/>
    <w:pPr>
      <w:numPr>
        <w:numId w:val="6"/>
      </w:numPr>
      <w:autoSpaceDN w:val="0"/>
      <w:spacing w:beforeLines="0" w:afterLines="0"/>
      <w:outlineLvl w:val="2"/>
    </w:pPr>
  </w:style>
  <w:style w:type="paragraph" w:customStyle="1" w:styleId="125">
    <w:name w:val="附录二级条标题"/>
    <w:basedOn w:val="124"/>
    <w:next w:val="81"/>
    <w:qFormat/>
    <w:uiPriority w:val="0"/>
    <w:pPr>
      <w:numPr>
        <w:ilvl w:val="2"/>
      </w:numPr>
      <w:outlineLvl w:val="3"/>
    </w:pPr>
  </w:style>
  <w:style w:type="paragraph" w:customStyle="1" w:styleId="126">
    <w:name w:val="附录三级条标题"/>
    <w:basedOn w:val="125"/>
    <w:next w:val="81"/>
    <w:qFormat/>
    <w:uiPriority w:val="0"/>
    <w:pPr>
      <w:numPr>
        <w:ilvl w:val="3"/>
      </w:numPr>
      <w:outlineLvl w:val="4"/>
    </w:pPr>
  </w:style>
  <w:style w:type="paragraph" w:customStyle="1" w:styleId="127">
    <w:name w:val="附录四级条标题"/>
    <w:basedOn w:val="126"/>
    <w:next w:val="81"/>
    <w:qFormat/>
    <w:uiPriority w:val="0"/>
    <w:pPr>
      <w:numPr>
        <w:ilvl w:val="4"/>
      </w:numPr>
      <w:outlineLvl w:val="5"/>
    </w:pPr>
  </w:style>
  <w:style w:type="paragraph" w:customStyle="1" w:styleId="128">
    <w:name w:val="附录图标题"/>
    <w:next w:val="81"/>
    <w:qFormat/>
    <w:uiPriority w:val="0"/>
    <w:pPr>
      <w:numPr>
        <w:ilvl w:val="0"/>
        <w:numId w:val="7"/>
      </w:numPr>
      <w:jc w:val="center"/>
    </w:pPr>
    <w:rPr>
      <w:rFonts w:ascii="黑体" w:hAnsi="Times New Roman" w:eastAsia="黑体" w:cs="Times New Roman"/>
      <w:sz w:val="21"/>
      <w:lang w:val="en-US" w:eastAsia="zh-CN" w:bidi="ar-SA"/>
    </w:rPr>
  </w:style>
  <w:style w:type="paragraph" w:customStyle="1" w:styleId="129">
    <w:name w:val="附录五级条标题"/>
    <w:basedOn w:val="127"/>
    <w:next w:val="81"/>
    <w:qFormat/>
    <w:uiPriority w:val="0"/>
    <w:pPr>
      <w:numPr>
        <w:ilvl w:val="6"/>
        <w:numId w:val="8"/>
      </w:numPr>
      <w:outlineLvl w:val="6"/>
    </w:pPr>
  </w:style>
  <w:style w:type="character" w:customStyle="1" w:styleId="130">
    <w:name w:val="个人答复风格"/>
    <w:qFormat/>
    <w:uiPriority w:val="0"/>
    <w:rPr>
      <w:rFonts w:ascii="Arial" w:hAnsi="Arial" w:eastAsia="宋体" w:cs="Arial"/>
      <w:color w:val="auto"/>
      <w:sz w:val="20"/>
    </w:rPr>
  </w:style>
  <w:style w:type="character" w:customStyle="1" w:styleId="131">
    <w:name w:val="个人撰写风格"/>
    <w:qFormat/>
    <w:uiPriority w:val="0"/>
    <w:rPr>
      <w:rFonts w:ascii="Arial" w:hAnsi="Arial" w:eastAsia="宋体" w:cs="Arial"/>
      <w:color w:val="auto"/>
      <w:sz w:val="20"/>
    </w:rPr>
  </w:style>
  <w:style w:type="character" w:customStyle="1" w:styleId="132">
    <w:name w:val="脚注文本 Char"/>
    <w:basedOn w:val="40"/>
    <w:link w:val="30"/>
    <w:qFormat/>
    <w:uiPriority w:val="0"/>
    <w:rPr>
      <w:rFonts w:ascii="Times New Roman" w:hAnsi="Times New Roman" w:eastAsia="宋体" w:cs="Times New Roman"/>
      <w:sz w:val="18"/>
      <w:szCs w:val="18"/>
    </w:rPr>
  </w:style>
  <w:style w:type="paragraph" w:customStyle="1" w:styleId="133">
    <w:name w:val="列项——（一级）"/>
    <w:qFormat/>
    <w:uiPriority w:val="0"/>
    <w:pPr>
      <w:widowControl w:val="0"/>
      <w:jc w:val="both"/>
    </w:pPr>
    <w:rPr>
      <w:rFonts w:ascii="宋体" w:hAnsi="Times New Roman" w:eastAsia="宋体" w:cs="Times New Roman"/>
      <w:sz w:val="21"/>
      <w:lang w:val="en-US" w:eastAsia="zh-CN" w:bidi="ar-SA"/>
    </w:rPr>
  </w:style>
  <w:style w:type="paragraph" w:customStyle="1" w:styleId="134">
    <w:name w:val="列项●（二级）"/>
    <w:qFormat/>
    <w:uiPriority w:val="0"/>
    <w:pPr>
      <w:numPr>
        <w:ilvl w:val="0"/>
        <w:numId w:val="9"/>
      </w:numPr>
      <w:tabs>
        <w:tab w:val="left" w:pos="840"/>
      </w:tabs>
      <w:ind w:left="600" w:leftChars="400" w:hanging="200" w:hangingChars="200"/>
      <w:jc w:val="both"/>
    </w:pPr>
    <w:rPr>
      <w:rFonts w:ascii="宋体" w:hAnsi="Times New Roman" w:eastAsia="宋体" w:cs="Times New Roman"/>
      <w:sz w:val="21"/>
      <w:lang w:val="en-US" w:eastAsia="zh-CN" w:bidi="ar-SA"/>
    </w:rPr>
  </w:style>
  <w:style w:type="paragraph" w:customStyle="1" w:styleId="135">
    <w:name w:val="目次、标准名称标题"/>
    <w:basedOn w:val="107"/>
    <w:next w:val="81"/>
    <w:qFormat/>
    <w:uiPriority w:val="0"/>
    <w:pPr>
      <w:spacing w:line="460" w:lineRule="exact"/>
    </w:pPr>
  </w:style>
  <w:style w:type="paragraph" w:customStyle="1" w:styleId="136">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37">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38">
    <w:name w:val="其他发布部门"/>
    <w:basedOn w:val="110"/>
    <w:qFormat/>
    <w:uiPriority w:val="0"/>
    <w:pPr>
      <w:spacing w:line="0" w:lineRule="atLeast"/>
    </w:pPr>
    <w:rPr>
      <w:rFonts w:ascii="黑体" w:eastAsia="黑体"/>
      <w:b w:val="0"/>
    </w:rPr>
  </w:style>
  <w:style w:type="paragraph" w:customStyle="1" w:styleId="139">
    <w:name w:val="实施日期"/>
    <w:basedOn w:val="1"/>
    <w:qFormat/>
    <w:uiPriority w:val="0"/>
    <w:pPr>
      <w:jc w:val="right"/>
    </w:pPr>
    <w:rPr>
      <w:rFonts w:ascii="黑体" w:hAnsi="黑体" w:eastAsia="黑体"/>
      <w:sz w:val="28"/>
    </w:rPr>
  </w:style>
  <w:style w:type="paragraph" w:customStyle="1" w:styleId="140">
    <w:name w:val="示例"/>
    <w:next w:val="81"/>
    <w:qFormat/>
    <w:uiPriority w:val="0"/>
    <w:pPr>
      <w:numPr>
        <w:ilvl w:val="0"/>
        <w:numId w:val="10"/>
      </w:numPr>
      <w:tabs>
        <w:tab w:val="left" w:pos="816"/>
      </w:tabs>
      <w:ind w:firstLine="419" w:firstLineChars="233"/>
      <w:jc w:val="both"/>
    </w:pPr>
    <w:rPr>
      <w:rFonts w:ascii="宋体" w:hAnsi="Times New Roman" w:eastAsia="宋体" w:cs="Times New Roman"/>
      <w:sz w:val="18"/>
      <w:lang w:val="en-US" w:eastAsia="zh-CN" w:bidi="ar-SA"/>
    </w:rPr>
  </w:style>
  <w:style w:type="paragraph" w:customStyle="1" w:styleId="141">
    <w:name w:val="数字编号列项（二级）"/>
    <w:qFormat/>
    <w:uiPriority w:val="0"/>
    <w:pPr>
      <w:ind w:left="1260" w:leftChars="400" w:hanging="420" w:hangingChars="200"/>
      <w:jc w:val="both"/>
    </w:pPr>
    <w:rPr>
      <w:rFonts w:ascii="宋体" w:hAnsi="Times New Roman" w:eastAsia="宋体" w:cs="Times New Roman"/>
      <w:sz w:val="21"/>
      <w:lang w:val="en-US" w:eastAsia="zh-CN" w:bidi="ar-SA"/>
    </w:rPr>
  </w:style>
  <w:style w:type="paragraph" w:customStyle="1" w:styleId="142">
    <w:name w:val="条文脚注"/>
    <w:basedOn w:val="30"/>
    <w:qFormat/>
    <w:uiPriority w:val="0"/>
    <w:pPr>
      <w:ind w:left="780" w:leftChars="200" w:hanging="360" w:hangingChars="200"/>
      <w:jc w:val="both"/>
    </w:pPr>
    <w:rPr>
      <w:rFonts w:ascii="宋体"/>
    </w:rPr>
  </w:style>
  <w:style w:type="paragraph" w:customStyle="1" w:styleId="143">
    <w:name w:val="图表脚注"/>
    <w:next w:val="81"/>
    <w:qFormat/>
    <w:uiPriority w:val="0"/>
    <w:pPr>
      <w:jc w:val="both"/>
    </w:pPr>
    <w:rPr>
      <w:rFonts w:ascii="宋体" w:hAnsi="Times New Roman" w:eastAsia="宋体" w:cs="Times New Roman"/>
      <w:sz w:val="18"/>
      <w:lang w:val="en-US" w:eastAsia="zh-CN" w:bidi="ar-SA"/>
    </w:rPr>
  </w:style>
  <w:style w:type="paragraph" w:customStyle="1" w:styleId="144">
    <w:name w:val="文献分类号"/>
    <w:qFormat/>
    <w:uiPriority w:val="0"/>
    <w:pPr>
      <w:framePr w:hSpace="180" w:vSpace="180" w:wrap="around" w:vAnchor="margin" w:hAnchor="margin" w:y="1" w:anchorLock="1"/>
      <w:widowControl w:val="0"/>
      <w:textAlignment w:val="center"/>
    </w:pPr>
    <w:rPr>
      <w:rFonts w:ascii="Times New Roman" w:hAnsi="Times New Roman" w:eastAsia="黑体" w:cs="Times New Roman"/>
      <w:sz w:val="21"/>
      <w:lang w:val="en-US" w:eastAsia="zh-CN" w:bidi="ar-SA"/>
    </w:rPr>
  </w:style>
  <w:style w:type="character" w:customStyle="1" w:styleId="145">
    <w:name w:val="一级条标题 Char"/>
    <w:link w:val="80"/>
    <w:qFormat/>
    <w:uiPriority w:val="0"/>
    <w:rPr>
      <w:rFonts w:ascii="宋体" w:hAnsi="宋体" w:eastAsia="宋体" w:cs="Times New Roman"/>
      <w:kern w:val="0"/>
      <w:sz w:val="24"/>
      <w:szCs w:val="20"/>
    </w:rPr>
  </w:style>
  <w:style w:type="paragraph" w:customStyle="1" w:styleId="146">
    <w:name w:val="正文表标题"/>
    <w:next w:val="81"/>
    <w:qFormat/>
    <w:uiPriority w:val="0"/>
    <w:pPr>
      <w:numPr>
        <w:ilvl w:val="0"/>
        <w:numId w:val="11"/>
      </w:numPr>
      <w:jc w:val="center"/>
    </w:pPr>
    <w:rPr>
      <w:rFonts w:ascii="黑体" w:hAnsi="Times New Roman" w:eastAsia="黑体" w:cs="Times New Roman"/>
      <w:sz w:val="21"/>
      <w:lang w:val="en-US" w:eastAsia="zh-CN" w:bidi="ar-SA"/>
    </w:rPr>
  </w:style>
  <w:style w:type="paragraph" w:customStyle="1" w:styleId="147">
    <w:name w:val="正文图标题"/>
    <w:next w:val="81"/>
    <w:qFormat/>
    <w:uiPriority w:val="0"/>
    <w:pPr>
      <w:numPr>
        <w:ilvl w:val="0"/>
        <w:numId w:val="12"/>
      </w:numPr>
      <w:jc w:val="center"/>
    </w:pPr>
    <w:rPr>
      <w:rFonts w:ascii="黑体" w:hAnsi="Times New Roman" w:eastAsia="黑体" w:cs="Times New Roman"/>
      <w:sz w:val="21"/>
      <w:lang w:val="en-US" w:eastAsia="zh-CN" w:bidi="ar-SA"/>
    </w:rPr>
  </w:style>
  <w:style w:type="paragraph" w:customStyle="1" w:styleId="148">
    <w:name w:val="注："/>
    <w:next w:val="81"/>
    <w:qFormat/>
    <w:uiPriority w:val="0"/>
    <w:pPr>
      <w:widowControl w:val="0"/>
      <w:numPr>
        <w:ilvl w:val="0"/>
        <w:numId w:val="13"/>
      </w:numPr>
      <w:autoSpaceDE w:val="0"/>
      <w:autoSpaceDN w:val="0"/>
      <w:jc w:val="both"/>
    </w:pPr>
    <w:rPr>
      <w:rFonts w:ascii="宋体" w:hAnsi="Times New Roman" w:eastAsia="宋体" w:cs="Times New Roman"/>
      <w:sz w:val="18"/>
      <w:lang w:val="en-US" w:eastAsia="zh-CN" w:bidi="ar-SA"/>
    </w:rPr>
  </w:style>
  <w:style w:type="paragraph" w:customStyle="1" w:styleId="149">
    <w:name w:val="注×："/>
    <w:qFormat/>
    <w:uiPriority w:val="0"/>
    <w:pPr>
      <w:widowControl w:val="0"/>
      <w:numPr>
        <w:ilvl w:val="0"/>
        <w:numId w:val="14"/>
      </w:numPr>
      <w:tabs>
        <w:tab w:val="left" w:pos="630"/>
      </w:tabs>
      <w:autoSpaceDE w:val="0"/>
      <w:autoSpaceDN w:val="0"/>
      <w:jc w:val="both"/>
    </w:pPr>
    <w:rPr>
      <w:rFonts w:ascii="宋体" w:hAnsi="Times New Roman" w:eastAsia="宋体" w:cs="Times New Roman"/>
      <w:sz w:val="18"/>
      <w:lang w:val="en-US" w:eastAsia="zh-CN" w:bidi="ar-SA"/>
    </w:rPr>
  </w:style>
  <w:style w:type="paragraph" w:customStyle="1" w:styleId="150">
    <w:name w:val="字母编号列项（一级）"/>
    <w:qFormat/>
    <w:uiPriority w:val="0"/>
    <w:pPr>
      <w:ind w:left="840" w:leftChars="200" w:hanging="420" w:hangingChars="200"/>
      <w:jc w:val="both"/>
    </w:pPr>
    <w:rPr>
      <w:rFonts w:ascii="宋体" w:hAnsi="Times New Roman" w:eastAsia="宋体" w:cs="Times New Roman"/>
      <w:sz w:val="21"/>
      <w:lang w:val="en-US" w:eastAsia="zh-CN" w:bidi="ar-SA"/>
    </w:rPr>
  </w:style>
  <w:style w:type="character" w:customStyle="1" w:styleId="151">
    <w:name w:val="日期 Char"/>
    <w:basedOn w:val="40"/>
    <w:link w:val="25"/>
    <w:qFormat/>
    <w:uiPriority w:val="0"/>
    <w:rPr>
      <w:rFonts w:ascii="Times New Roman" w:hAnsi="Times New Roman" w:eastAsia="宋体" w:cs="Times New Roman"/>
      <w:szCs w:val="24"/>
    </w:rPr>
  </w:style>
  <w:style w:type="paragraph" w:customStyle="1" w:styleId="152">
    <w:name w:val="列项◆（三级）"/>
    <w:qFormat/>
    <w:uiPriority w:val="0"/>
    <w:pPr>
      <w:numPr>
        <w:ilvl w:val="0"/>
        <w:numId w:val="15"/>
      </w:numPr>
      <w:tabs>
        <w:tab w:val="left" w:pos="960"/>
      </w:tabs>
      <w:ind w:left="800" w:leftChars="600" w:hanging="200" w:hangingChars="200"/>
    </w:pPr>
    <w:rPr>
      <w:rFonts w:ascii="宋体" w:hAnsi="Times New Roman" w:eastAsia="宋体" w:cs="Times New Roman"/>
      <w:sz w:val="21"/>
      <w:lang w:val="en-US" w:eastAsia="zh-CN" w:bidi="ar-SA"/>
    </w:rPr>
  </w:style>
  <w:style w:type="paragraph" w:customStyle="1" w:styleId="153">
    <w:name w:val="编号列项（三级）"/>
    <w:qFormat/>
    <w:uiPriority w:val="0"/>
    <w:pPr>
      <w:numPr>
        <w:ilvl w:val="0"/>
        <w:numId w:val="16"/>
      </w:numPr>
      <w:tabs>
        <w:tab w:val="clear" w:pos="1140"/>
      </w:tabs>
      <w:ind w:left="800" w:leftChars="600" w:hanging="200" w:hangingChars="200"/>
    </w:pPr>
    <w:rPr>
      <w:rFonts w:ascii="宋体" w:hAnsi="Times New Roman" w:eastAsia="宋体" w:cs="Times New Roman"/>
      <w:sz w:val="21"/>
      <w:lang w:val="en-US" w:eastAsia="zh-CN" w:bidi="ar-SA"/>
    </w:rPr>
  </w:style>
  <w:style w:type="character" w:customStyle="1" w:styleId="154">
    <w:name w:val="段 Char"/>
    <w:link w:val="81"/>
    <w:qFormat/>
    <w:uiPriority w:val="0"/>
    <w:rPr>
      <w:rFonts w:ascii="宋体" w:hAnsi="Times New Roman" w:eastAsia="宋体" w:cs="Times New Roman"/>
      <w:kern w:val="0"/>
      <w:szCs w:val="20"/>
    </w:rPr>
  </w:style>
  <w:style w:type="paragraph" w:customStyle="1" w:styleId="155">
    <w:name w:val="Default"/>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character" w:customStyle="1" w:styleId="156">
    <w:name w:val="前言、引言标题 Char"/>
    <w:link w:val="107"/>
    <w:qFormat/>
    <w:uiPriority w:val="0"/>
    <w:rPr>
      <w:rFonts w:ascii="黑体" w:hAnsi="Times New Roman" w:eastAsia="黑体" w:cs="Times New Roman"/>
      <w:kern w:val="0"/>
      <w:sz w:val="32"/>
      <w:szCs w:val="20"/>
      <w:shd w:val="clear" w:color="FFFFFF" w:fill="FFFFFF"/>
    </w:rPr>
  </w:style>
  <w:style w:type="character" w:customStyle="1" w:styleId="157">
    <w:name w:val="附录标识 Char Char"/>
    <w:link w:val="121"/>
    <w:qFormat/>
    <w:uiPriority w:val="0"/>
    <w:rPr>
      <w:rFonts w:ascii="黑体" w:hAnsi="Times New Roman" w:eastAsia="黑体" w:cs="Times New Roman"/>
      <w:kern w:val="0"/>
      <w:szCs w:val="20"/>
      <w:shd w:val="clear" w:color="FFFFFF" w:fill="FFFFFF"/>
    </w:rPr>
  </w:style>
  <w:style w:type="character" w:customStyle="1" w:styleId="158">
    <w:name w:val="二级条标题 Char"/>
    <w:link w:val="82"/>
    <w:qFormat/>
    <w:uiPriority w:val="0"/>
    <w:rPr>
      <w:rFonts w:ascii="宋体" w:hAnsi="宋体" w:eastAsia="宋体" w:cs="Times New Roman"/>
      <w:kern w:val="0"/>
      <w:sz w:val="24"/>
      <w:szCs w:val="20"/>
    </w:rPr>
  </w:style>
  <w:style w:type="character" w:customStyle="1" w:styleId="159">
    <w:name w:val="正文文本缩进 3 Char"/>
    <w:basedOn w:val="40"/>
    <w:link w:val="31"/>
    <w:qFormat/>
    <w:uiPriority w:val="0"/>
    <w:rPr>
      <w:rFonts w:ascii="Times New Roman" w:hAnsi="Times New Roman" w:eastAsia="宋体" w:cs="Times New Roman"/>
      <w:sz w:val="16"/>
      <w:szCs w:val="16"/>
    </w:rPr>
  </w:style>
  <w:style w:type="character" w:customStyle="1" w:styleId="160">
    <w:name w:val="印刷版（目录）"/>
    <w:qFormat/>
    <w:uiPriority w:val="0"/>
    <w:rPr>
      <w:rFonts w:ascii="Times New Roman" w:hAnsi="Times New Roman" w:eastAsia="宋体"/>
      <w:sz w:val="30"/>
      <w:szCs w:val="30"/>
      <w:lang w:val="en-US" w:eastAsia="zh-CN"/>
    </w:rPr>
  </w:style>
  <w:style w:type="character" w:customStyle="1" w:styleId="161">
    <w:name w:val="正文首行缩进 Char"/>
    <w:basedOn w:val="93"/>
    <w:link w:val="36"/>
    <w:qFormat/>
    <w:uiPriority w:val="0"/>
    <w:rPr>
      <w:rFonts w:ascii="Calibri" w:hAnsi="Calibri" w:eastAsia="宋体" w:cs="Times New Roman"/>
      <w:lang w:eastAsia="en-US"/>
    </w:rPr>
  </w:style>
  <w:style w:type="paragraph" w:customStyle="1" w:styleId="162">
    <w:name w:val="h二级条标题"/>
    <w:basedOn w:val="163"/>
    <w:next w:val="81"/>
    <w:qFormat/>
    <w:uiPriority w:val="0"/>
    <w:pPr>
      <w:tabs>
        <w:tab w:val="left" w:pos="360"/>
        <w:tab w:val="left" w:pos="525"/>
        <w:tab w:val="left" w:pos="720"/>
      </w:tabs>
      <w:outlineLvl w:val="3"/>
    </w:pPr>
  </w:style>
  <w:style w:type="paragraph" w:customStyle="1" w:styleId="163">
    <w:name w:val="h一级条标题"/>
    <w:basedOn w:val="79"/>
    <w:next w:val="81"/>
    <w:qFormat/>
    <w:uiPriority w:val="0"/>
    <w:pPr>
      <w:numPr>
        <w:numId w:val="0"/>
      </w:numPr>
      <w:tabs>
        <w:tab w:val="left" w:pos="525"/>
        <w:tab w:val="left" w:pos="720"/>
        <w:tab w:val="clear" w:pos="420"/>
      </w:tabs>
      <w:spacing w:before="0" w:after="0"/>
      <w:outlineLvl w:val="2"/>
    </w:pPr>
    <w:rPr>
      <w:rFonts w:ascii="Times New Roman" w:eastAsia="宋体"/>
    </w:rPr>
  </w:style>
  <w:style w:type="paragraph" w:customStyle="1" w:styleId="164">
    <w:name w:val="Char"/>
    <w:basedOn w:val="1"/>
    <w:qFormat/>
    <w:uiPriority w:val="0"/>
    <w:pPr>
      <w:spacing w:line="360" w:lineRule="auto"/>
    </w:pPr>
    <w:rPr>
      <w:rFonts w:ascii="Tahoma" w:hAnsi="Tahoma"/>
      <w:sz w:val="24"/>
      <w:szCs w:val="20"/>
    </w:rPr>
  </w:style>
  <w:style w:type="paragraph" w:customStyle="1" w:styleId="165">
    <w:name w:val="表格文本 居右"/>
    <w:basedOn w:val="1"/>
    <w:unhideWhenUsed/>
    <w:qFormat/>
    <w:uiPriority w:val="4"/>
    <w:pPr>
      <w:wordWrap w:val="0"/>
      <w:jc w:val="right"/>
    </w:pPr>
    <w:rPr>
      <w:rFonts w:ascii="宋体" w:hAnsi="宋体"/>
      <w:szCs w:val="21"/>
    </w:rPr>
  </w:style>
  <w:style w:type="paragraph" w:customStyle="1" w:styleId="166">
    <w:name w:val="表格文本 居中 倾斜 深红"/>
    <w:basedOn w:val="165"/>
    <w:qFormat/>
    <w:uiPriority w:val="0"/>
    <w:pPr>
      <w:jc w:val="center"/>
    </w:pPr>
    <w:rPr>
      <w:rFonts w:cs="宋体"/>
      <w:i/>
      <w:iCs/>
      <w:color w:val="C00000"/>
      <w:szCs w:val="20"/>
    </w:rPr>
  </w:style>
  <w:style w:type="paragraph" w:customStyle="1" w:styleId="167">
    <w:name w:val="结束线"/>
    <w:basedOn w:val="143"/>
    <w:qFormat/>
    <w:uiPriority w:val="0"/>
    <w:pPr>
      <w:ind w:left="600" w:leftChars="200" w:hanging="180" w:hangingChars="100"/>
      <w:jc w:val="center"/>
    </w:pPr>
  </w:style>
  <w:style w:type="paragraph" w:customStyle="1" w:styleId="168">
    <w:name w:val="正文首行缩进2字符"/>
    <w:basedOn w:val="1"/>
    <w:link w:val="169"/>
    <w:qFormat/>
    <w:uiPriority w:val="0"/>
    <w:pPr>
      <w:spacing w:beforeLines="50" w:afterLines="50" w:line="360" w:lineRule="auto"/>
      <w:ind w:firstLine="480" w:firstLineChars="200"/>
    </w:pPr>
    <w:rPr>
      <w:sz w:val="24"/>
      <w:szCs w:val="20"/>
    </w:rPr>
  </w:style>
  <w:style w:type="character" w:customStyle="1" w:styleId="169">
    <w:name w:val="正文首行缩进2字符 Char"/>
    <w:link w:val="168"/>
    <w:qFormat/>
    <w:uiPriority w:val="0"/>
    <w:rPr>
      <w:rFonts w:ascii="Times New Roman" w:hAnsi="Times New Roman" w:eastAsia="宋体" w:cs="Times New Roman"/>
      <w:sz w:val="24"/>
      <w:szCs w:val="20"/>
    </w:rPr>
  </w:style>
  <w:style w:type="paragraph" w:customStyle="1" w:styleId="170">
    <w:name w:val="h这是附录表标题"/>
    <w:basedOn w:val="1"/>
    <w:next w:val="81"/>
    <w:qFormat/>
    <w:uiPriority w:val="0"/>
    <w:pPr>
      <w:widowControl/>
      <w:tabs>
        <w:tab w:val="left" w:pos="210"/>
      </w:tabs>
      <w:jc w:val="center"/>
      <w:textAlignment w:val="baseline"/>
    </w:pPr>
    <w:rPr>
      <w:rFonts w:ascii="宋体" w:eastAsia="黑体"/>
      <w:kern w:val="21"/>
      <w:szCs w:val="20"/>
    </w:rPr>
  </w:style>
  <w:style w:type="paragraph" w:customStyle="1" w:styleId="171">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172">
    <w:name w:val="纯文本 Char"/>
    <w:basedOn w:val="40"/>
    <w:link w:val="23"/>
    <w:qFormat/>
    <w:uiPriority w:val="0"/>
    <w:rPr>
      <w:rFonts w:ascii="宋体" w:hAnsi="Courier New" w:eastAsia="宋体" w:cs="Times New Roman"/>
      <w:szCs w:val="20"/>
    </w:rPr>
  </w:style>
  <w:style w:type="character" w:customStyle="1" w:styleId="173">
    <w:name w:val="普通文字 Char Char"/>
    <w:qFormat/>
    <w:uiPriority w:val="0"/>
    <w:rPr>
      <w:rFonts w:ascii="宋体" w:hAnsi="Courier New" w:eastAsia="宋体" w:cs="Times New Roman"/>
      <w:szCs w:val="20"/>
    </w:rPr>
  </w:style>
  <w:style w:type="paragraph" w:customStyle="1" w:styleId="174">
    <w:name w:val="CM284"/>
    <w:basedOn w:val="1"/>
    <w:next w:val="1"/>
    <w:qFormat/>
    <w:uiPriority w:val="99"/>
    <w:pPr>
      <w:autoSpaceDE w:val="0"/>
      <w:autoSpaceDN w:val="0"/>
      <w:adjustRightInd w:val="0"/>
      <w:jc w:val="left"/>
    </w:pPr>
    <w:rPr>
      <w:rFonts w:ascii="FZHei-B01" w:hAnsi="Calibri" w:eastAsia="FZHei-B01" w:cs="FZHei-B01"/>
      <w:kern w:val="0"/>
      <w:sz w:val="24"/>
    </w:rPr>
  </w:style>
  <w:style w:type="character" w:customStyle="1" w:styleId="175">
    <w:name w:val="font41"/>
    <w:basedOn w:val="40"/>
    <w:qFormat/>
    <w:uiPriority w:val="0"/>
    <w:rPr>
      <w:rFonts w:hint="eastAsia" w:ascii="仿宋" w:hAnsi="仿宋" w:eastAsia="仿宋" w:cs="仿宋"/>
      <w:color w:val="000000"/>
      <w:sz w:val="20"/>
      <w:szCs w:val="20"/>
      <w:u w:val="none"/>
    </w:rPr>
  </w:style>
  <w:style w:type="paragraph" w:customStyle="1" w:styleId="176">
    <w:name w:val="二级无标题条"/>
    <w:basedOn w:val="82"/>
    <w:qFormat/>
    <w:uiPriority w:val="0"/>
    <w:pPr>
      <w:tabs>
        <w:tab w:val="left" w:pos="420"/>
        <w:tab w:val="left" w:pos="525"/>
      </w:tabs>
      <w:spacing w:before="0" w:beforeLines="0" w:after="0" w:afterLines="0"/>
    </w:pPr>
    <w:rPr>
      <w:rFonts w:ascii="宋体" w:eastAsia="宋体"/>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33</Pages>
  <Words>19294</Words>
  <Characters>20976</Characters>
  <Lines>157</Lines>
  <Paragraphs>44</Paragraphs>
  <TotalTime>4</TotalTime>
  <ScaleCrop>false</ScaleCrop>
  <LinksUpToDate>false</LinksUpToDate>
  <CharactersWithSpaces>21022</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2018-04-11T02:39:00Z</dcterms:created>
  <dc:creator>袁睿</dc:creator>
  <cp:lastModifiedBy>李乘羽</cp:lastModifiedBy>
  <dcterms:modified xsi:type="dcterms:W3CDTF">2026-09-21T01:01:58Z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22848414D0BA4CAA99E61112188E4DA8</vt:lpwstr>
  </property>
</Properties>
</file>