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0"/>
        <w:jc w:val="center"/>
        <w:rPr>
          <w:rFonts w:ascii="宋体" w:hAnsi="宋体"/>
          <w:b/>
          <w:color w:val="auto"/>
          <w:sz w:val="28"/>
          <w:highlight w:val="none"/>
        </w:rPr>
      </w:pPr>
      <w:r>
        <w:rPr>
          <w:color w:val="auto"/>
          <w:highlight w:val="none"/>
        </w:rPr>
        <w:pict>
          <v:shape id="图片 5" o:spid="_x0000_s1026" o:spt="75" alt="说明: 未命名" type="#_x0000_t75" style="position:absolute;left:0pt;margin-left:0.45pt;margin-top:-105.9pt;height:613.5pt;width:596.05pt;mso-position-horizontal-relative:page;z-index:-251655168;mso-width-relative:page;mso-height-relative:page;" filled="f" o:preferrelative="t" stroked="f" coordsize="21600,21600">
            <v:path/>
            <v:fill on="f" focussize="0,0"/>
            <v:stroke on="f"/>
            <v:imagedata r:id="rId11" o:title="说明: 未命名"/>
            <o:lock v:ext="edit" aspectratio="t"/>
          </v:shape>
        </w:pict>
      </w:r>
      <w:r>
        <w:rPr>
          <w:color w:val="auto"/>
          <w:highlight w:val="none"/>
        </w:rPr>
        <w:pict>
          <v:shape id="图片 14" o:spid="_x0000_s1027" o:spt="75" alt="说明: 中国南方电网公司---横向标准组合" type="#_x0000_t75" style="position:absolute;left:0pt;margin-left:27pt;margin-top:65.15pt;height:64.05pt;width:272.4pt;mso-position-horizontal-relative:page;z-index:251660288;mso-width-relative:page;mso-height-relative:page;" filled="f" o:preferrelative="t" stroked="f" coordsize="21600,21600">
            <v:path/>
            <v:fill on="f" focussize="0,0"/>
            <v:stroke on="f"/>
            <v:imagedata r:id="rId12" o:title="说明: 中国南方电网公司---横向标准组合"/>
            <o:lock v:ext="edit" aspectratio="t"/>
          </v:shape>
        </w:pict>
      </w:r>
      <w:r>
        <w:rPr>
          <w:color w:val="auto"/>
          <w:highlight w:val="none"/>
        </w:rPr>
        <w:pict>
          <v:rect id="_x0000_s1028" o:spid="_x0000_s1028" o:spt="1" style="position:absolute;left:0pt;margin-left:0.05pt;margin-top:143.35pt;height:55.1pt;width:405.3pt;mso-position-horizontal-relative:margin;z-index:251660288;mso-width-relative:page;mso-height-relative:page;" filled="f" stroked="f" coordsize="21600,21600">
            <v:path/>
            <v:fill on="f" focussize="0,0"/>
            <v:stroke on="f"/>
            <v:imagedata o:title=""/>
            <o:lock v:ext="edit"/>
            <v:textbox>
              <w:txbxContent>
                <w:p>
                  <w:pPr>
                    <w:spacing w:before="156" w:beforeLines="0"/>
                    <w:rPr>
                      <w:rFonts w:ascii="Times New Roman" w:hAnsi="Times New Roman"/>
                      <w:szCs w:val="24"/>
                    </w:rPr>
                  </w:pPr>
                </w:p>
              </w:txbxContent>
            </v:textbox>
          </v:rect>
        </w:pict>
      </w:r>
    </w:p>
    <w:p>
      <w:pPr>
        <w:adjustRightInd w:val="0"/>
        <w:snapToGrid w:val="0"/>
        <w:spacing w:before="156" w:beforeLines="0"/>
        <w:rPr>
          <w:rFonts w:ascii="宋体" w:hAnsi="宋体"/>
          <w:color w:val="auto"/>
          <w:highlight w:val="none"/>
        </w:rPr>
      </w:pPr>
      <w:r>
        <w:rPr>
          <w:color w:val="auto"/>
          <w:highlight w:val="none"/>
        </w:rPr>
        <w:pict>
          <v:rect id="矩形 3" o:spid="_x0000_s1029" o:spt="1" style="position:absolute;left:0pt;margin-left:1.35pt;margin-top:174.6pt;height:111.3pt;width:422.2pt;mso-position-horizontal-relative:margin;z-index:251660288;mso-width-relative:page;mso-height-relative:page;" filled="f" stroked="f" coordsize="21600,21600">
            <v:path/>
            <v:fill on="f" focussize="0,0"/>
            <v:stroke on="f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hint="eastAsia" w:ascii="黑体" w:hAnsi="黑体" w:eastAsia="黑体" w:cs="黑体"/>
                      <w:b/>
                      <w:bCs/>
                      <w:sz w:val="48"/>
                      <w:szCs w:val="48"/>
                      <w:lang w:val="en-US" w:eastAsia="zh-CN"/>
                    </w:rPr>
                  </w:pPr>
                  <w:r>
                    <w:rPr>
                      <w:rFonts w:hint="eastAsia" w:ascii="黑体" w:hAnsi="黑体" w:eastAsia="黑体" w:cs="黑体"/>
                      <w:b/>
                      <w:bCs/>
                      <w:sz w:val="48"/>
                      <w:szCs w:val="48"/>
                      <w:lang w:val="zh-CN" w:eastAsia="zh-CN"/>
                    </w:rPr>
                    <w:t>广西送变电建设有限责任公司</w:t>
                  </w:r>
                  <w:r>
                    <w:rPr>
                      <w:rFonts w:hint="eastAsia" w:ascii="黑体" w:hAnsi="黑体" w:eastAsia="黑体" w:cs="黑体"/>
                      <w:b/>
                      <w:bCs/>
                      <w:sz w:val="48"/>
                      <w:szCs w:val="48"/>
                      <w:lang w:val="en-US" w:eastAsia="zh-CN"/>
                    </w:rPr>
                    <w:t>培训基地2026年学员培训车</w:t>
                  </w:r>
                  <w:r>
                    <w:rPr>
                      <w:rFonts w:hint="eastAsia" w:ascii="黑体" w:hAnsi="黑体" w:eastAsia="黑体" w:cs="黑体"/>
                      <w:b/>
                      <w:bCs/>
                      <w:sz w:val="48"/>
                      <w:szCs w:val="48"/>
                      <w:lang w:val="zh-CN" w:eastAsia="zh-CN"/>
                    </w:rPr>
                    <w:t>辆租赁服务采购项目技术规范书</w:t>
                  </w:r>
                </w:p>
                <w:p>
                  <w:pPr>
                    <w:jc w:val="center"/>
                    <w:rPr>
                      <w:rFonts w:hint="eastAsia"/>
                      <w:b/>
                      <w:bCs/>
                      <w:sz w:val="44"/>
                      <w:szCs w:val="44"/>
                      <w:lang w:val="zh-CN" w:eastAsia="zh-CN"/>
                    </w:rPr>
                  </w:pPr>
                </w:p>
              </w:txbxContent>
            </v:textbox>
          </v:rect>
        </w:pict>
      </w:r>
      <w:r>
        <w:pict>
          <v:shape id="文本框 2" o:spid="_x0000_s1030" o:spt="202" type="#_x0000_t202" style="position:absolute;left:0pt;margin-left:-33.1pt;margin-top:594.75pt;height:40.55pt;width:495pt;mso-position-horizontal-relative:margin;z-index:251660288;mso-width-relative:page;mso-height-relative:page;" filled="f" stroked="f" coordsize="21600,21600">
            <v:path/>
            <v:fill on="f" focussize="0,0"/>
            <v:stroke on="f"/>
            <v:imagedata o:title=""/>
            <o:lock v:ext="edit"/>
            <v:textbox>
              <w:txbxContent>
                <w:p>
                  <w:pPr>
                    <w:autoSpaceDE w:val="0"/>
                    <w:autoSpaceDN w:val="0"/>
                    <w:adjustRightInd w:val="0"/>
                    <w:spacing w:before="156" w:beforeLines="0"/>
                    <w:jc w:val="center"/>
                    <w:rPr>
                      <w:rFonts w:eastAsia="仿宋"/>
                      <w:b/>
                      <w:sz w:val="32"/>
                      <w:szCs w:val="32"/>
                    </w:rPr>
                  </w:pPr>
                  <w:r>
                    <w:rPr>
                      <w:kern w:val="0"/>
                      <w:sz w:val="20"/>
                      <w:szCs w:val="20"/>
                    </w:rPr>
                    <w:pict>
                      <v:shape id="_x0000_i1025" o:spt="75" alt="说明: 未命名" type="#_x0000_t75" style="height:549pt;width:612.75pt;" filled="f" o:preferrelative="t" stroked="f" coordsize="21600,21600">
                        <v:path/>
                        <v:fill on="f" focussize="0,0"/>
                        <v:stroke on="f"/>
                        <v:imagedata r:id="rId11" o:title="说明: 未命名"/>
                        <o:lock v:ext="edit" aspectratio="t"/>
                        <w10:wrap type="none"/>
                        <w10:anchorlock/>
                      </v:shape>
                    </w:pict>
                  </w:r>
                </w:p>
              </w:txbxContent>
            </v:textbox>
          </v:shape>
        </w:pict>
      </w:r>
    </w:p>
    <w:p>
      <w:pPr>
        <w:widowControl/>
        <w:jc w:val="left"/>
        <w:rPr>
          <w:rFonts w:ascii="宋体" w:hAnsi="宋体"/>
          <w:color w:val="auto"/>
          <w:highlight w:val="none"/>
        </w:rPr>
        <w:sectPr>
          <w:headerReference r:id="rId3" w:type="default"/>
          <w:footerReference r:id="rId4" w:type="default"/>
          <w:pgSz w:w="11906" w:h="16838"/>
          <w:pgMar w:top="2098" w:right="1800" w:bottom="1219" w:left="1800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  <w:bookmarkStart w:id="0" w:name="_Toc34903171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8"/>
          <w:szCs w:val="48"/>
          <w:highlight w:val="none"/>
          <w:u w:val="single"/>
          <w:lang w:val="zh-CN"/>
        </w:rPr>
        <w:sectPr>
          <w:headerReference r:id="rId5" w:type="default"/>
          <w:footerReference r:id="rId6" w:type="default"/>
          <w:type w:val="continuous"/>
          <w:pgSz w:w="11906" w:h="16838"/>
          <w:pgMar w:top="1134" w:right="1321" w:bottom="879" w:left="132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</w:p>
    <w:p>
      <w:pPr>
        <w:pStyle w:val="11"/>
        <w:rPr>
          <w:rFonts w:hint="eastAsia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jc w:val="center"/>
        <w:textAlignment w:val="auto"/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u w:val="none"/>
        </w:rPr>
      </w:pP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u w:val="none"/>
          <w:lang w:val="zh-CN" w:eastAsia="zh-CN"/>
        </w:rPr>
        <w:t>广西送变电建设有限责任公司</w:t>
      </w:r>
      <w:r>
        <w:rPr>
          <w:rFonts w:hint="eastAsia" w:ascii="宋体" w:hAnsi="宋体" w:cs="宋体"/>
          <w:b/>
          <w:color w:val="auto"/>
          <w:sz w:val="44"/>
          <w:szCs w:val="44"/>
          <w:highlight w:val="none"/>
          <w:u w:val="none"/>
          <w:lang w:val="en-US" w:eastAsia="zh-CN"/>
        </w:rPr>
        <w:t>培训基地2026年学员培训车</w:t>
      </w:r>
      <w:r>
        <w:rPr>
          <w:rFonts w:hint="eastAsia" w:ascii="宋体" w:hAnsi="宋体" w:eastAsia="宋体" w:cs="宋体"/>
          <w:b/>
          <w:color w:val="auto"/>
          <w:sz w:val="44"/>
          <w:szCs w:val="44"/>
          <w:highlight w:val="none"/>
          <w:u w:val="none"/>
          <w:lang w:val="zh-CN" w:eastAsia="zh-CN"/>
        </w:rPr>
        <w:t>辆租赁服务采购项目技术规范书</w:t>
      </w:r>
    </w:p>
    <w:p>
      <w:pPr>
        <w:pStyle w:val="12"/>
        <w:jc w:val="center"/>
        <w:rPr>
          <w:rFonts w:hint="eastAsia"/>
          <w:color w:val="auto"/>
          <w:highlight w:val="none"/>
        </w:rPr>
      </w:pP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left="0" w:leftChars="0" w:firstLine="560" w:firstLineChars="200"/>
        <w:textAlignment w:val="auto"/>
        <w:outlineLvl w:val="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为规范广西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送变电建设有限责任公司培训基地学员培训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车辆租赁服务采购工作，保证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培训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项目如期完成，依据中国南方电网有限责任公司、广西电网有限责任公司相关制度、规定、管理办法的要求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特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制订本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技术规范书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360" w:lineRule="auto"/>
        <w:ind w:left="0" w:leftChars="0" w:firstLine="562" w:firstLineChars="200"/>
        <w:textAlignment w:val="auto"/>
        <w:outlineLvl w:val="0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  <w:t>一、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服务内容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afterAutospacing="0" w:line="360" w:lineRule="auto"/>
        <w:ind w:left="0" w:leftChars="0" w:firstLine="560" w:firstLineChars="200"/>
        <w:textAlignment w:val="auto"/>
        <w:outlineLvl w:val="0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</w:pPr>
      <w:bookmarkStart w:id="1" w:name="_Toc349031717"/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本规范书适用于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广西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送变电建设有限责任公司培训基地学员培训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车辆租赁服务采购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。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通过车辆租赁方式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灵活、有序解决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培训基地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车辆使用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需求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，保障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学员培训工作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正常开展，规范车辆租赁管理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。</w:t>
      </w:r>
    </w:p>
    <w:p>
      <w:pPr>
        <w:pStyle w:val="5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2" w:firstLineChars="200"/>
        <w:textAlignment w:val="auto"/>
        <w:outlineLvl w:val="0"/>
        <w:rPr>
          <w:rFonts w:hint="eastAsia" w:hAnsi="宋体" w:cs="宋体"/>
          <w:b/>
          <w:color w:val="auto"/>
          <w:spacing w:val="0"/>
          <w:kern w:val="2"/>
          <w:positio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hAnsi="宋体" w:cs="宋体"/>
          <w:b/>
          <w:color w:val="auto"/>
          <w:spacing w:val="0"/>
          <w:kern w:val="2"/>
          <w:position w:val="0"/>
          <w:sz w:val="28"/>
          <w:szCs w:val="28"/>
          <w:highlight w:val="none"/>
          <w:shd w:val="clear" w:color="auto" w:fill="auto"/>
          <w:lang w:val="en-US" w:eastAsia="zh-CN" w:bidi="ar-SA"/>
        </w:rPr>
        <w:t>车辆需求</w:t>
      </w:r>
    </w:p>
    <w:tbl>
      <w:tblPr>
        <w:tblStyle w:val="7"/>
        <w:tblW w:w="99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8"/>
        <w:gridCol w:w="2056"/>
        <w:gridCol w:w="2370"/>
        <w:gridCol w:w="1951"/>
        <w:gridCol w:w="1679"/>
        <w:gridCol w:w="7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  <w:jc w:val="center"/>
        </w:trPr>
        <w:tc>
          <w:tcPr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  <w:t>项目名称</w:t>
            </w:r>
          </w:p>
        </w:tc>
        <w:tc>
          <w:tcPr>
            <w:gridSpan w:val="2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</w:pPr>
            <w:r>
              <w:rPr>
                <w:rFonts w:hint="eastAsia" w:ascii="宋体" w:hAnsi="Times New Roman" w:eastAsia="宋体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广西</w:t>
            </w:r>
            <w:r>
              <w:rPr>
                <w:rFonts w:hint="eastAsia" w:ascii="宋体" w:hAnsi="Times New Roman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送变电建设有限责任公司培训基地学员培训</w:t>
            </w:r>
            <w:r>
              <w:rPr>
                <w:rFonts w:hint="eastAsia" w:ascii="宋体" w:hAnsi="Times New Roman" w:eastAsia="宋体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车辆租赁服务采购</w:t>
            </w:r>
          </w:p>
        </w:tc>
        <w:tc>
          <w:tcPr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  <w:t>需求单号</w:t>
            </w:r>
          </w:p>
        </w:tc>
        <w:tc>
          <w:tcPr>
            <w:gridSpan w:val="2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shd w:val="clear" w:color="auto" w:fill="auto"/>
            <w:noWrap w:val="0"/>
            <w:vAlign w:val="center"/>
          </w:tcPr>
          <w:p>
            <w:pPr>
              <w:widowControl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  <w:t>序号</w:t>
            </w:r>
          </w:p>
        </w:tc>
        <w:tc>
          <w:tcPr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  <w:t>采购目录名称</w:t>
            </w:r>
          </w:p>
        </w:tc>
        <w:tc>
          <w:tcPr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  <w:t>采购范围/采购内容</w:t>
            </w:r>
          </w:p>
        </w:tc>
        <w:tc>
          <w:tcPr>
            <w:shd w:val="clear" w:color="auto" w:fill="auto"/>
            <w:noWrap w:val="0"/>
            <w:vAlign w:val="center"/>
          </w:tcPr>
          <w:p>
            <w:pPr>
              <w:widowControl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2"/>
                <w:szCs w:val="22"/>
                <w:lang w:bidi="en-AU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2"/>
                <w:szCs w:val="22"/>
                <w:lang w:val="en-US" w:eastAsia="zh-CN" w:bidi="en-AU"/>
              </w:rPr>
              <w:t xml:space="preserve">具体车型 </w:t>
            </w:r>
          </w:p>
        </w:tc>
        <w:tc>
          <w:tcPr>
            <w:shd w:val="clear" w:color="auto" w:fill="auto"/>
            <w:noWrap w:val="0"/>
            <w:vAlign w:val="center"/>
          </w:tcPr>
          <w:p>
            <w:pPr>
              <w:widowControl/>
              <w:snapToGrid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auto"/>
                <w:kern w:val="0"/>
                <w:sz w:val="22"/>
                <w:szCs w:val="22"/>
                <w:lang w:bidi="en-AU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2"/>
                <w:szCs w:val="22"/>
                <w:lang w:val="en-US" w:eastAsia="zh-CN" w:bidi="en-AU"/>
              </w:rPr>
              <w:t>租赁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2"/>
                <w:szCs w:val="22"/>
                <w:lang w:bidi="en-AU"/>
              </w:rPr>
              <w:t>数量</w:t>
            </w:r>
            <w:r>
              <w:rPr>
                <w:rFonts w:hint="eastAsia" w:ascii="宋体" w:hAnsi="宋体" w:cs="宋体"/>
                <w:bCs/>
                <w:color w:val="auto"/>
                <w:kern w:val="0"/>
                <w:sz w:val="22"/>
                <w:szCs w:val="22"/>
                <w:lang w:val="en-US" w:eastAsia="zh-CN" w:bidi="en-AU"/>
              </w:rPr>
              <w:t>/车型</w:t>
            </w:r>
          </w:p>
        </w:tc>
        <w:tc>
          <w:tcPr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val="en-US" w:eastAsia="zh-CN" w:bidi="en-AU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2"/>
                <w:szCs w:val="22"/>
                <w:lang w:val="en-US" w:eastAsia="zh-CN" w:bidi="en-AU"/>
              </w:rPr>
              <w:t>1</w:t>
            </w:r>
          </w:p>
        </w:tc>
        <w:tc>
          <w:tcPr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2"/>
                <w:szCs w:val="22"/>
                <w:lang w:val="en-US" w:eastAsia="zh-CN" w:bidi="en-AU"/>
              </w:rPr>
              <w:t>学员培训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  <w:t>车辆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2"/>
                <w:szCs w:val="22"/>
                <w:lang w:val="en-US" w:eastAsia="zh-CN" w:bidi="en-AU"/>
              </w:rPr>
              <w:t xml:space="preserve">   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  <w:t>租赁服务</w:t>
            </w:r>
          </w:p>
        </w:tc>
        <w:tc>
          <w:tcPr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default" w:ascii="宋体" w:hAnsi="宋体" w:cs="宋体"/>
                <w:bCs/>
                <w:color w:val="000000"/>
                <w:kern w:val="0"/>
                <w:sz w:val="22"/>
                <w:szCs w:val="22"/>
                <w:lang w:val="en-US" w:eastAsia="zh-CN" w:bidi="en-AU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2"/>
                <w:szCs w:val="22"/>
                <w:lang w:val="en-US" w:eastAsia="zh-CN" w:bidi="en-AU"/>
              </w:rPr>
              <w:t>中巴车/大巴车</w:t>
            </w:r>
          </w:p>
        </w:tc>
        <w:tc>
          <w:tcPr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bCs/>
                <w:color w:val="auto"/>
                <w:kern w:val="0"/>
                <w:sz w:val="22"/>
                <w:szCs w:val="22"/>
                <w:lang w:val="en-US" w:bidi="en-AU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2"/>
                <w:szCs w:val="22"/>
                <w:lang w:val="en-US" w:eastAsia="zh-CN" w:bidi="en-AU"/>
              </w:rPr>
              <w:t>新能源/汽油版</w:t>
            </w:r>
          </w:p>
        </w:tc>
        <w:tc>
          <w:tcPr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eastAsia" w:ascii="宋体" w:hAnsi="宋体" w:cs="宋体"/>
                <w:bCs/>
                <w:color w:val="auto"/>
                <w:kern w:val="0"/>
                <w:sz w:val="22"/>
                <w:szCs w:val="22"/>
                <w:lang w:val="en-US" w:eastAsia="zh-CN" w:bidi="en-AU"/>
              </w:rPr>
            </w:pPr>
            <w:r>
              <w:rPr>
                <w:rFonts w:hint="eastAsia" w:ascii="宋体" w:hAnsi="宋体" w:cs="宋体"/>
                <w:bCs/>
                <w:color w:val="auto"/>
                <w:kern w:val="0"/>
                <w:sz w:val="22"/>
                <w:szCs w:val="22"/>
                <w:lang w:val="en-US" w:eastAsia="zh-CN" w:bidi="en-AU"/>
              </w:rPr>
              <w:t>根据培训需要</w:t>
            </w:r>
          </w:p>
        </w:tc>
        <w:tc>
          <w:tcPr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  <w:jc w:val="center"/>
        </w:trPr>
        <w:tc>
          <w:tcPr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</w:pPr>
          </w:p>
        </w:tc>
        <w:tc>
          <w:tcPr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  <w:t>合计</w:t>
            </w:r>
          </w:p>
        </w:tc>
        <w:tc>
          <w:tcPr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</w:pPr>
          </w:p>
        </w:tc>
        <w:tc>
          <w:tcPr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</w:pPr>
          </w:p>
        </w:tc>
        <w:tc>
          <w:tcPr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default" w:ascii="宋体" w:hAnsi="宋体" w:eastAsia="宋体" w:cs="宋体"/>
                <w:bCs/>
                <w:color w:val="000000"/>
                <w:kern w:val="0"/>
                <w:sz w:val="22"/>
                <w:szCs w:val="22"/>
                <w:highlight w:val="yellow"/>
                <w:lang w:val="en-US" w:eastAsia="zh-CN" w:bidi="en-AU"/>
              </w:rPr>
            </w:pPr>
          </w:p>
        </w:tc>
        <w:tc>
          <w:tcPr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2"/>
                <w:lang w:bidi="en-AU"/>
              </w:rPr>
            </w:pPr>
          </w:p>
        </w:tc>
      </w:tr>
      <w:bookmarkEnd w:id="1"/>
    </w:tbl>
    <w:p>
      <w:pP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zCs w:val="28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beforeAutospacing="0" w:afterAutospacing="0" w:line="360" w:lineRule="auto"/>
        <w:ind w:left="0" w:leftChars="0" w:right="0" w:firstLine="562" w:firstLineChars="200"/>
        <w:jc w:val="both"/>
        <w:textAlignment w:val="auto"/>
        <w:outlineLvl w:val="0"/>
        <w:rPr>
          <w:rFonts w:hint="eastAsia" w:ascii="宋体" w:hAnsi="宋体" w:cs="宋体"/>
          <w:b/>
          <w:color w:val="auto"/>
          <w:spacing w:val="0"/>
          <w:positio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color w:val="auto"/>
          <w:spacing w:val="0"/>
          <w:position w:val="0"/>
          <w:sz w:val="28"/>
          <w:szCs w:val="28"/>
          <w:highlight w:val="none"/>
          <w:shd w:val="clear" w:color="auto" w:fill="auto"/>
          <w:lang w:val="en-US" w:eastAsia="zh-CN"/>
        </w:rPr>
        <w:t>服务要求</w:t>
      </w:r>
    </w:p>
    <w:p>
      <w:pPr>
        <w:pStyle w:val="11"/>
        <w:numPr>
          <w:ilvl w:val="0"/>
          <w:numId w:val="0"/>
        </w:numPr>
        <w:ind w:leftChars="200"/>
        <w:rPr>
          <w:rFonts w:hint="default"/>
          <w:lang w:val="en-US" w:eastAsia="zh-CN"/>
        </w:rPr>
      </w:pPr>
    </w:p>
    <w:tbl>
      <w:tblPr>
        <w:tblStyle w:val="7"/>
        <w:tblW w:w="0" w:type="auto"/>
        <w:tblInd w:w="-22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0"/>
        <w:gridCol w:w="85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exact"/>
        </w:trPr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ind w:firstLine="241" w:firstLineChars="100"/>
              <w:jc w:val="left"/>
              <w:rPr>
                <w:rFonts w:hint="eastAsia" w:ascii="宋体" w:hAnsi="宋体" w:eastAsia="宋体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lang w:val="en-US" w:eastAsia="zh-CN"/>
              </w:rPr>
              <w:t>序号</w:t>
            </w:r>
          </w:p>
        </w:tc>
        <w:tc>
          <w:tcPr>
            <w:tcW w:w="8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</w:tcPr>
          <w:p>
            <w:pPr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lang w:val="en-US" w:eastAsia="zh-CN"/>
              </w:rPr>
              <w:t>工作范围及</w:t>
            </w:r>
            <w:r>
              <w:rPr>
                <w:rFonts w:hint="eastAsia" w:ascii="宋体" w:hAnsi="宋体"/>
                <w:b/>
                <w:color w:val="000000"/>
                <w:sz w:val="24"/>
              </w:rPr>
              <w:t>服务内容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1" w:hRule="exact"/>
        </w:trPr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8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ind w:firstLine="480" w:firstLineChars="200"/>
              <w:jc w:val="left"/>
              <w:rPr>
                <w:rFonts w:hint="default" w:ascii="宋体" w:hAnsi="宋体" w:eastAsia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南宁市淡村路18号为出发、回场地点，目的地到良凤江和南宁市周边100公里内在建项目工地，当天往返，乘车人数预估30-150人/次，具体以每次的实际培训人数为准。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5" w:hRule="exact"/>
        </w:trPr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8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auto"/>
              <w:ind w:firstLine="480" w:firstLineChars="200"/>
              <w:jc w:val="left"/>
              <w:rPr>
                <w:rFonts w:hint="eastAsia" w:ascii="宋体" w:hAnsi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黎塘镇永安东路224-4号（培训基地）车辆运行路线为：宾阳动车站开班前接站和培训结束送站；黎塘酒店到永安东路224-4号之间往返，往返2-3次/天；乘车人数预估30-150人/次，具体以每次的实际培训人数为准。</w:t>
            </w:r>
          </w:p>
          <w:p>
            <w:pPr>
              <w:spacing w:line="360" w:lineRule="auto"/>
              <w:ind w:firstLine="480" w:firstLineChars="200"/>
              <w:jc w:val="left"/>
              <w:rPr>
                <w:rFonts w:hint="default" w:ascii="宋体" w:hAnsi="宋体" w:eastAsia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培训期间，如果晚上开展体育活动，将增加酒店到培训基地往返1次。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exact"/>
        </w:trPr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3</w:t>
            </w:r>
          </w:p>
        </w:tc>
        <w:tc>
          <w:tcPr>
            <w:tcW w:w="8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60" w:lineRule="auto"/>
              <w:ind w:firstLine="480" w:firstLineChars="200"/>
              <w:jc w:val="left"/>
              <w:rPr>
                <w:rFonts w:hint="default" w:ascii="宋体" w:hAnsi="宋体" w:eastAsia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根据甲方需求，乙方按时安排车辆（包含司机）到达指定位置，</w:t>
            </w:r>
            <w:r>
              <w:rPr>
                <w:rFonts w:hint="eastAsia" w:ascii="宋体" w:hAnsi="宋体"/>
                <w:b w:val="0"/>
                <w:bCs/>
                <w:color w:val="000000"/>
                <w:sz w:val="24"/>
                <w:lang w:val="en-US" w:eastAsia="zh-CN"/>
              </w:rPr>
              <w:t>服务期间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司机服从甲方现场调度安排。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exact"/>
        </w:trPr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val="en-US" w:eastAsia="zh-CN"/>
              </w:rPr>
              <w:t>4</w:t>
            </w:r>
          </w:p>
        </w:tc>
        <w:tc>
          <w:tcPr>
            <w:tcW w:w="85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ind w:firstLine="480" w:firstLineChars="200"/>
              <w:jc w:val="left"/>
              <w:rPr>
                <w:rFonts w:hint="eastAsia" w:ascii="宋体" w:hAnsi="宋体"/>
                <w:b w:val="0"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000000"/>
                <w:sz w:val="24"/>
                <w:lang w:val="en-US" w:eastAsia="zh-CN"/>
              </w:rPr>
              <w:t>服务期间，甲方不承担乙方人员工作补贴、食宿费等任何费用。</w:t>
            </w:r>
          </w:p>
          <w:p>
            <w:pPr>
              <w:jc w:val="left"/>
              <w:rPr>
                <w:rFonts w:hint="default" w:ascii="宋体" w:hAnsi="宋体" w:eastAsia="宋体"/>
                <w:color w:val="000000"/>
                <w:sz w:val="24"/>
                <w:lang w:val="en-US" w:eastAsia="zh-CN"/>
              </w:rPr>
            </w:pPr>
          </w:p>
        </w:tc>
      </w:tr>
    </w:tbl>
    <w:p>
      <w:pPr>
        <w:pStyle w:val="1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left="0" w:leftChars="0" w:firstLine="562" w:firstLineChars="200"/>
        <w:textAlignment w:val="auto"/>
        <w:outlineLvl w:val="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服务期限：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>自双方签订合同之日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起至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>6个月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止或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>合同预估金额用完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止，两者其一先到为准。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left="0" w:leftChars="0" w:firstLine="562" w:firstLineChars="200"/>
        <w:textAlignment w:val="auto"/>
        <w:outlineLvl w:val="0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eastAsia="zh-CN"/>
        </w:rPr>
        <w:t>、其他要求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left="0" w:leftChars="0" w:firstLine="560" w:firstLineChars="200"/>
        <w:textAlignment w:val="auto"/>
        <w:outlineLvl w:val="0"/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（1）本次采购每台车已设定限高价，报价人只需报全部车型的一个统一下浮率，下浮率大的成交；下浮率相同时，车龄短的成交。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left="0" w:leftChars="0" w:firstLine="560" w:firstLineChars="200"/>
        <w:textAlignment w:val="auto"/>
        <w:outlineLvl w:val="0"/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（2）报价人需要上传营业执照、道路运输经营许可证和车辆行驶证。</w:t>
      </w:r>
    </w:p>
    <w:p>
      <w:pPr>
        <w:pStyle w:val="1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360" w:lineRule="auto"/>
        <w:ind w:left="0" w:leftChars="0" w:firstLine="560" w:firstLineChars="200"/>
        <w:textAlignment w:val="auto"/>
        <w:outlineLvl w:val="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租赁车辆在租赁期间发生的油费</w:t>
      </w:r>
      <w:bookmarkStart w:id="2" w:name="_GoBack"/>
      <w:bookmarkEnd w:id="2"/>
      <w:r>
        <w:rPr>
          <w:rFonts w:hint="eastAsia" w:ascii="宋体" w:hAnsi="宋体" w:eastAsia="宋体" w:cs="宋体"/>
          <w:sz w:val="28"/>
          <w:szCs w:val="28"/>
        </w:rPr>
        <w:t>、路桥费、停车费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洗车费、轮胎修补费、维修费、车辆违章费用和记分处罚费</w:t>
      </w:r>
      <w:r>
        <w:rPr>
          <w:rFonts w:hint="eastAsia" w:ascii="宋体" w:hAnsi="宋体" w:eastAsia="宋体" w:cs="宋体"/>
          <w:sz w:val="28"/>
          <w:szCs w:val="28"/>
        </w:rPr>
        <w:t>等费用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由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乙方</w:t>
      </w:r>
      <w:r>
        <w:rPr>
          <w:rFonts w:hint="eastAsia" w:ascii="宋体" w:hAnsi="宋体" w:eastAsia="宋体" w:cs="宋体"/>
          <w:sz w:val="28"/>
          <w:szCs w:val="28"/>
        </w:rPr>
        <w:t>负责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（4）履行合同过程中，因乙方原因造成租赁车辆无法正常使用的，应及时提供可行的代替车辆，不能影响甲方的正常出行。更换代替期间的租金标准不变，代替车辆发生的油费、通行费、停车费等相关费用由乙方承担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</w:t>
      </w:r>
      <w:r>
        <w:rPr>
          <w:rFonts w:hint="eastAsia" w:ascii="宋体" w:hAnsi="宋体" w:cs="宋体"/>
          <w:kern w:val="2"/>
          <w:sz w:val="28"/>
          <w:szCs w:val="28"/>
          <w:lang w:val="en-US" w:eastAsia="zh-CN" w:bidi="ar-SA"/>
        </w:rPr>
        <w:t>5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由于不可抗力或者意外事件等原因，导致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车辆</w:t>
      </w:r>
      <w:r>
        <w:rPr>
          <w:rFonts w:hint="eastAsia" w:ascii="宋体" w:hAnsi="宋体" w:eastAsia="宋体" w:cs="宋体"/>
          <w:sz w:val="28"/>
          <w:szCs w:val="28"/>
        </w:rPr>
        <w:t>在使用过程中车辆灭失、毁损的，</w:t>
      </w:r>
      <w:r>
        <w:rPr>
          <w:rFonts w:hint="eastAsia" w:ascii="宋体" w:hAnsi="宋体" w:cs="宋体"/>
          <w:sz w:val="28"/>
          <w:szCs w:val="28"/>
          <w:lang w:val="en-US" w:eastAsia="zh-CN"/>
        </w:rPr>
        <w:t>甲方</w:t>
      </w:r>
      <w:r>
        <w:rPr>
          <w:rFonts w:hint="eastAsia" w:ascii="宋体" w:hAnsi="宋体" w:eastAsia="宋体" w:cs="宋体"/>
          <w:sz w:val="28"/>
          <w:szCs w:val="28"/>
        </w:rPr>
        <w:t>不承担有关车辆的赔偿、修复等责任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乙方承担乙方</w:t>
      </w:r>
      <w:r>
        <w:rPr>
          <w:rFonts w:hint="eastAsia" w:ascii="宋体" w:hAnsi="宋体" w:eastAsia="宋体" w:cs="宋体"/>
          <w:sz w:val="28"/>
          <w:szCs w:val="28"/>
        </w:rPr>
        <w:t>驾驶员驾驶车辆发生交通事故、意外事故，导致租赁车辆灭失毁损或被盗抢、驾驶员或者</w:t>
      </w:r>
      <w:r>
        <w:rPr>
          <w:rFonts w:hint="eastAsia" w:ascii="宋体" w:hAnsi="宋体" w:cs="宋体"/>
          <w:sz w:val="28"/>
          <w:szCs w:val="28"/>
          <w:lang w:val="en-US" w:eastAsia="zh-CN"/>
        </w:rPr>
        <w:t>甲方</w:t>
      </w:r>
      <w:r>
        <w:rPr>
          <w:rFonts w:hint="eastAsia" w:ascii="宋体" w:hAnsi="宋体" w:eastAsia="宋体" w:cs="宋体"/>
          <w:sz w:val="28"/>
          <w:szCs w:val="28"/>
        </w:rPr>
        <w:t>及其人员或者第三人人身伤亡、财产损失的全部赔偿责任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ind w:firstLine="560" w:firstLineChars="200"/>
        <w:rPr>
          <w:rFonts w:hint="eastAsia"/>
          <w:b/>
          <w:bCs/>
          <w:color w:val="auto"/>
          <w:sz w:val="30"/>
          <w:szCs w:val="30"/>
          <w:highlight w:val="none"/>
          <w:lang w:val="en-US" w:eastAsia="zh-CN"/>
        </w:rPr>
        <w:sectPr>
          <w:headerReference r:id="rId7" w:type="default"/>
          <w:footerReference r:id="rId8" w:type="default"/>
          <w:pgSz w:w="11906" w:h="16838"/>
          <w:pgMar w:top="1134" w:right="1321" w:bottom="879" w:left="1321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  <w:r>
        <w:rPr>
          <w:rFonts w:hint="eastAsia" w:ascii="宋体" w:hAnsi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履行合同过程中，乙方人员安全问题由乙方负责。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本技术规范书由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招标方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解释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pStyle w:val="5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562" w:firstLineChars="200"/>
        <w:textAlignment w:val="auto"/>
        <w:outlineLvl w:val="0"/>
        <w:rPr>
          <w:rFonts w:hint="default" w:hAnsi="宋体" w:cs="宋体"/>
          <w:b/>
          <w:color w:val="auto"/>
          <w:spacing w:val="0"/>
          <w:kern w:val="2"/>
          <w:positio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hAnsi="宋体" w:cs="宋体"/>
          <w:b/>
          <w:bCs w:val="0"/>
          <w:color w:val="auto"/>
          <w:spacing w:val="0"/>
          <w:kern w:val="2"/>
          <w:position w:val="0"/>
          <w:sz w:val="28"/>
          <w:szCs w:val="28"/>
          <w:highlight w:val="none"/>
          <w:shd w:val="clear" w:color="auto" w:fill="auto"/>
          <w:lang w:val="en-US" w:eastAsia="zh-CN" w:bidi="ar-SA"/>
        </w:rPr>
        <w:t>四、车辆</w:t>
      </w:r>
      <w:r>
        <w:rPr>
          <w:rFonts w:hint="eastAsia" w:hAnsi="宋体" w:cs="宋体"/>
          <w:b/>
          <w:color w:val="auto"/>
          <w:spacing w:val="0"/>
          <w:kern w:val="2"/>
          <w:position w:val="0"/>
          <w:sz w:val="28"/>
          <w:szCs w:val="28"/>
          <w:highlight w:val="none"/>
          <w:shd w:val="clear" w:color="auto" w:fill="auto"/>
          <w:lang w:val="en-US" w:eastAsia="zh-CN" w:bidi="ar-SA"/>
        </w:rPr>
        <w:t>配置参数</w:t>
      </w:r>
    </w:p>
    <w:tbl>
      <w:tblPr>
        <w:tblStyle w:val="2"/>
        <w:tblpPr w:leftFromText="180" w:rightFromText="180" w:vertAnchor="text" w:tblpX="10693" w:tblpY="-172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shd w:val="clear" w:color="auto" w:fill="auto"/>
            <w:noWrap w:val="0"/>
          </w:tcPr>
          <w:p>
            <w:pPr>
              <w:autoSpaceDE w:val="0"/>
              <w:autoSpaceDN w:val="0"/>
              <w:adjustRightInd w:val="0"/>
              <w:snapToGrid w:val="0"/>
              <w:jc w:val="both"/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  <w:vertAlign w:val="baseline"/>
              </w:rPr>
            </w:pPr>
          </w:p>
        </w:tc>
      </w:tr>
    </w:tbl>
    <w:p>
      <w:pPr>
        <w:numPr>
          <w:ilvl w:val="0"/>
          <w:numId w:val="0"/>
        </w:numPr>
        <w:autoSpaceDE w:val="0"/>
        <w:autoSpaceDN w:val="0"/>
        <w:adjustRightInd w:val="0"/>
        <w:snapToGrid w:val="0"/>
        <w:spacing w:line="360" w:lineRule="auto"/>
        <w:ind w:firstLine="560" w:firstLineChars="200"/>
        <w:jc w:val="both"/>
        <w:rPr>
          <w:rFonts w:hint="eastAsia" w:ascii="宋体" w:hAnsi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1、30-39座、45-49座或50-55座的中巴车/大巴车，新能源车/汽油车。</w:t>
      </w:r>
    </w:p>
    <w:p>
      <w:pPr>
        <w:numPr>
          <w:ilvl w:val="0"/>
          <w:numId w:val="0"/>
        </w:numPr>
        <w:autoSpaceDE w:val="0"/>
        <w:autoSpaceDN w:val="0"/>
        <w:adjustRightInd w:val="0"/>
        <w:snapToGrid w:val="0"/>
        <w:spacing w:line="360" w:lineRule="auto"/>
        <w:ind w:firstLine="560" w:firstLineChars="200"/>
        <w:jc w:val="both"/>
        <w:rPr>
          <w:rFonts w:hint="eastAsia" w:ascii="宋体" w:hAnsi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2、车辆要求在5年车龄内，外观及内饰要求干净整洁卫生。</w:t>
      </w:r>
    </w:p>
    <w:p>
      <w:pPr>
        <w:numPr>
          <w:ilvl w:val="0"/>
          <w:numId w:val="0"/>
        </w:numPr>
        <w:autoSpaceDE w:val="0"/>
        <w:autoSpaceDN w:val="0"/>
        <w:adjustRightInd w:val="0"/>
        <w:snapToGrid w:val="0"/>
        <w:spacing w:line="360" w:lineRule="auto"/>
        <w:ind w:firstLine="560" w:firstLineChars="200"/>
        <w:jc w:val="both"/>
        <w:rPr>
          <w:rFonts w:hint="default" w:ascii="宋体" w:hAnsi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3、车载灭火器、安全锤等车辆安全设施配置齐全。</w:t>
      </w:r>
    </w:p>
    <w:p>
      <w:pPr>
        <w:widowControl w:val="0"/>
        <w:numPr>
          <w:ilvl w:val="0"/>
          <w:numId w:val="0"/>
        </w:numPr>
        <w:autoSpaceDE w:val="0"/>
        <w:autoSpaceDN w:val="0"/>
        <w:adjustRightInd w:val="0"/>
        <w:snapToGrid w:val="0"/>
        <w:spacing w:line="360" w:lineRule="auto"/>
        <w:jc w:val="both"/>
        <w:rPr>
          <w:rFonts w:hint="eastAsia" w:ascii="宋体" w:hAnsi="宋体" w:cs="宋体"/>
          <w:color w:val="000000"/>
          <w:szCs w:val="21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Fonts w:hint="eastAsia"/>
          <w:sz w:val="30"/>
          <w:szCs w:val="30"/>
          <w:lang w:val="en-US" w:eastAsia="zh-CN"/>
        </w:rPr>
      </w:pPr>
    </w:p>
    <w:sectPr>
      <w:headerReference r:id="rId9" w:type="default"/>
      <w:type w:val="continuous"/>
      <w:pgSz w:w="11906" w:h="16838"/>
      <w:pgMar w:top="2098" w:right="1321" w:bottom="1219" w:left="132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pict>
        <v:shape id="文本框 9" o:spid="_x0000_s2059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>
          <v:path/>
          <v:fill on="f" focussize="0,0"/>
          <v:stroke on="f"/>
          <v:imagedata o:title=""/>
          <o:lock v:ext="edit"/>
          <v:textbox inset="0mm,0mm,0mm,0mm" style="mso-fit-shape-to-text:t;">
            <w:txbxContent>
              <w:p>
                <w:pPr>
                  <w:pStyle w:val="8"/>
                  <w:rPr>
                    <w:rFonts w:hint="eastAsia" w:eastAsia="宋体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t xml:space="preserve">第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 共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NUMPAGES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6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pict>
        <v:shape id="文本框 10" o:spid="_x0000_s2069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>
          <v:path/>
          <v:fill on="f" focussize="0,0"/>
          <v:stroke on="f"/>
          <v:imagedata o:title=""/>
          <o:lock v:ext="edit"/>
          <v:textbox inset="0mm,0mm,0mm,0mm" style="mso-fit-shape-to-text:t;">
            <w:txbxContent>
              <w:p>
                <w:pPr>
                  <w:pStyle w:val="8"/>
                  <w:rPr>
                    <w:rFonts w:hint="eastAsia" w:eastAsia="宋体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t xml:space="preserve">第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 共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NUMPAGES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6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</w:t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pict>
        <v:shape id="文本框 11" o:spid="_x0000_s2079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>
          <v:path/>
          <v:fill on="f" focussize="0,0"/>
          <v:stroke on="f"/>
          <v:imagedata o:title=""/>
          <o:lock v:ext="edit"/>
          <v:textbox inset="0mm,0mm,0mm,0mm" style="mso-fit-shape-to-text:t;">
            <w:txbxContent>
              <w:p>
                <w:pPr>
                  <w:pStyle w:val="8"/>
                  <w:rPr>
                    <w:rFonts w:hint="eastAsia" w:eastAsia="宋体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t xml:space="preserve">第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 共 </w:t>
                </w: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NUMPAGES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6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  <w:r>
                  <w:rPr>
                    <w:rFonts w:hint="eastAsia"/>
                    <w:lang w:eastAsia="zh-CN"/>
                  </w:rPr>
                  <w:t xml:space="preserve"> 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</w:pPr>
    <w:r>
      <w:pict>
        <v:shape id="_x0000_s2049" o:spid="_x0000_s2049" o:spt="202" type="#_x0000_t202" style="position:absolute;left:0pt;margin-top:0pt;height:144pt;width:144pt;mso-position-horizontal:in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/>
          <v:textbox inset="0mm,0mm,0mm,0mm" style="mso-fit-shape-to-text:t;">
            <w:txbxContent>
              <w:p>
                <w:pPr>
                  <w:rPr>
                    <w:rFonts w:hint="eastAsia"/>
                    <w:lang w:eastAsia="zh-CN"/>
                  </w:rPr>
                </w:pPr>
              </w:p>
            </w:txbxContent>
          </v:textbox>
        </v:shape>
      </w:pict>
    </w:r>
    <w:r>
      <w:pict>
        <v:shape id="_x0000_s2050" o:spid="_x0000_s2050" o:spt="75" type="#_x0000_t75" style="position:absolute;left:0pt;margin-left:-5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1" o:spid="_x0000_s2051" o:spt="75" type="#_x0000_t75" style="position:absolute;left:0pt;margin-left:16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2" o:spid="_x0000_s2052" o:spt="75" type="#_x0000_t75" style="position:absolute;left:0pt;margin-left:37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3" o:spid="_x0000_s2053" o:spt="75" type="#_x0000_t75" style="position:absolute;left:0pt;margin-left:-5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4" o:spid="_x0000_s2054" o:spt="75" type="#_x0000_t75" style="position:absolute;left:0pt;margin-left:16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5" o:spid="_x0000_s2055" o:spt="75" type="#_x0000_t75" style="position:absolute;left:0pt;margin-left:37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6" o:spid="_x0000_s2056" o:spt="75" type="#_x0000_t75" style="position:absolute;left:0pt;margin-left:-5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7" o:spid="_x0000_s2057" o:spt="75" type="#_x0000_t75" style="position:absolute;left:0pt;margin-left:16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58" o:spid="_x0000_s2058" o:spt="75" type="#_x0000_t75" style="position:absolute;left:0pt;margin-left:37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2060" o:spid="_x0000_s2060" o:spt="75" type="#_x0000_t75" style="position:absolute;left:0pt;margin-left:-5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1" o:spid="_x0000_s2061" o:spt="75" type="#_x0000_t75" style="position:absolute;left:0pt;margin-left:16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2" o:spid="_x0000_s2062" o:spt="75" type="#_x0000_t75" style="position:absolute;left:0pt;margin-left:37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3" o:spid="_x0000_s2063" o:spt="75" type="#_x0000_t75" style="position:absolute;left:0pt;margin-left:-5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4" o:spid="_x0000_s2064" o:spt="75" type="#_x0000_t75" style="position:absolute;left:0pt;margin-left:16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5" o:spid="_x0000_s2065" o:spt="75" type="#_x0000_t75" style="position:absolute;left:0pt;margin-left:37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6" o:spid="_x0000_s2066" o:spt="75" type="#_x0000_t75" style="position:absolute;left:0pt;margin-left:-5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7" o:spid="_x0000_s2067" o:spt="75" type="#_x0000_t75" style="position:absolute;left:0pt;margin-left:16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68" o:spid="_x0000_s2068" o:spt="75" type="#_x0000_t75" style="position:absolute;left:0pt;margin-left:37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2070" o:spid="_x0000_s2070" o:spt="75" type="#_x0000_t75" style="position:absolute;left:0pt;margin-left:-5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71" o:spid="_x0000_s2071" o:spt="75" type="#_x0000_t75" style="position:absolute;left:0pt;margin-left:16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72" o:spid="_x0000_s2072" o:spt="75" type="#_x0000_t75" style="position:absolute;left:0pt;margin-left:37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73" o:spid="_x0000_s2073" o:spt="75" type="#_x0000_t75" style="position:absolute;left:0pt;margin-left:-5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74" o:spid="_x0000_s2074" o:spt="75" type="#_x0000_t75" style="position:absolute;left:0pt;margin-left:16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75" o:spid="_x0000_s2075" o:spt="75" type="#_x0000_t75" style="position:absolute;left:0pt;margin-left:37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76" o:spid="_x0000_s2076" o:spt="75" type="#_x0000_t75" style="position:absolute;left:0pt;margin-left:-5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77" o:spid="_x0000_s2077" o:spt="75" type="#_x0000_t75" style="position:absolute;left:0pt;margin-left:16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78" o:spid="_x0000_s2078" o:spt="75" type="#_x0000_t75" style="position:absolute;left:0pt;margin-left:37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2080" o:spid="_x0000_s2080" o:spt="75" type="#_x0000_t75" style="position:absolute;left:0pt;margin-left:-5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81" o:spid="_x0000_s2081" o:spt="75" type="#_x0000_t75" style="position:absolute;left:0pt;margin-left:16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82" o:spid="_x0000_s2082" o:spt="75" type="#_x0000_t75" style="position:absolute;left:0pt;margin-left:370pt;margin-top:2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83" o:spid="_x0000_s2083" o:spt="75" type="#_x0000_t75" style="position:absolute;left:0pt;margin-left:-5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84" o:spid="_x0000_s2084" o:spt="75" type="#_x0000_t75" style="position:absolute;left:0pt;margin-left:16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85" o:spid="_x0000_s2085" o:spt="75" type="#_x0000_t75" style="position:absolute;left:0pt;margin-left:370pt;margin-top:340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86" o:spid="_x0000_s2086" o:spt="75" type="#_x0000_t75" style="position:absolute;left:0pt;margin-left:-5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87" o:spid="_x0000_s2087" o:spt="75" type="#_x0000_t75" style="position:absolute;left:0pt;margin-left:16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2088" o:spid="_x0000_s2088" o:spt="75" type="#_x0000_t75" style="position:absolute;left:0pt;margin-left:370pt;margin-top:655pt;height:76pt;width:100pt;z-index:-251655168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503235"/>
    <w:multiLevelType w:val="singleLevel"/>
    <w:tmpl w:val="D350323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053208E"/>
    <w:multiLevelType w:val="singleLevel"/>
    <w:tmpl w:val="0053208E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3NmNhNmQyNjI2NTI0N2YxMmFlMzM2YmU0MTg0YTUifQ=="/>
  </w:docVars>
  <w:rsids>
    <w:rsidRoot w:val="00000000"/>
    <w:rsid w:val="00482D85"/>
    <w:rsid w:val="009F3794"/>
    <w:rsid w:val="04704EA2"/>
    <w:rsid w:val="056623E8"/>
    <w:rsid w:val="069914E0"/>
    <w:rsid w:val="07234A9B"/>
    <w:rsid w:val="093A4032"/>
    <w:rsid w:val="0B61723B"/>
    <w:rsid w:val="0C4F583E"/>
    <w:rsid w:val="0DFA5B87"/>
    <w:rsid w:val="0ECF23DA"/>
    <w:rsid w:val="0F65090D"/>
    <w:rsid w:val="10806817"/>
    <w:rsid w:val="110348F8"/>
    <w:rsid w:val="121015B2"/>
    <w:rsid w:val="148F7048"/>
    <w:rsid w:val="155C2F18"/>
    <w:rsid w:val="16DB7EC5"/>
    <w:rsid w:val="182F1ABD"/>
    <w:rsid w:val="185E7CF8"/>
    <w:rsid w:val="18D212C6"/>
    <w:rsid w:val="19E7558B"/>
    <w:rsid w:val="1A8B191C"/>
    <w:rsid w:val="1AF76A4D"/>
    <w:rsid w:val="1C6928D5"/>
    <w:rsid w:val="1F2B1308"/>
    <w:rsid w:val="1F7B3932"/>
    <w:rsid w:val="1F894BD4"/>
    <w:rsid w:val="20816A63"/>
    <w:rsid w:val="21B6105F"/>
    <w:rsid w:val="21BF3EED"/>
    <w:rsid w:val="21C734F7"/>
    <w:rsid w:val="23097387"/>
    <w:rsid w:val="235B7191"/>
    <w:rsid w:val="2387044E"/>
    <w:rsid w:val="23AA6F10"/>
    <w:rsid w:val="24DB7B2B"/>
    <w:rsid w:val="284164BC"/>
    <w:rsid w:val="287E64FF"/>
    <w:rsid w:val="29956B1D"/>
    <w:rsid w:val="299D5A3E"/>
    <w:rsid w:val="2B873EF8"/>
    <w:rsid w:val="2B8755E1"/>
    <w:rsid w:val="2BA90B57"/>
    <w:rsid w:val="2BFF06BF"/>
    <w:rsid w:val="2CA60ACC"/>
    <w:rsid w:val="30DE49BA"/>
    <w:rsid w:val="31D616CE"/>
    <w:rsid w:val="33E252CE"/>
    <w:rsid w:val="35CF2253"/>
    <w:rsid w:val="36E865A3"/>
    <w:rsid w:val="37211C00"/>
    <w:rsid w:val="3D79069C"/>
    <w:rsid w:val="3D9F37A9"/>
    <w:rsid w:val="3E6B715C"/>
    <w:rsid w:val="400E4827"/>
    <w:rsid w:val="44F25161"/>
    <w:rsid w:val="452B6409"/>
    <w:rsid w:val="463333B8"/>
    <w:rsid w:val="468808C3"/>
    <w:rsid w:val="471339E5"/>
    <w:rsid w:val="495B1666"/>
    <w:rsid w:val="4AC779BE"/>
    <w:rsid w:val="4BC81760"/>
    <w:rsid w:val="4F1869D4"/>
    <w:rsid w:val="507D0499"/>
    <w:rsid w:val="513534CB"/>
    <w:rsid w:val="515F3303"/>
    <w:rsid w:val="51897005"/>
    <w:rsid w:val="52435C07"/>
    <w:rsid w:val="53516CBE"/>
    <w:rsid w:val="540F6177"/>
    <w:rsid w:val="557669C3"/>
    <w:rsid w:val="55FA5985"/>
    <w:rsid w:val="57335A1F"/>
    <w:rsid w:val="5A0F6902"/>
    <w:rsid w:val="5C6D49B2"/>
    <w:rsid w:val="5E16558D"/>
    <w:rsid w:val="5F153D68"/>
    <w:rsid w:val="5FAB6E93"/>
    <w:rsid w:val="604E7E90"/>
    <w:rsid w:val="605D1C94"/>
    <w:rsid w:val="60F560A0"/>
    <w:rsid w:val="61140B53"/>
    <w:rsid w:val="62153394"/>
    <w:rsid w:val="63361AD4"/>
    <w:rsid w:val="633C39DB"/>
    <w:rsid w:val="63E776F7"/>
    <w:rsid w:val="640A78AC"/>
    <w:rsid w:val="67963CC3"/>
    <w:rsid w:val="68087881"/>
    <w:rsid w:val="684E502D"/>
    <w:rsid w:val="685427BA"/>
    <w:rsid w:val="68F24564"/>
    <w:rsid w:val="69162878"/>
    <w:rsid w:val="69164A76"/>
    <w:rsid w:val="698A2836"/>
    <w:rsid w:val="69CD7DA4"/>
    <w:rsid w:val="6AA73F08"/>
    <w:rsid w:val="6B1B42E7"/>
    <w:rsid w:val="6B786B68"/>
    <w:rsid w:val="6B7D2C66"/>
    <w:rsid w:val="6C375918"/>
    <w:rsid w:val="6D83593A"/>
    <w:rsid w:val="6E3B3456"/>
    <w:rsid w:val="6F2B5D0E"/>
    <w:rsid w:val="6F5002D8"/>
    <w:rsid w:val="6F7118E2"/>
    <w:rsid w:val="702C5898"/>
    <w:rsid w:val="70D75008"/>
    <w:rsid w:val="71C946F9"/>
    <w:rsid w:val="730F0E54"/>
    <w:rsid w:val="74A2493E"/>
    <w:rsid w:val="76F31A34"/>
    <w:rsid w:val="770819D9"/>
    <w:rsid w:val="790D55A6"/>
    <w:rsid w:val="7A5C074B"/>
    <w:rsid w:val="7AAF5FD7"/>
    <w:rsid w:val="7C6565A2"/>
    <w:rsid w:val="7C6C5F2D"/>
    <w:rsid w:val="7E377B2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5">
    <w:name w:val="标题 11"/>
    <w:basedOn w:val="1"/>
    <w:next w:val="1"/>
    <w:qFormat/>
    <w:uiPriority w:val="0"/>
    <w:pPr>
      <w:keepNext/>
      <w:snapToGrid w:val="0"/>
      <w:spacing w:line="360" w:lineRule="atLeast"/>
      <w:outlineLvl w:val="0"/>
    </w:pPr>
    <w:rPr>
      <w:rFonts w:ascii="宋体" w:hAnsi="Times New Roman"/>
      <w:sz w:val="28"/>
    </w:rPr>
  </w:style>
  <w:style w:type="character" w:customStyle="1" w:styleId="6">
    <w:name w:val="默认段落字体1"/>
    <w:semiHidden/>
    <w:qFormat/>
    <w:uiPriority w:val="0"/>
  </w:style>
  <w:style w:type="table" w:customStyle="1" w:styleId="7">
    <w:name w:val="普通表格1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页脚1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9">
    <w:name w:val="页眉1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0">
    <w:name w:val="标题1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  <w:szCs w:val="20"/>
    </w:rPr>
  </w:style>
  <w:style w:type="paragraph" w:customStyle="1" w:styleId="11">
    <w:name w:val="正文文本1"/>
    <w:basedOn w:val="1"/>
    <w:next w:val="10"/>
    <w:unhideWhenUsed/>
    <w:qFormat/>
    <w:uiPriority w:val="0"/>
    <w:pPr>
      <w:spacing w:after="120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2">
    <w:name w:val="目录 21"/>
    <w:basedOn w:val="1"/>
    <w:next w:val="1"/>
    <w:qFormat/>
    <w:uiPriority w:val="0"/>
    <w:pPr>
      <w:spacing w:before="100" w:beforeAutospacing="1" w:after="100" w:afterAutospacing="1" w:line="240" w:lineRule="auto"/>
      <w:ind w:left="420" w:leftChars="200"/>
    </w:pPr>
    <w:rPr>
      <w:rFonts w:cs="Times New Roman"/>
    </w:rPr>
  </w:style>
  <w:style w:type="table" w:customStyle="1" w:styleId="13">
    <w:name w:val="网格型1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3.xml"/><Relationship Id="rId7" Type="http://schemas.openxmlformats.org/officeDocument/2006/relationships/header" Target="header3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3.jpeg"/><Relationship Id="rId11" Type="http://schemas.openxmlformats.org/officeDocument/2006/relationships/image" Target="media/image2.jpe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7"/>
    <customShpInfo spid="_x0000_s2058"/>
    <customShpInfo spid="_x0000_s2059"/>
    <customShpInfo spid="_x0000_s2060"/>
    <customShpInfo spid="_x0000_s2061"/>
    <customShpInfo spid="_x0000_s2062"/>
    <customShpInfo spid="_x0000_s2063"/>
    <customShpInfo spid="_x0000_s2064"/>
    <customShpInfo spid="_x0000_s2065"/>
    <customShpInfo spid="_x0000_s2066"/>
    <customShpInfo spid="_x0000_s2067"/>
    <customShpInfo spid="_x0000_s2068"/>
    <customShpInfo spid="_x0000_s2069"/>
    <customShpInfo spid="_x0000_s2070"/>
    <customShpInfo spid="_x0000_s2071"/>
    <customShpInfo spid="_x0000_s2072"/>
    <customShpInfo spid="_x0000_s2073"/>
    <customShpInfo spid="_x0000_s2074"/>
    <customShpInfo spid="_x0000_s2075"/>
    <customShpInfo spid="_x0000_s2076"/>
    <customShpInfo spid="_x0000_s2077"/>
    <customShpInfo spid="_x0000_s2078"/>
    <customShpInfo spid="_x0000_s2079"/>
    <customShpInfo spid="_x0000_s2080"/>
    <customShpInfo spid="_x0000_s2081"/>
    <customShpInfo spid="_x0000_s2082"/>
    <customShpInfo spid="_x0000_s2083"/>
    <customShpInfo spid="_x0000_s2084"/>
    <customShpInfo spid="_x0000_s2085"/>
    <customShpInfo spid="_x0000_s2086"/>
    <customShpInfo spid="_x0000_s2087"/>
    <customShpInfo spid="_x0000_s2088"/>
    <customShpInfo spid="_x0000_s1026"/>
    <customShpInfo spid="_x0000_s1027"/>
    <customShpInfo spid="_x0000_s1028"/>
    <customShpInfo spid="_x0000_s1029"/>
    <customShpInfo spid="_x0000_s103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2062</Words>
  <Characters>2264</Characters>
  <Lines>0</Lines>
  <Paragraphs>0</Paragraphs>
  <TotalTime>74</TotalTime>
  <ScaleCrop>false</ScaleCrop>
  <LinksUpToDate>false</LinksUpToDate>
  <CharactersWithSpaces>2287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chenzhi.sbd</cp:lastModifiedBy>
  <cp:lastPrinted>2023-06-26T01:03:00Z</cp:lastPrinted>
  <dcterms:modified xsi:type="dcterms:W3CDTF">2026-09-21T06:47:42Z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213D2AEFDF6448A498241842062FA2F8</vt:lpwstr>
  </property>
</Properties>
</file>