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1FBF1">
      <w:pPr>
        <w:spacing w:after="360" w:line="240" w:lineRule="auto"/>
      </w:pPr>
    </w:p>
    <w:p w14:paraId="59BB47F5">
      <w:pPr>
        <w:spacing w:after="360" w:line="240" w:lineRule="auto"/>
      </w:pPr>
    </w:p>
    <w:p w14:paraId="00C46224">
      <w:pPr>
        <w:spacing w:after="360" w:line="240" w:lineRule="auto"/>
      </w:pPr>
    </w:p>
    <w:p w14:paraId="08F5B448">
      <w:pPr>
        <w:spacing w:after="360" w:line="240" w:lineRule="auto"/>
      </w:pPr>
    </w:p>
    <w:p w14:paraId="5511E049">
      <w:pPr>
        <w:spacing w:after="360" w:line="240" w:lineRule="auto"/>
      </w:pPr>
    </w:p>
    <w:p w14:paraId="29D6235B">
      <w:pPr>
        <w:pStyle w:val="33"/>
        <w:rPr>
          <w:lang w:eastAsia="zh-CN"/>
        </w:rPr>
      </w:pPr>
      <w:r>
        <w:rPr>
          <w:rFonts w:hint="eastAsia" w:ascii="Arial" w:hAnsi="Arial" w:eastAsia="黑体"/>
          <w:lang w:eastAsia="zh-CN"/>
        </w:rPr>
        <w:t>基于液压原理的变压器油位计便携式校验装置B类推广</w:t>
      </w:r>
      <w:r>
        <w:rPr>
          <w:rFonts w:ascii="Arial" w:hAnsi="Arial" w:eastAsia="黑体"/>
          <w:lang w:eastAsia="zh-CN"/>
        </w:rPr>
        <w:br w:type="textWrapping"/>
      </w:r>
      <w:r>
        <w:rPr>
          <w:rFonts w:hint="eastAsia" w:ascii="Arial" w:hAnsi="Arial" w:eastAsia="黑体"/>
          <w:lang w:val="en-US" w:eastAsia="zh-CN"/>
        </w:rPr>
        <w:t>测试加工</w:t>
      </w:r>
      <w:r>
        <w:rPr>
          <w:rFonts w:ascii="Arial" w:hAnsi="Arial" w:eastAsia="黑体"/>
          <w:lang w:eastAsia="zh-CN"/>
        </w:rPr>
        <w:t>技术规范书</w:t>
      </w:r>
    </w:p>
    <w:p w14:paraId="17171927">
      <w:pPr>
        <w:spacing w:after="360" w:line="240" w:lineRule="auto"/>
        <w:rPr>
          <w:lang w:eastAsia="zh-CN"/>
        </w:rPr>
      </w:pPr>
    </w:p>
    <w:p w14:paraId="6C2C9E65">
      <w:pPr>
        <w:spacing w:after="360" w:line="240" w:lineRule="auto"/>
        <w:rPr>
          <w:lang w:eastAsia="zh-CN"/>
        </w:rPr>
      </w:pPr>
    </w:p>
    <w:p w14:paraId="06C56F7F">
      <w:pPr>
        <w:spacing w:after="360" w:line="240" w:lineRule="auto"/>
        <w:rPr>
          <w:lang w:eastAsia="zh-CN"/>
        </w:rPr>
      </w:pPr>
    </w:p>
    <w:p w14:paraId="119AE0BE">
      <w:pPr>
        <w:jc w:val="center"/>
        <w:rPr>
          <w:lang w:eastAsia="zh-CN"/>
        </w:rPr>
      </w:pPr>
      <w:r>
        <w:rPr>
          <w:sz w:val="28"/>
          <w:lang w:eastAsia="zh-CN"/>
        </w:rPr>
        <w:t>项目名称：</w:t>
      </w:r>
      <w:r>
        <w:rPr>
          <w:rFonts w:hint="eastAsia"/>
          <w:sz w:val="28"/>
          <w:lang w:val="en-US" w:eastAsia="zh-CN"/>
        </w:rPr>
        <w:t>汕头局</w:t>
      </w:r>
      <w:r>
        <w:rPr>
          <w:rFonts w:hint="eastAsia"/>
          <w:sz w:val="28"/>
          <w:lang w:eastAsia="zh-CN"/>
        </w:rPr>
        <w:t>基于液压原理的变压器油位计便携式校验装置B类推广</w:t>
      </w:r>
    </w:p>
    <w:p w14:paraId="7DAC9B55">
      <w:pPr>
        <w:jc w:val="center"/>
        <w:rPr>
          <w:lang w:eastAsia="zh-CN"/>
        </w:rPr>
      </w:pPr>
      <w:r>
        <w:rPr>
          <w:sz w:val="28"/>
          <w:lang w:eastAsia="zh-CN"/>
        </w:rPr>
        <w:t>编制单位：</w:t>
      </w:r>
      <w:r>
        <w:rPr>
          <w:rFonts w:hint="eastAsia"/>
          <w:sz w:val="28"/>
          <w:lang w:val="en-US" w:eastAsia="zh-CN"/>
        </w:rPr>
        <w:t>汕头供电局</w:t>
      </w:r>
    </w:p>
    <w:p w14:paraId="61D00290">
      <w:pPr>
        <w:jc w:val="center"/>
      </w:pPr>
      <w:r>
        <w:rPr>
          <w:sz w:val="28"/>
        </w:rPr>
        <w:t>编制日期：2026年9月</w:t>
      </w:r>
    </w:p>
    <w:p w14:paraId="03FF43BB">
      <w:pPr>
        <w:sectPr>
          <w:pgSz w:w="11906" w:h="16838"/>
          <w:pgMar w:top="1417" w:right="1417" w:bottom="1417" w:left="1417" w:header="720" w:footer="720" w:gutter="0"/>
          <w:cols w:space="720" w:num="1"/>
          <w:docGrid w:linePitch="360" w:charSpace="0"/>
        </w:sectPr>
      </w:pPr>
    </w:p>
    <w:p w14:paraId="72D6023F">
      <w:pPr>
        <w:spacing w:after="240"/>
        <w:jc w:val="center"/>
      </w:pPr>
      <w:r>
        <w:rPr>
          <w:rFonts w:eastAsia="黑体"/>
          <w:b/>
          <w:sz w:val="32"/>
        </w:rPr>
        <w:t>目  录</w:t>
      </w:r>
    </w:p>
    <w:p w14:paraId="4C58DF8A">
      <w:pPr>
        <w:pStyle w:val="26"/>
        <w:tabs>
          <w:tab w:val="right" w:leader="dot" w:pos="9072"/>
        </w:tabs>
      </w:pPr>
      <w:r>
        <w:fldChar w:fldCharType="begin"/>
      </w:r>
      <w:r>
        <w:instrText xml:space="preserve"> TOC \o "1-2" \h \z \u </w:instrText>
      </w:r>
      <w:r>
        <w:fldChar w:fldCharType="separate"/>
      </w:r>
      <w:r>
        <w:fldChar w:fldCharType="begin"/>
      </w:r>
      <w:r>
        <w:instrText xml:space="preserve"> HYPERLINK \l _Toc28214 </w:instrText>
      </w:r>
      <w:r>
        <w:fldChar w:fldCharType="separate"/>
      </w:r>
      <w:r>
        <w:rPr>
          <w:rFonts w:ascii="Arial" w:hAnsi="Arial" w:eastAsia="黑体"/>
          <w:lang w:eastAsia="zh-CN"/>
        </w:rPr>
        <w:t>1 总则</w:t>
      </w:r>
      <w:r>
        <w:tab/>
      </w:r>
      <w:r>
        <w:fldChar w:fldCharType="begin"/>
      </w:r>
      <w:r>
        <w:instrText xml:space="preserve"> PAGEREF _Toc28214 \h </w:instrText>
      </w:r>
      <w:r>
        <w:fldChar w:fldCharType="separate"/>
      </w:r>
      <w:r>
        <w:t>1</w:t>
      </w:r>
      <w:r>
        <w:fldChar w:fldCharType="end"/>
      </w:r>
      <w:r>
        <w:fldChar w:fldCharType="end"/>
      </w:r>
    </w:p>
    <w:p w14:paraId="5005A25D">
      <w:pPr>
        <w:pStyle w:val="29"/>
        <w:tabs>
          <w:tab w:val="right" w:leader="dot" w:pos="9072"/>
        </w:tabs>
      </w:pPr>
      <w:r>
        <w:fldChar w:fldCharType="begin"/>
      </w:r>
      <w:r>
        <w:instrText xml:space="preserve"> HYPERLINK \l _Toc7287 </w:instrText>
      </w:r>
      <w:r>
        <w:fldChar w:fldCharType="separate"/>
      </w:r>
      <w:r>
        <w:rPr>
          <w:rFonts w:ascii="Arial" w:hAnsi="Arial" w:eastAsia="黑体"/>
          <w:lang w:eastAsia="zh-CN"/>
        </w:rPr>
        <w:t>1.1 目的</w:t>
      </w:r>
      <w:r>
        <w:tab/>
      </w:r>
      <w:r>
        <w:fldChar w:fldCharType="begin"/>
      </w:r>
      <w:r>
        <w:instrText xml:space="preserve"> PAGEREF _Toc7287 \h </w:instrText>
      </w:r>
      <w:r>
        <w:fldChar w:fldCharType="separate"/>
      </w:r>
      <w:r>
        <w:t>1</w:t>
      </w:r>
      <w:r>
        <w:fldChar w:fldCharType="end"/>
      </w:r>
      <w:r>
        <w:fldChar w:fldCharType="end"/>
      </w:r>
    </w:p>
    <w:p w14:paraId="089DB6BC">
      <w:pPr>
        <w:pStyle w:val="29"/>
        <w:tabs>
          <w:tab w:val="right" w:leader="dot" w:pos="9072"/>
        </w:tabs>
      </w:pPr>
      <w:r>
        <w:fldChar w:fldCharType="begin"/>
      </w:r>
      <w:r>
        <w:instrText xml:space="preserve"> HYPERLINK \l _Toc25716 </w:instrText>
      </w:r>
      <w:r>
        <w:fldChar w:fldCharType="separate"/>
      </w:r>
      <w:r>
        <w:rPr>
          <w:rFonts w:ascii="Arial" w:hAnsi="Arial" w:eastAsia="黑体"/>
          <w:lang w:eastAsia="zh-CN"/>
        </w:rPr>
        <w:t>1.2 适用范围</w:t>
      </w:r>
      <w:r>
        <w:tab/>
      </w:r>
      <w:r>
        <w:fldChar w:fldCharType="begin"/>
      </w:r>
      <w:r>
        <w:instrText xml:space="preserve"> PAGEREF _Toc25716 \h </w:instrText>
      </w:r>
      <w:r>
        <w:fldChar w:fldCharType="separate"/>
      </w:r>
      <w:r>
        <w:t>1</w:t>
      </w:r>
      <w:r>
        <w:fldChar w:fldCharType="end"/>
      </w:r>
      <w:r>
        <w:fldChar w:fldCharType="end"/>
      </w:r>
    </w:p>
    <w:p w14:paraId="064B24D0">
      <w:pPr>
        <w:pStyle w:val="29"/>
        <w:tabs>
          <w:tab w:val="right" w:leader="dot" w:pos="9072"/>
        </w:tabs>
      </w:pPr>
      <w:r>
        <w:fldChar w:fldCharType="begin"/>
      </w:r>
      <w:r>
        <w:instrText xml:space="preserve"> HYPERLINK \l _Toc15856 </w:instrText>
      </w:r>
      <w:r>
        <w:fldChar w:fldCharType="separate"/>
      </w:r>
      <w:r>
        <w:rPr>
          <w:rFonts w:ascii="Arial" w:hAnsi="Arial" w:eastAsia="黑体"/>
          <w:lang w:eastAsia="zh-CN"/>
        </w:rPr>
        <w:t>1.3 编制依据</w:t>
      </w:r>
      <w:r>
        <w:tab/>
      </w:r>
      <w:r>
        <w:fldChar w:fldCharType="begin"/>
      </w:r>
      <w:r>
        <w:instrText xml:space="preserve"> PAGEREF _Toc15856 \h </w:instrText>
      </w:r>
      <w:r>
        <w:fldChar w:fldCharType="separate"/>
      </w:r>
      <w:r>
        <w:t>1</w:t>
      </w:r>
      <w:r>
        <w:fldChar w:fldCharType="end"/>
      </w:r>
      <w:r>
        <w:fldChar w:fldCharType="end"/>
      </w:r>
    </w:p>
    <w:p w14:paraId="38022F7F">
      <w:pPr>
        <w:pStyle w:val="26"/>
        <w:tabs>
          <w:tab w:val="right" w:leader="dot" w:pos="9072"/>
        </w:tabs>
      </w:pPr>
      <w:r>
        <w:fldChar w:fldCharType="begin"/>
      </w:r>
      <w:r>
        <w:instrText xml:space="preserve"> HYPERLINK \l _Toc24593 </w:instrText>
      </w:r>
      <w:r>
        <w:fldChar w:fldCharType="separate"/>
      </w:r>
      <w:r>
        <w:rPr>
          <w:rFonts w:ascii="Arial" w:hAnsi="Arial" w:eastAsia="黑体"/>
          <w:lang w:eastAsia="zh-CN"/>
        </w:rPr>
        <w:t>2 项目背景与需求分析</w:t>
      </w:r>
      <w:r>
        <w:tab/>
      </w:r>
      <w:r>
        <w:fldChar w:fldCharType="begin"/>
      </w:r>
      <w:r>
        <w:instrText xml:space="preserve"> PAGEREF _Toc24593 \h </w:instrText>
      </w:r>
      <w:r>
        <w:fldChar w:fldCharType="separate"/>
      </w:r>
      <w:r>
        <w:t>2</w:t>
      </w:r>
      <w:r>
        <w:fldChar w:fldCharType="end"/>
      </w:r>
      <w:r>
        <w:fldChar w:fldCharType="end"/>
      </w:r>
    </w:p>
    <w:p w14:paraId="5C8EABDE">
      <w:pPr>
        <w:pStyle w:val="29"/>
        <w:tabs>
          <w:tab w:val="right" w:leader="dot" w:pos="9072"/>
        </w:tabs>
      </w:pPr>
      <w:r>
        <w:fldChar w:fldCharType="begin"/>
      </w:r>
      <w:r>
        <w:instrText xml:space="preserve"> HYPERLINK \l _Toc25889 </w:instrText>
      </w:r>
      <w:r>
        <w:fldChar w:fldCharType="separate"/>
      </w:r>
      <w:r>
        <w:rPr>
          <w:rFonts w:ascii="Arial" w:hAnsi="Arial" w:eastAsia="黑体"/>
          <w:lang w:eastAsia="zh-CN"/>
        </w:rPr>
        <w:t>2.1 项目背景</w:t>
      </w:r>
      <w:r>
        <w:tab/>
      </w:r>
      <w:r>
        <w:fldChar w:fldCharType="begin"/>
      </w:r>
      <w:r>
        <w:instrText xml:space="preserve"> PAGEREF _Toc25889 \h </w:instrText>
      </w:r>
      <w:r>
        <w:fldChar w:fldCharType="separate"/>
      </w:r>
      <w:r>
        <w:t>2</w:t>
      </w:r>
      <w:r>
        <w:fldChar w:fldCharType="end"/>
      </w:r>
      <w:r>
        <w:fldChar w:fldCharType="end"/>
      </w:r>
    </w:p>
    <w:p w14:paraId="4FE3790B">
      <w:pPr>
        <w:pStyle w:val="29"/>
        <w:tabs>
          <w:tab w:val="right" w:leader="dot" w:pos="9072"/>
        </w:tabs>
      </w:pPr>
      <w:r>
        <w:fldChar w:fldCharType="begin"/>
      </w:r>
      <w:r>
        <w:instrText xml:space="preserve"> HYPERLINK \l _Toc28165 </w:instrText>
      </w:r>
      <w:r>
        <w:fldChar w:fldCharType="separate"/>
      </w:r>
      <w:r>
        <w:rPr>
          <w:rFonts w:ascii="Arial" w:hAnsi="Arial" w:eastAsia="黑体"/>
          <w:lang w:eastAsia="zh-CN"/>
        </w:rPr>
        <w:t>2.2 需求分析</w:t>
      </w:r>
      <w:r>
        <w:tab/>
      </w:r>
      <w:r>
        <w:fldChar w:fldCharType="begin"/>
      </w:r>
      <w:r>
        <w:instrText xml:space="preserve"> PAGEREF _Toc28165 \h </w:instrText>
      </w:r>
      <w:r>
        <w:fldChar w:fldCharType="separate"/>
      </w:r>
      <w:r>
        <w:t>2</w:t>
      </w:r>
      <w:r>
        <w:fldChar w:fldCharType="end"/>
      </w:r>
      <w:r>
        <w:fldChar w:fldCharType="end"/>
      </w:r>
    </w:p>
    <w:p w14:paraId="20234AFE">
      <w:pPr>
        <w:pStyle w:val="26"/>
        <w:tabs>
          <w:tab w:val="right" w:leader="dot" w:pos="9072"/>
        </w:tabs>
      </w:pPr>
      <w:r>
        <w:fldChar w:fldCharType="begin"/>
      </w:r>
      <w:r>
        <w:instrText xml:space="preserve"> HYPERLINK \l _Toc15309 </w:instrText>
      </w:r>
      <w:r>
        <w:fldChar w:fldCharType="separate"/>
      </w:r>
      <w:r>
        <w:rPr>
          <w:rFonts w:ascii="Arial" w:hAnsi="Arial" w:eastAsia="黑体"/>
          <w:lang w:eastAsia="zh-CN"/>
        </w:rPr>
        <w:t>3 总体技术方案</w:t>
      </w:r>
      <w:r>
        <w:tab/>
      </w:r>
      <w:r>
        <w:fldChar w:fldCharType="begin"/>
      </w:r>
      <w:r>
        <w:instrText xml:space="preserve"> PAGEREF _Toc15309 \h </w:instrText>
      </w:r>
      <w:r>
        <w:fldChar w:fldCharType="separate"/>
      </w:r>
      <w:r>
        <w:t>3</w:t>
      </w:r>
      <w:r>
        <w:fldChar w:fldCharType="end"/>
      </w:r>
      <w:r>
        <w:fldChar w:fldCharType="end"/>
      </w:r>
    </w:p>
    <w:p w14:paraId="423D369B">
      <w:pPr>
        <w:pStyle w:val="29"/>
        <w:tabs>
          <w:tab w:val="right" w:leader="dot" w:pos="9072"/>
        </w:tabs>
      </w:pPr>
      <w:r>
        <w:fldChar w:fldCharType="begin"/>
      </w:r>
      <w:r>
        <w:instrText xml:space="preserve"> HYPERLINK \l _Toc18189 </w:instrText>
      </w:r>
      <w:r>
        <w:fldChar w:fldCharType="separate"/>
      </w:r>
      <w:r>
        <w:rPr>
          <w:rFonts w:ascii="Arial" w:hAnsi="Arial" w:eastAsia="黑体"/>
          <w:lang w:eastAsia="zh-CN"/>
        </w:rPr>
        <w:t>3.1 方案概述</w:t>
      </w:r>
      <w:r>
        <w:tab/>
      </w:r>
      <w:r>
        <w:fldChar w:fldCharType="begin"/>
      </w:r>
      <w:r>
        <w:instrText xml:space="preserve"> PAGEREF _Toc18189 \h </w:instrText>
      </w:r>
      <w:r>
        <w:fldChar w:fldCharType="separate"/>
      </w:r>
      <w:r>
        <w:t>3</w:t>
      </w:r>
      <w:r>
        <w:fldChar w:fldCharType="end"/>
      </w:r>
      <w:r>
        <w:fldChar w:fldCharType="end"/>
      </w:r>
    </w:p>
    <w:p w14:paraId="0A9F9FB8">
      <w:pPr>
        <w:pStyle w:val="29"/>
        <w:tabs>
          <w:tab w:val="right" w:leader="dot" w:pos="9072"/>
        </w:tabs>
      </w:pPr>
      <w:r>
        <w:fldChar w:fldCharType="begin"/>
      </w:r>
      <w:r>
        <w:instrText xml:space="preserve"> HYPERLINK \l _Toc32181 </w:instrText>
      </w:r>
      <w:r>
        <w:fldChar w:fldCharType="separate"/>
      </w:r>
      <w:r>
        <w:rPr>
          <w:rFonts w:ascii="Arial" w:hAnsi="Arial" w:eastAsia="黑体"/>
          <w:lang w:eastAsia="zh-CN"/>
        </w:rPr>
        <w:t>3.2 工作原理</w:t>
      </w:r>
      <w:r>
        <w:tab/>
      </w:r>
      <w:r>
        <w:fldChar w:fldCharType="begin"/>
      </w:r>
      <w:r>
        <w:instrText xml:space="preserve"> PAGEREF _Toc32181 \h </w:instrText>
      </w:r>
      <w:r>
        <w:fldChar w:fldCharType="separate"/>
      </w:r>
      <w:r>
        <w:t>3</w:t>
      </w:r>
      <w:r>
        <w:fldChar w:fldCharType="end"/>
      </w:r>
      <w:r>
        <w:fldChar w:fldCharType="end"/>
      </w:r>
    </w:p>
    <w:p w14:paraId="7C586842">
      <w:pPr>
        <w:pStyle w:val="29"/>
        <w:tabs>
          <w:tab w:val="right" w:leader="dot" w:pos="9072"/>
        </w:tabs>
      </w:pPr>
      <w:r>
        <w:fldChar w:fldCharType="begin"/>
      </w:r>
      <w:r>
        <w:instrText xml:space="preserve"> HYPERLINK \l _Toc28149 </w:instrText>
      </w:r>
      <w:r>
        <w:fldChar w:fldCharType="separate"/>
      </w:r>
      <w:r>
        <w:rPr>
          <w:rFonts w:ascii="Arial" w:hAnsi="Arial" w:eastAsia="黑体"/>
          <w:lang w:eastAsia="zh-CN"/>
        </w:rPr>
        <w:t>3.3 系统组成</w:t>
      </w:r>
      <w:r>
        <w:tab/>
      </w:r>
      <w:r>
        <w:fldChar w:fldCharType="begin"/>
      </w:r>
      <w:r>
        <w:instrText xml:space="preserve"> PAGEREF _Toc28149 \h </w:instrText>
      </w:r>
      <w:r>
        <w:fldChar w:fldCharType="separate"/>
      </w:r>
      <w:r>
        <w:t>3</w:t>
      </w:r>
      <w:r>
        <w:fldChar w:fldCharType="end"/>
      </w:r>
      <w:r>
        <w:fldChar w:fldCharType="end"/>
      </w:r>
    </w:p>
    <w:p w14:paraId="1235C39B">
      <w:pPr>
        <w:pStyle w:val="26"/>
        <w:tabs>
          <w:tab w:val="right" w:leader="dot" w:pos="9072"/>
        </w:tabs>
      </w:pPr>
      <w:r>
        <w:fldChar w:fldCharType="begin"/>
      </w:r>
      <w:r>
        <w:instrText xml:space="preserve"> HYPERLINK \l _Toc18498 </w:instrText>
      </w:r>
      <w:r>
        <w:fldChar w:fldCharType="separate"/>
      </w:r>
      <w:r>
        <w:rPr>
          <w:rFonts w:ascii="Arial" w:hAnsi="Arial" w:eastAsia="黑体"/>
          <w:lang w:eastAsia="zh-CN"/>
        </w:rPr>
        <w:t>4 主要技术参数与性能要求</w:t>
      </w:r>
      <w:r>
        <w:tab/>
      </w:r>
      <w:r>
        <w:fldChar w:fldCharType="begin"/>
      </w:r>
      <w:r>
        <w:instrText xml:space="preserve"> PAGEREF _Toc18498 \h </w:instrText>
      </w:r>
      <w:r>
        <w:fldChar w:fldCharType="separate"/>
      </w:r>
      <w:r>
        <w:t>4</w:t>
      </w:r>
      <w:r>
        <w:fldChar w:fldCharType="end"/>
      </w:r>
      <w:r>
        <w:fldChar w:fldCharType="end"/>
      </w:r>
    </w:p>
    <w:p w14:paraId="0C706AAA">
      <w:pPr>
        <w:pStyle w:val="29"/>
        <w:tabs>
          <w:tab w:val="right" w:leader="dot" w:pos="9072"/>
        </w:tabs>
      </w:pPr>
      <w:r>
        <w:fldChar w:fldCharType="begin"/>
      </w:r>
      <w:r>
        <w:instrText xml:space="preserve"> HYPERLINK \l _Toc16674 </w:instrText>
      </w:r>
      <w:r>
        <w:fldChar w:fldCharType="separate"/>
      </w:r>
      <w:r>
        <w:rPr>
          <w:rFonts w:ascii="Arial" w:hAnsi="Arial" w:eastAsia="黑体"/>
          <w:lang w:eastAsia="zh-CN"/>
        </w:rPr>
        <w:t>4.1 主要技术参数</w:t>
      </w:r>
      <w:r>
        <w:tab/>
      </w:r>
      <w:r>
        <w:fldChar w:fldCharType="begin"/>
      </w:r>
      <w:r>
        <w:instrText xml:space="preserve"> PAGEREF _Toc16674 \h </w:instrText>
      </w:r>
      <w:r>
        <w:fldChar w:fldCharType="separate"/>
      </w:r>
      <w:r>
        <w:t>4</w:t>
      </w:r>
      <w:r>
        <w:fldChar w:fldCharType="end"/>
      </w:r>
      <w:r>
        <w:fldChar w:fldCharType="end"/>
      </w:r>
    </w:p>
    <w:p w14:paraId="38FB2207">
      <w:pPr>
        <w:pStyle w:val="29"/>
        <w:tabs>
          <w:tab w:val="right" w:leader="dot" w:pos="9072"/>
        </w:tabs>
      </w:pPr>
      <w:r>
        <w:fldChar w:fldCharType="begin"/>
      </w:r>
      <w:r>
        <w:instrText xml:space="preserve"> HYPERLINK \l _Toc25692 </w:instrText>
      </w:r>
      <w:r>
        <w:fldChar w:fldCharType="separate"/>
      </w:r>
      <w:r>
        <w:rPr>
          <w:rFonts w:ascii="Arial" w:hAnsi="Arial" w:eastAsia="黑体"/>
          <w:lang w:eastAsia="zh-CN"/>
        </w:rPr>
        <w:t>4.2 性能要求</w:t>
      </w:r>
      <w:r>
        <w:tab/>
      </w:r>
      <w:r>
        <w:fldChar w:fldCharType="begin"/>
      </w:r>
      <w:r>
        <w:instrText xml:space="preserve"> PAGEREF _Toc25692 \h </w:instrText>
      </w:r>
      <w:r>
        <w:fldChar w:fldCharType="separate"/>
      </w:r>
      <w:r>
        <w:t>4</w:t>
      </w:r>
      <w:r>
        <w:fldChar w:fldCharType="end"/>
      </w:r>
      <w:r>
        <w:fldChar w:fldCharType="end"/>
      </w:r>
    </w:p>
    <w:p w14:paraId="44A64F69">
      <w:pPr>
        <w:pStyle w:val="26"/>
        <w:tabs>
          <w:tab w:val="right" w:leader="dot" w:pos="9072"/>
        </w:tabs>
      </w:pPr>
      <w:r>
        <w:fldChar w:fldCharType="begin"/>
      </w:r>
      <w:r>
        <w:instrText xml:space="preserve"> HYPERLINK \l _Toc8592 </w:instrText>
      </w:r>
      <w:r>
        <w:fldChar w:fldCharType="separate"/>
      </w:r>
      <w:r>
        <w:rPr>
          <w:rFonts w:ascii="Arial" w:hAnsi="Arial" w:eastAsia="黑体"/>
          <w:lang w:eastAsia="zh-CN"/>
        </w:rPr>
        <w:t>5 功能要求</w:t>
      </w:r>
      <w:r>
        <w:tab/>
      </w:r>
      <w:r>
        <w:fldChar w:fldCharType="begin"/>
      </w:r>
      <w:r>
        <w:instrText xml:space="preserve"> PAGEREF _Toc8592 \h </w:instrText>
      </w:r>
      <w:r>
        <w:fldChar w:fldCharType="separate"/>
      </w:r>
      <w:r>
        <w:t>5</w:t>
      </w:r>
      <w:r>
        <w:fldChar w:fldCharType="end"/>
      </w:r>
      <w:r>
        <w:fldChar w:fldCharType="end"/>
      </w:r>
    </w:p>
    <w:p w14:paraId="579A4A89">
      <w:pPr>
        <w:pStyle w:val="29"/>
        <w:tabs>
          <w:tab w:val="right" w:leader="dot" w:pos="9072"/>
        </w:tabs>
      </w:pPr>
      <w:r>
        <w:fldChar w:fldCharType="begin"/>
      </w:r>
      <w:r>
        <w:instrText xml:space="preserve"> HYPERLINK \l _Toc17401 </w:instrText>
      </w:r>
      <w:r>
        <w:fldChar w:fldCharType="separate"/>
      </w:r>
      <w:r>
        <w:rPr>
          <w:rFonts w:ascii="Arial" w:hAnsi="Arial" w:eastAsia="黑体"/>
          <w:lang w:eastAsia="zh-CN"/>
        </w:rPr>
        <w:t>5.1 油位测量功能</w:t>
      </w:r>
      <w:r>
        <w:tab/>
      </w:r>
      <w:r>
        <w:fldChar w:fldCharType="begin"/>
      </w:r>
      <w:r>
        <w:instrText xml:space="preserve"> PAGEREF _Toc17401 \h </w:instrText>
      </w:r>
      <w:r>
        <w:fldChar w:fldCharType="separate"/>
      </w:r>
      <w:r>
        <w:t>5</w:t>
      </w:r>
      <w:r>
        <w:fldChar w:fldCharType="end"/>
      </w:r>
      <w:r>
        <w:fldChar w:fldCharType="end"/>
      </w:r>
    </w:p>
    <w:p w14:paraId="5DF04B37">
      <w:pPr>
        <w:pStyle w:val="29"/>
        <w:tabs>
          <w:tab w:val="right" w:leader="dot" w:pos="9072"/>
        </w:tabs>
      </w:pPr>
      <w:r>
        <w:fldChar w:fldCharType="begin"/>
      </w:r>
      <w:r>
        <w:instrText xml:space="preserve"> HYPERLINK \l _Toc8866 </w:instrText>
      </w:r>
      <w:r>
        <w:fldChar w:fldCharType="separate"/>
      </w:r>
      <w:r>
        <w:rPr>
          <w:rFonts w:ascii="Arial" w:hAnsi="Arial" w:eastAsia="黑体"/>
          <w:lang w:eastAsia="zh-CN"/>
        </w:rPr>
        <w:t>5.2 油位计校验比对功能</w:t>
      </w:r>
      <w:r>
        <w:tab/>
      </w:r>
      <w:r>
        <w:fldChar w:fldCharType="begin"/>
      </w:r>
      <w:r>
        <w:instrText xml:space="preserve"> PAGEREF _Toc8866 \h </w:instrText>
      </w:r>
      <w:r>
        <w:fldChar w:fldCharType="separate"/>
      </w:r>
      <w:r>
        <w:t>5</w:t>
      </w:r>
      <w:r>
        <w:fldChar w:fldCharType="end"/>
      </w:r>
      <w:r>
        <w:fldChar w:fldCharType="end"/>
      </w:r>
    </w:p>
    <w:p w14:paraId="26CBCE42">
      <w:pPr>
        <w:pStyle w:val="26"/>
        <w:tabs>
          <w:tab w:val="right" w:leader="dot" w:pos="9072"/>
        </w:tabs>
      </w:pPr>
      <w:r>
        <w:fldChar w:fldCharType="begin"/>
      </w:r>
      <w:r>
        <w:instrText xml:space="preserve"> HYPERLINK \l _Toc31020 </w:instrText>
      </w:r>
      <w:r>
        <w:fldChar w:fldCharType="separate"/>
      </w:r>
      <w:r>
        <w:rPr>
          <w:rFonts w:ascii="Arial" w:hAnsi="Arial" w:eastAsia="黑体"/>
          <w:lang w:eastAsia="zh-CN"/>
        </w:rPr>
        <w:t>6 现场使用与作业要求</w:t>
      </w:r>
      <w:r>
        <w:tab/>
      </w:r>
      <w:r>
        <w:fldChar w:fldCharType="begin"/>
      </w:r>
      <w:r>
        <w:instrText xml:space="preserve"> PAGEREF _Toc31020 \h </w:instrText>
      </w:r>
      <w:r>
        <w:fldChar w:fldCharType="separate"/>
      </w:r>
      <w:r>
        <w:t>5</w:t>
      </w:r>
      <w:r>
        <w:fldChar w:fldCharType="end"/>
      </w:r>
      <w:r>
        <w:fldChar w:fldCharType="end"/>
      </w:r>
    </w:p>
    <w:p w14:paraId="4345A812">
      <w:pPr>
        <w:pStyle w:val="29"/>
        <w:tabs>
          <w:tab w:val="right" w:leader="dot" w:pos="9072"/>
        </w:tabs>
      </w:pPr>
      <w:r>
        <w:fldChar w:fldCharType="begin"/>
      </w:r>
      <w:r>
        <w:instrText xml:space="preserve"> HYPERLINK \l _Toc4459 </w:instrText>
      </w:r>
      <w:r>
        <w:fldChar w:fldCharType="separate"/>
      </w:r>
      <w:r>
        <w:rPr>
          <w:rFonts w:ascii="Arial" w:hAnsi="Arial" w:eastAsia="黑体"/>
          <w:lang w:eastAsia="zh-CN"/>
        </w:rPr>
        <w:t>6.1 测量作业流程</w:t>
      </w:r>
      <w:r>
        <w:tab/>
      </w:r>
      <w:r>
        <w:fldChar w:fldCharType="begin"/>
      </w:r>
      <w:r>
        <w:instrText xml:space="preserve"> PAGEREF _Toc4459 \h </w:instrText>
      </w:r>
      <w:r>
        <w:fldChar w:fldCharType="separate"/>
      </w:r>
      <w:r>
        <w:t>5</w:t>
      </w:r>
      <w:r>
        <w:fldChar w:fldCharType="end"/>
      </w:r>
      <w:r>
        <w:fldChar w:fldCharType="end"/>
      </w:r>
    </w:p>
    <w:p w14:paraId="27DFDD04">
      <w:pPr>
        <w:pStyle w:val="29"/>
        <w:tabs>
          <w:tab w:val="right" w:leader="dot" w:pos="9072"/>
        </w:tabs>
      </w:pPr>
      <w:r>
        <w:fldChar w:fldCharType="begin"/>
      </w:r>
      <w:r>
        <w:instrText xml:space="preserve"> HYPERLINK \l _Toc23237 </w:instrText>
      </w:r>
      <w:r>
        <w:fldChar w:fldCharType="separate"/>
      </w:r>
      <w:r>
        <w:rPr>
          <w:rFonts w:ascii="Arial" w:hAnsi="Arial" w:eastAsia="黑体"/>
          <w:lang w:eastAsia="zh-CN"/>
        </w:rPr>
        <w:t>6.2 作业安全要求</w:t>
      </w:r>
      <w:r>
        <w:tab/>
      </w:r>
      <w:r>
        <w:fldChar w:fldCharType="begin"/>
      </w:r>
      <w:r>
        <w:instrText xml:space="preserve"> PAGEREF _Toc23237 \h </w:instrText>
      </w:r>
      <w:r>
        <w:fldChar w:fldCharType="separate"/>
      </w:r>
      <w:r>
        <w:t>6</w:t>
      </w:r>
      <w:r>
        <w:fldChar w:fldCharType="end"/>
      </w:r>
      <w:r>
        <w:fldChar w:fldCharType="end"/>
      </w:r>
    </w:p>
    <w:p w14:paraId="10A9796F">
      <w:pPr>
        <w:pStyle w:val="29"/>
        <w:tabs>
          <w:tab w:val="right" w:leader="dot" w:pos="9072"/>
        </w:tabs>
      </w:pPr>
      <w:r>
        <w:fldChar w:fldCharType="begin"/>
      </w:r>
      <w:r>
        <w:instrText xml:space="preserve"> HYPERLINK \l _Toc22372 </w:instrText>
      </w:r>
      <w:r>
        <w:fldChar w:fldCharType="separate"/>
      </w:r>
      <w:r>
        <w:rPr>
          <w:rFonts w:ascii="Arial" w:hAnsi="Arial" w:eastAsia="黑体"/>
          <w:lang w:eastAsia="zh-CN"/>
        </w:rPr>
        <w:t>6.3 装置维护保养</w:t>
      </w:r>
      <w:r>
        <w:tab/>
      </w:r>
      <w:r>
        <w:fldChar w:fldCharType="begin"/>
      </w:r>
      <w:r>
        <w:instrText xml:space="preserve"> PAGEREF _Toc22372 \h </w:instrText>
      </w:r>
      <w:r>
        <w:fldChar w:fldCharType="separate"/>
      </w:r>
      <w:r>
        <w:t>6</w:t>
      </w:r>
      <w:r>
        <w:fldChar w:fldCharType="end"/>
      </w:r>
      <w:r>
        <w:fldChar w:fldCharType="end"/>
      </w:r>
    </w:p>
    <w:p w14:paraId="64AA6718">
      <w:pPr>
        <w:pStyle w:val="26"/>
        <w:tabs>
          <w:tab w:val="right" w:leader="dot" w:pos="9072"/>
        </w:tabs>
      </w:pPr>
      <w:r>
        <w:fldChar w:fldCharType="begin"/>
      </w:r>
      <w:r>
        <w:instrText xml:space="preserve"> HYPERLINK \l _Toc27317 </w:instrText>
      </w:r>
      <w:r>
        <w:fldChar w:fldCharType="separate"/>
      </w:r>
      <w:r>
        <w:rPr>
          <w:rFonts w:ascii="Arial" w:hAnsi="Arial" w:eastAsia="黑体"/>
          <w:lang w:eastAsia="zh-CN"/>
        </w:rPr>
        <w:t>7 检验、试验与验收要求</w:t>
      </w:r>
      <w:r>
        <w:tab/>
      </w:r>
      <w:r>
        <w:fldChar w:fldCharType="begin"/>
      </w:r>
      <w:r>
        <w:instrText xml:space="preserve"> PAGEREF _Toc27317 \h </w:instrText>
      </w:r>
      <w:r>
        <w:fldChar w:fldCharType="separate"/>
      </w:r>
      <w:r>
        <w:t>6</w:t>
      </w:r>
      <w:r>
        <w:fldChar w:fldCharType="end"/>
      </w:r>
      <w:r>
        <w:fldChar w:fldCharType="end"/>
      </w:r>
    </w:p>
    <w:p w14:paraId="72E3F967">
      <w:pPr>
        <w:pStyle w:val="29"/>
        <w:tabs>
          <w:tab w:val="right" w:leader="dot" w:pos="9072"/>
        </w:tabs>
      </w:pPr>
      <w:r>
        <w:fldChar w:fldCharType="begin"/>
      </w:r>
      <w:r>
        <w:instrText xml:space="preserve"> HYPERLINK \l _Toc7078 </w:instrText>
      </w:r>
      <w:r>
        <w:fldChar w:fldCharType="separate"/>
      </w:r>
      <w:r>
        <w:rPr>
          <w:rFonts w:ascii="Arial" w:hAnsi="Arial" w:eastAsia="黑体"/>
          <w:lang w:eastAsia="zh-CN"/>
        </w:rPr>
        <w:t>7.1 出厂检验</w:t>
      </w:r>
      <w:r>
        <w:tab/>
      </w:r>
      <w:r>
        <w:fldChar w:fldCharType="begin"/>
      </w:r>
      <w:r>
        <w:instrText xml:space="preserve"> PAGEREF _Toc7078 \h </w:instrText>
      </w:r>
      <w:r>
        <w:fldChar w:fldCharType="separate"/>
      </w:r>
      <w:r>
        <w:t>6</w:t>
      </w:r>
      <w:r>
        <w:fldChar w:fldCharType="end"/>
      </w:r>
      <w:r>
        <w:fldChar w:fldCharType="end"/>
      </w:r>
    </w:p>
    <w:p w14:paraId="0059F3E3">
      <w:pPr>
        <w:pStyle w:val="29"/>
        <w:tabs>
          <w:tab w:val="right" w:leader="dot" w:pos="9072"/>
        </w:tabs>
      </w:pPr>
      <w:r>
        <w:fldChar w:fldCharType="begin"/>
      </w:r>
      <w:r>
        <w:instrText xml:space="preserve"> HYPERLINK \l _Toc29912 </w:instrText>
      </w:r>
      <w:r>
        <w:fldChar w:fldCharType="separate"/>
      </w:r>
      <w:r>
        <w:rPr>
          <w:rFonts w:ascii="Arial" w:hAnsi="Arial" w:eastAsia="黑体"/>
          <w:lang w:eastAsia="zh-CN"/>
        </w:rPr>
        <w:t>7.2 现场验收</w:t>
      </w:r>
      <w:r>
        <w:tab/>
      </w:r>
      <w:r>
        <w:fldChar w:fldCharType="begin"/>
      </w:r>
      <w:r>
        <w:instrText xml:space="preserve"> PAGEREF _Toc29912 \h </w:instrText>
      </w:r>
      <w:r>
        <w:fldChar w:fldCharType="separate"/>
      </w:r>
      <w:r>
        <w:t>6</w:t>
      </w:r>
      <w:r>
        <w:fldChar w:fldCharType="end"/>
      </w:r>
      <w:r>
        <w:fldChar w:fldCharType="end"/>
      </w:r>
    </w:p>
    <w:p w14:paraId="592244F4">
      <w:pPr>
        <w:pStyle w:val="26"/>
        <w:tabs>
          <w:tab w:val="right" w:leader="dot" w:pos="9072"/>
        </w:tabs>
      </w:pPr>
      <w:r>
        <w:fldChar w:fldCharType="begin"/>
      </w:r>
      <w:r>
        <w:instrText xml:space="preserve"> HYPERLINK \l _Toc24354 </w:instrText>
      </w:r>
      <w:r>
        <w:fldChar w:fldCharType="separate"/>
      </w:r>
      <w:r>
        <w:rPr>
          <w:rFonts w:hint="eastAsia" w:ascii="Arial" w:hAnsi="Arial" w:eastAsia="黑体"/>
          <w:lang w:eastAsia="zh-CN"/>
        </w:rPr>
        <w:t>8</w:t>
      </w:r>
      <w:r>
        <w:rPr>
          <w:rFonts w:ascii="Arial" w:hAnsi="Arial" w:eastAsia="黑体"/>
          <w:lang w:eastAsia="zh-CN"/>
        </w:rPr>
        <w:t xml:space="preserve"> 供货范围与交付</w:t>
      </w:r>
      <w:r>
        <w:rPr>
          <w:rFonts w:hint="eastAsia" w:ascii="Arial" w:hAnsi="Arial" w:eastAsia="黑体"/>
          <w:lang w:val="en-US" w:eastAsia="zh-CN"/>
        </w:rPr>
        <w:t>时间</w:t>
      </w:r>
      <w:r>
        <w:tab/>
      </w:r>
      <w:r>
        <w:fldChar w:fldCharType="begin"/>
      </w:r>
      <w:r>
        <w:instrText xml:space="preserve"> PAGEREF _Toc24354 \h </w:instrText>
      </w:r>
      <w:r>
        <w:fldChar w:fldCharType="separate"/>
      </w:r>
      <w:r>
        <w:t>7</w:t>
      </w:r>
      <w:r>
        <w:fldChar w:fldCharType="end"/>
      </w:r>
      <w:r>
        <w:fldChar w:fldCharType="end"/>
      </w:r>
    </w:p>
    <w:p w14:paraId="1D3E6D30">
      <w:r>
        <w:fldChar w:fldCharType="end"/>
      </w:r>
    </w:p>
    <w:p w14:paraId="7EEF8BB2">
      <w:pPr>
        <w:sectPr>
          <w:footerReference r:id="rId5" w:type="default"/>
          <w:pgSz w:w="11906" w:h="16838"/>
          <w:pgMar w:top="1417" w:right="1417" w:bottom="1417" w:left="1417" w:header="720" w:footer="720" w:gutter="0"/>
          <w:cols w:space="720" w:num="1"/>
          <w:docGrid w:linePitch="360" w:charSpace="0"/>
        </w:sectPr>
      </w:pPr>
    </w:p>
    <w:p w14:paraId="46CF33E2">
      <w:pPr>
        <w:pStyle w:val="3"/>
        <w:spacing w:line="312" w:lineRule="auto"/>
        <w:rPr>
          <w:lang w:eastAsia="zh-CN"/>
        </w:rPr>
      </w:pPr>
      <w:bookmarkStart w:id="0" w:name="_Toc28214"/>
      <w:r>
        <w:rPr>
          <w:rFonts w:ascii="Arial" w:hAnsi="Arial" w:eastAsia="黑体"/>
          <w:lang w:eastAsia="zh-CN"/>
        </w:rPr>
        <w:t>1 总则</w:t>
      </w:r>
      <w:bookmarkEnd w:id="0"/>
    </w:p>
    <w:p w14:paraId="160647A3">
      <w:pPr>
        <w:pStyle w:val="4"/>
        <w:spacing w:line="312" w:lineRule="auto"/>
        <w:rPr>
          <w:lang w:eastAsia="zh-CN"/>
        </w:rPr>
      </w:pPr>
      <w:bookmarkStart w:id="1" w:name="_Toc7287"/>
      <w:r>
        <w:rPr>
          <w:rFonts w:ascii="Arial" w:hAnsi="Arial" w:eastAsia="黑体"/>
          <w:lang w:eastAsia="zh-CN"/>
        </w:rPr>
        <w:t>1.1 目的</w:t>
      </w:r>
      <w:bookmarkEnd w:id="1"/>
    </w:p>
    <w:p w14:paraId="09F6E639">
      <w:pPr>
        <w:ind w:firstLine="480" w:firstLineChars="200"/>
        <w:rPr>
          <w:lang w:eastAsia="zh-CN"/>
        </w:rPr>
      </w:pPr>
      <w:r>
        <w:rPr>
          <w:lang w:eastAsia="zh-CN"/>
        </w:rPr>
        <w:t>为规范</w:t>
      </w:r>
      <w:r>
        <w:rPr>
          <w:rFonts w:hint="eastAsia"/>
          <w:lang w:val="en-US" w:eastAsia="zh-CN"/>
        </w:rPr>
        <w:t>汕头供电局</w:t>
      </w:r>
      <w:r>
        <w:rPr>
          <w:rFonts w:hint="eastAsia"/>
          <w:lang w:eastAsia="zh-CN"/>
        </w:rPr>
        <w:t>基于液压原理的变压器油位计便携式校验装置B类推广</w:t>
      </w:r>
      <w:r>
        <w:rPr>
          <w:lang w:eastAsia="zh-CN"/>
        </w:rPr>
        <w:t>的选型、供货、检验、验收与售后工作，明确装置的技术要求、功能指标和验收标准，确保装置测量准确、运行可靠、使用安全，满足变压器油枕油位现场快速测量、油位计校验比对及油位监测等应用需求，特制定本</w:t>
      </w:r>
      <w:r>
        <w:rPr>
          <w:rFonts w:hint="eastAsia"/>
          <w:lang w:eastAsia="zh-CN"/>
        </w:rPr>
        <w:t>采购</w:t>
      </w:r>
      <w:r>
        <w:rPr>
          <w:lang w:eastAsia="zh-CN"/>
        </w:rPr>
        <w:t>技术规范书。</w:t>
      </w:r>
    </w:p>
    <w:p w14:paraId="5FEAE069">
      <w:pPr>
        <w:pStyle w:val="4"/>
        <w:spacing w:line="312" w:lineRule="auto"/>
        <w:rPr>
          <w:lang w:eastAsia="zh-CN"/>
        </w:rPr>
      </w:pPr>
      <w:bookmarkStart w:id="2" w:name="_Toc25716"/>
      <w:r>
        <w:rPr>
          <w:rFonts w:ascii="Arial" w:hAnsi="Arial" w:eastAsia="黑体"/>
          <w:lang w:eastAsia="zh-CN"/>
        </w:rPr>
        <w:t>1.2 适用范围</w:t>
      </w:r>
      <w:bookmarkEnd w:id="2"/>
    </w:p>
    <w:p w14:paraId="50B015D4">
      <w:pPr>
        <w:ind w:firstLine="480" w:firstLineChars="200"/>
        <w:rPr>
          <w:lang w:eastAsia="zh-CN"/>
        </w:rPr>
      </w:pPr>
      <w:r>
        <w:rPr>
          <w:lang w:eastAsia="zh-CN"/>
        </w:rPr>
        <w:t>本技术规范书适用于基于超声传感技术开发、以非接触方式测量变压器油枕（储油柜）油位的便携式装置的采购与实施项目，覆盖装置的设计（定型）、制造（供货）、检验、验收全过程。</w:t>
      </w:r>
    </w:p>
    <w:p w14:paraId="0E423F42">
      <w:pPr>
        <w:ind w:firstLine="480" w:firstLineChars="200"/>
        <w:rPr>
          <w:lang w:eastAsia="zh-CN"/>
        </w:rPr>
      </w:pPr>
      <w:r>
        <w:rPr>
          <w:lang w:eastAsia="zh-CN"/>
        </w:rPr>
        <w:t>装置主要应用于变电站油胶囊式油枕变压器油枕油位的现场快速测量、现有油位计校验比对及油位监测等工作场景。</w:t>
      </w:r>
    </w:p>
    <w:p w14:paraId="1E818744">
      <w:pPr>
        <w:ind w:firstLine="480" w:firstLineChars="200"/>
        <w:rPr>
          <w:lang w:eastAsia="zh-CN"/>
        </w:rPr>
      </w:pPr>
      <w:r>
        <w:rPr>
          <w:lang w:eastAsia="zh-CN"/>
        </w:rPr>
        <w:t>凡本技术规范书未明确的内容，均应执行国家、行业现行有效的有关标准、规程及运行单位的相关管理规定。</w:t>
      </w:r>
    </w:p>
    <w:p w14:paraId="6A2F0FB2">
      <w:pPr>
        <w:pStyle w:val="4"/>
        <w:spacing w:line="312" w:lineRule="auto"/>
        <w:rPr>
          <w:lang w:eastAsia="zh-CN"/>
        </w:rPr>
      </w:pPr>
      <w:bookmarkStart w:id="3" w:name="_Toc15856"/>
      <w:r>
        <w:rPr>
          <w:rFonts w:ascii="Arial" w:hAnsi="Arial" w:eastAsia="黑体"/>
          <w:lang w:eastAsia="zh-CN"/>
        </w:rPr>
        <w:t>1.3 编制依据</w:t>
      </w:r>
      <w:bookmarkEnd w:id="3"/>
    </w:p>
    <w:p w14:paraId="2A7A1142">
      <w:pPr>
        <w:ind w:firstLine="480" w:firstLineChars="200"/>
        <w:rPr>
          <w:lang w:eastAsia="zh-CN"/>
        </w:rPr>
      </w:pPr>
      <w:r>
        <w:rPr>
          <w:lang w:eastAsia="zh-CN"/>
        </w:rPr>
        <w:t>本技术规范书主要依据下列标准及文件编制，其最新版本适用于本技术规范书：</w:t>
      </w:r>
    </w:p>
    <w:p w14:paraId="27F4D28A">
      <w:pPr>
        <w:ind w:firstLine="480" w:firstLineChars="200"/>
        <w:rPr>
          <w:lang w:eastAsia="zh-CN"/>
        </w:rPr>
      </w:pPr>
      <w:r>
        <w:rPr>
          <w:lang w:eastAsia="zh-CN"/>
        </w:rPr>
        <w:t>（1）GB/T 4208-2017《外壳防护等级（IP代码）》；</w:t>
      </w:r>
    </w:p>
    <w:p w14:paraId="763DCF7F">
      <w:pPr>
        <w:ind w:firstLine="480" w:firstLineChars="200"/>
        <w:rPr>
          <w:lang w:eastAsia="zh-CN"/>
        </w:rPr>
      </w:pPr>
      <w:r>
        <w:rPr>
          <w:lang w:eastAsia="zh-CN"/>
        </w:rPr>
        <w:t>（2）GB/T 19582-2008《基于Modbus协议的工业自动化网络规范》；</w:t>
      </w:r>
    </w:p>
    <w:p w14:paraId="3C4E3366">
      <w:pPr>
        <w:ind w:firstLine="480" w:firstLineChars="200"/>
        <w:rPr>
          <w:lang w:eastAsia="zh-CN"/>
        </w:rPr>
      </w:pPr>
      <w:r>
        <w:rPr>
          <w:lang w:eastAsia="zh-CN"/>
        </w:rPr>
        <w:t>（3）GB/T 17626《电磁兼容 试验和测量技术》系列标准；</w:t>
      </w:r>
    </w:p>
    <w:p w14:paraId="1F169810">
      <w:pPr>
        <w:ind w:firstLine="480" w:firstLineChars="200"/>
        <w:rPr>
          <w:lang w:eastAsia="zh-CN"/>
        </w:rPr>
      </w:pPr>
      <w:r>
        <w:rPr>
          <w:lang w:eastAsia="zh-CN"/>
        </w:rPr>
        <w:t>（4）GB 50150-2016《电气装置安装工程 电气设备交接试验标准》；</w:t>
      </w:r>
    </w:p>
    <w:p w14:paraId="40D466A5">
      <w:pPr>
        <w:ind w:firstLine="480" w:firstLineChars="200"/>
        <w:rPr>
          <w:lang w:eastAsia="zh-CN"/>
        </w:rPr>
      </w:pPr>
      <w:r>
        <w:rPr>
          <w:lang w:eastAsia="zh-CN"/>
        </w:rPr>
        <w:t>（5）DL/T 572-2021《电力变压器运行规程》；</w:t>
      </w:r>
    </w:p>
    <w:p w14:paraId="2F7290B3">
      <w:pPr>
        <w:ind w:firstLine="480" w:firstLineChars="200"/>
        <w:rPr>
          <w:lang w:eastAsia="zh-CN"/>
        </w:rPr>
      </w:pPr>
      <w:r>
        <w:rPr>
          <w:lang w:eastAsia="zh-CN"/>
        </w:rPr>
        <w:t>（6）DL/T 596-2021《电力设备预防性试验规程》；</w:t>
      </w:r>
    </w:p>
    <w:p w14:paraId="5925E4D0">
      <w:pPr>
        <w:ind w:firstLine="480" w:firstLineChars="200"/>
        <w:rPr>
          <w:lang w:eastAsia="zh-CN"/>
        </w:rPr>
      </w:pPr>
      <w:r>
        <w:rPr>
          <w:lang w:eastAsia="zh-CN"/>
        </w:rPr>
        <w:t>（7）JB/T 10692-2018《变压器用油位计》；</w:t>
      </w:r>
    </w:p>
    <w:p w14:paraId="1DC7EBD6">
      <w:pPr>
        <w:ind w:firstLine="480" w:firstLineChars="200"/>
        <w:rPr>
          <w:lang w:eastAsia="zh-CN"/>
        </w:rPr>
      </w:pPr>
      <w:r>
        <w:rPr>
          <w:lang w:eastAsia="zh-CN"/>
        </w:rPr>
        <w:t>（8）其他现行有效的国家、行业标准及运行单位有关技术规定。</w:t>
      </w:r>
    </w:p>
    <w:p w14:paraId="19AF3647">
      <w:pPr>
        <w:pStyle w:val="3"/>
        <w:spacing w:line="312" w:lineRule="auto"/>
        <w:rPr>
          <w:lang w:eastAsia="zh-CN"/>
        </w:rPr>
      </w:pPr>
      <w:bookmarkStart w:id="4" w:name="_Toc24593"/>
      <w:r>
        <w:rPr>
          <w:rFonts w:ascii="Arial" w:hAnsi="Arial" w:eastAsia="黑体"/>
          <w:lang w:eastAsia="zh-CN"/>
        </w:rPr>
        <w:t>2 项目背景与需求分析</w:t>
      </w:r>
      <w:bookmarkEnd w:id="4"/>
    </w:p>
    <w:p w14:paraId="71C20AD8">
      <w:pPr>
        <w:pStyle w:val="4"/>
        <w:spacing w:line="312" w:lineRule="auto"/>
        <w:rPr>
          <w:lang w:eastAsia="zh-CN"/>
        </w:rPr>
      </w:pPr>
      <w:bookmarkStart w:id="5" w:name="_Toc25889"/>
      <w:r>
        <w:rPr>
          <w:rFonts w:ascii="Arial" w:hAnsi="Arial" w:eastAsia="黑体"/>
          <w:lang w:eastAsia="zh-CN"/>
        </w:rPr>
        <w:t>2.1 项目背景</w:t>
      </w:r>
      <w:bookmarkEnd w:id="5"/>
    </w:p>
    <w:p w14:paraId="3C27047E">
      <w:pPr>
        <w:ind w:firstLine="480" w:firstLineChars="200"/>
        <w:rPr>
          <w:lang w:eastAsia="zh-CN"/>
        </w:rPr>
      </w:pPr>
      <w:r>
        <w:rPr>
          <w:lang w:eastAsia="zh-CN"/>
        </w:rPr>
        <w:t>（1）油位是电力变压器的重要监测参数之一。变压器油枕（储油柜）用于容纳变压器油随温度变化引起的体积膨胀与收缩，油枕油位直接反映变压器油量是否正常：油位过高可能导致溢油，油位过低或异常下降则可能预示变压器存在渗漏等缺陷。按照DL/T 572-2021《电力变压器运行规程》的要求，油浸式变压器在运行情况下应能安全查看储油柜油位，储油柜油位应与油温相对应。</w:t>
      </w:r>
    </w:p>
    <w:p w14:paraId="3FE431B6">
      <w:pPr>
        <w:ind w:firstLine="480" w:firstLineChars="200"/>
        <w:rPr>
          <w:lang w:eastAsia="zh-CN"/>
        </w:rPr>
      </w:pPr>
      <w:r>
        <w:rPr>
          <w:lang w:eastAsia="zh-CN"/>
        </w:rPr>
        <w:t>（2）传统油位检测手段存在明显弊端。传统做法是运维人员根据变压器温度计与油位计示数，对照温度—油位曲线判断油位；日常巡视中，因油位计进水锈蚀、油箱容量不合理、散热器运行不正常等原因，油位计卡死、指示不正确的故障时有发生。油位计故障后，往往需将主变停电，拆开相关阀门进行人工测量，工序繁琐、效率低下，单次测量耗时较长，且存在废弃油污染与高空作业等安全隐患，严重影响供电质量。此外，人工目视读数受人员经验、观测角度与现场条件影响，存在一定误差，难以满足精益化管理要求。</w:t>
      </w:r>
    </w:p>
    <w:p w14:paraId="3053E816">
      <w:pPr>
        <w:ind w:firstLine="480" w:firstLineChars="200"/>
        <w:rPr>
          <w:lang w:eastAsia="zh-CN"/>
        </w:rPr>
      </w:pPr>
      <w:r>
        <w:rPr>
          <w:lang w:eastAsia="zh-CN"/>
        </w:rPr>
        <w:t>（3）非接触式超声测量技术为油位检测提供了更优的技术路径。外贴式超声液位测量无需打开油枕、无需接触变压器油，通过专用耦合剂将探头贴合于油枕外壁，利用超声波穿透油枕金属壁直接探测油位界面，不破坏油枕本体结构与密封，可从根本上保证绝缘油的纯净度与作业安全；同时具备测量响应快、数字化显示、数据可远传等特点，能够有效弥补传统检测手段在便捷性、安全性与精准度方面的不足。</w:t>
      </w:r>
    </w:p>
    <w:p w14:paraId="1DFB6D16">
      <w:pPr>
        <w:ind w:firstLine="480" w:firstLineChars="200"/>
        <w:rPr>
          <w:lang w:eastAsia="zh-CN"/>
        </w:rPr>
      </w:pPr>
      <w:r>
        <w:rPr>
          <w:lang w:eastAsia="zh-CN"/>
        </w:rPr>
        <w:t>（4）为提升油枕油位检测的便捷性、安全性与精准度，满足变电站无人值班、少人值守及设备精益化管理的发展要求，拟采购基于超声传感技术的非接触式变压器油位计便携装置（以下简称“装置”），用于变电站油枕油位的现场快速测量、油位计校验比对及油位监测等工作。</w:t>
      </w:r>
    </w:p>
    <w:p w14:paraId="51949758">
      <w:pPr>
        <w:pStyle w:val="4"/>
        <w:spacing w:line="312" w:lineRule="auto"/>
        <w:rPr>
          <w:lang w:eastAsia="zh-CN"/>
        </w:rPr>
      </w:pPr>
      <w:bookmarkStart w:id="6" w:name="_Toc28165"/>
      <w:r>
        <w:rPr>
          <w:rFonts w:ascii="Arial" w:hAnsi="Arial" w:eastAsia="黑体"/>
          <w:lang w:eastAsia="zh-CN"/>
        </w:rPr>
        <w:t>2.2 需求分析</w:t>
      </w:r>
      <w:bookmarkEnd w:id="6"/>
    </w:p>
    <w:p w14:paraId="4C7EE734">
      <w:pPr>
        <w:ind w:firstLine="480" w:firstLineChars="200"/>
        <w:rPr>
          <w:lang w:eastAsia="zh-CN"/>
        </w:rPr>
      </w:pPr>
      <w:r>
        <w:rPr>
          <w:lang w:eastAsia="zh-CN"/>
        </w:rPr>
        <w:t>（1）非接触测量：装置不得接触变压器油、不得打开油枕、不得接入油路阀门或对油枕开孔，确保绝缘油纯净度与设备安全；</w:t>
      </w:r>
    </w:p>
    <w:p w14:paraId="3B78A6BC">
      <w:pPr>
        <w:ind w:firstLine="480" w:firstLineChars="200"/>
        <w:rPr>
          <w:lang w:eastAsia="zh-CN"/>
        </w:rPr>
      </w:pPr>
      <w:r>
        <w:rPr>
          <w:lang w:eastAsia="zh-CN"/>
        </w:rPr>
        <w:t>（2）便携作业：装置应轻便、便携，可随检修、运维人员携带至现场快速测量，无需拆装油路阀门；</w:t>
      </w:r>
    </w:p>
    <w:p w14:paraId="2B907222">
      <w:pPr>
        <w:ind w:firstLine="480" w:firstLineChars="200"/>
        <w:rPr>
          <w:lang w:eastAsia="zh-CN"/>
        </w:rPr>
      </w:pPr>
      <w:r>
        <w:rPr>
          <w:lang w:eastAsia="zh-CN"/>
        </w:rPr>
        <w:t>（3）测量性能：油位测量精确度等级不低于0.25级，响应速度快，数字显示直观准确；</w:t>
      </w:r>
    </w:p>
    <w:p w14:paraId="5F775080">
      <w:pPr>
        <w:ind w:firstLine="480" w:firstLineChars="200"/>
        <w:rPr>
          <w:lang w:eastAsia="zh-CN"/>
        </w:rPr>
      </w:pPr>
      <w:r>
        <w:rPr>
          <w:lang w:eastAsia="zh-CN"/>
        </w:rPr>
        <w:t>（</w:t>
      </w:r>
      <w:r>
        <w:rPr>
          <w:rFonts w:hint="eastAsia"/>
          <w:lang w:val="en-US" w:eastAsia="zh-CN"/>
        </w:rPr>
        <w:t>4</w:t>
      </w:r>
      <w:r>
        <w:rPr>
          <w:lang w:eastAsia="zh-CN"/>
        </w:rPr>
        <w:t>）环境适应性：适应户外变电站高温、低温、日晒、雨淋、风沙等环境条件；</w:t>
      </w:r>
    </w:p>
    <w:p w14:paraId="7F5829A5">
      <w:pPr>
        <w:ind w:firstLine="480" w:firstLineChars="200"/>
        <w:rPr>
          <w:lang w:eastAsia="zh-CN"/>
        </w:rPr>
      </w:pPr>
      <w:r>
        <w:rPr>
          <w:lang w:eastAsia="zh-CN"/>
        </w:rPr>
        <w:t>（</w:t>
      </w:r>
      <w:r>
        <w:rPr>
          <w:rFonts w:hint="eastAsia"/>
          <w:lang w:val="en-US" w:eastAsia="zh-CN"/>
        </w:rPr>
        <w:t>5</w:t>
      </w:r>
      <w:r>
        <w:rPr>
          <w:lang w:eastAsia="zh-CN"/>
        </w:rPr>
        <w:t>）安全可靠：作业全程保障人身与设备安全，装置电磁兼容性能满足变电站环境要求。</w:t>
      </w:r>
    </w:p>
    <w:p w14:paraId="74429566">
      <w:pPr>
        <w:pStyle w:val="3"/>
        <w:spacing w:line="312" w:lineRule="auto"/>
        <w:rPr>
          <w:lang w:eastAsia="zh-CN"/>
        </w:rPr>
      </w:pPr>
      <w:bookmarkStart w:id="7" w:name="_Toc15309"/>
      <w:r>
        <w:rPr>
          <w:rFonts w:ascii="Arial" w:hAnsi="Arial" w:eastAsia="黑体"/>
          <w:lang w:eastAsia="zh-CN"/>
        </w:rPr>
        <w:t>3 总体技术方案</w:t>
      </w:r>
      <w:bookmarkEnd w:id="7"/>
    </w:p>
    <w:p w14:paraId="396A7100">
      <w:pPr>
        <w:pStyle w:val="4"/>
        <w:spacing w:line="312" w:lineRule="auto"/>
        <w:rPr>
          <w:lang w:eastAsia="zh-CN"/>
        </w:rPr>
      </w:pPr>
      <w:bookmarkStart w:id="8" w:name="_Toc18189"/>
      <w:r>
        <w:rPr>
          <w:rFonts w:ascii="Arial" w:hAnsi="Arial" w:eastAsia="黑体"/>
          <w:lang w:eastAsia="zh-CN"/>
        </w:rPr>
        <w:t>3.1 方案概述</w:t>
      </w:r>
      <w:bookmarkEnd w:id="8"/>
    </w:p>
    <w:p w14:paraId="437DEC16">
      <w:pPr>
        <w:ind w:firstLine="480" w:firstLineChars="200"/>
        <w:rPr>
          <w:lang w:eastAsia="zh-CN"/>
        </w:rPr>
      </w:pPr>
      <w:r>
        <w:rPr>
          <w:lang w:eastAsia="zh-CN"/>
        </w:rPr>
        <w:t>本方案采用超声非接触测量技术，选用非接触式超声波变压器油枕液位计作为装置的核心超声传感单元，研制便携式非接触变压器油位计装置。</w:t>
      </w:r>
    </w:p>
    <w:p w14:paraId="50D6CEB9">
      <w:pPr>
        <w:ind w:firstLine="480" w:firstLineChars="200"/>
        <w:rPr>
          <w:lang w:eastAsia="zh-CN"/>
        </w:rPr>
      </w:pPr>
      <w:r>
        <w:rPr>
          <w:lang w:eastAsia="zh-CN"/>
        </w:rPr>
        <w:t>装置通过超声传感单元贴合油枕外壁实现油位非接触测量，由主机完成数据处理、数字显示、存储、告警与通信，整体采用便携化设计，现场即到即测，无需停电、开阀与开孔。</w:t>
      </w:r>
    </w:p>
    <w:p w14:paraId="5BC57B07">
      <w:pPr>
        <w:pStyle w:val="4"/>
        <w:spacing w:line="312" w:lineRule="auto"/>
        <w:rPr>
          <w:lang w:eastAsia="zh-CN"/>
        </w:rPr>
      </w:pPr>
      <w:bookmarkStart w:id="9" w:name="_Toc32181"/>
      <w:r>
        <w:rPr>
          <w:rFonts w:ascii="Arial" w:hAnsi="Arial" w:eastAsia="黑体"/>
          <w:lang w:eastAsia="zh-CN"/>
        </w:rPr>
        <w:t>3.2 工作原理</w:t>
      </w:r>
      <w:bookmarkEnd w:id="9"/>
    </w:p>
    <w:p w14:paraId="420DA3FE">
      <w:pPr>
        <w:ind w:firstLine="480" w:firstLineChars="200"/>
        <w:rPr>
          <w:lang w:eastAsia="zh-CN"/>
        </w:rPr>
      </w:pPr>
      <w:r>
        <w:rPr>
          <w:lang w:eastAsia="zh-CN"/>
        </w:rPr>
        <w:t>装置采用超声波时差测距原理：超声传感单元通过专用耦合剂贴合于油枕底部外壁，向油枕内部发射超声波，超声波在油枕壁、油液与气体（或胶囊）界面处产生反射回波，装置通过计算超声波发射至回波接收的时间差，结合量程设定与结构参数换算得出油位高度。针对胶囊式油枕，超声波信号穿透油枕壁及油层后，在油液与胶囊界面形成稳定回波，可实现油位的准确测量。装置最快每</w:t>
      </w:r>
      <w:r>
        <w:rPr>
          <w:rFonts w:hint="eastAsia"/>
          <w:lang w:val="en-US" w:eastAsia="zh-CN"/>
        </w:rPr>
        <w:t>120</w:t>
      </w:r>
      <w:r>
        <w:rPr>
          <w:lang w:eastAsia="zh-CN"/>
        </w:rPr>
        <w:t>ms完成一次测量，实时反映油位变化。</w:t>
      </w:r>
    </w:p>
    <w:p w14:paraId="2059290F">
      <w:pPr>
        <w:ind w:firstLine="480" w:firstLineChars="200"/>
        <w:rPr>
          <w:lang w:eastAsia="zh-CN"/>
        </w:rPr>
      </w:pPr>
      <w:r>
        <w:rPr>
          <w:lang w:eastAsia="zh-CN"/>
        </w:rPr>
        <w:t>测量全过程不接触油面、不破坏油枕、不引入任何外来介质，从原理上保证了变压器绝缘油的纯净度，避免了开孔、侵入式或开阀接入式测量带来的渗漏与安全风险。</w:t>
      </w:r>
    </w:p>
    <w:p w14:paraId="1D445CAE">
      <w:pPr>
        <w:pStyle w:val="4"/>
        <w:spacing w:line="312" w:lineRule="auto"/>
        <w:rPr>
          <w:lang w:eastAsia="zh-CN"/>
        </w:rPr>
      </w:pPr>
      <w:bookmarkStart w:id="10" w:name="_Toc28149"/>
      <w:r>
        <w:rPr>
          <w:rFonts w:ascii="Arial" w:hAnsi="Arial" w:eastAsia="黑体"/>
          <w:lang w:eastAsia="zh-CN"/>
        </w:rPr>
        <w:t>3.3 系统组成</w:t>
      </w:r>
      <w:bookmarkEnd w:id="10"/>
    </w:p>
    <w:p w14:paraId="62A4383B">
      <w:pPr>
        <w:ind w:firstLine="480" w:firstLineChars="200"/>
        <w:rPr>
          <w:lang w:eastAsia="zh-CN"/>
        </w:rPr>
      </w:pPr>
      <w:r>
        <w:rPr>
          <w:lang w:eastAsia="zh-CN"/>
        </w:rPr>
        <w:t>装置主要由以下部分组成：</w:t>
      </w:r>
    </w:p>
    <w:p w14:paraId="510E120A">
      <w:pPr>
        <w:ind w:firstLine="480" w:firstLineChars="200"/>
        <w:rPr>
          <w:lang w:eastAsia="zh-CN"/>
        </w:rPr>
      </w:pPr>
      <w:r>
        <w:rPr>
          <w:lang w:eastAsia="zh-CN"/>
        </w:rPr>
        <w:t>（1）超声传感单元：完成油位的非接触式超声采集，探头尺寸</w:t>
      </w:r>
      <w:r>
        <w:t>Φ</w:t>
      </w:r>
      <w:r>
        <w:rPr>
          <w:lang w:eastAsia="zh-CN"/>
        </w:rPr>
        <w:t>33mm×16mm，防护等级IP68，采用4芯带屏蔽电缆与主机连接；</w:t>
      </w:r>
    </w:p>
    <w:p w14:paraId="23D6E4F9">
      <w:pPr>
        <w:ind w:firstLine="480" w:firstLineChars="200"/>
        <w:rPr>
          <w:lang w:eastAsia="zh-CN"/>
        </w:rPr>
      </w:pPr>
      <w:r>
        <w:rPr>
          <w:lang w:eastAsia="zh-CN"/>
        </w:rPr>
        <w:t>（2）主机（数显与处理单元）：完成信号处理、油位计算、数字显示、数据存储、告警输出与通信管理；</w:t>
      </w:r>
    </w:p>
    <w:p w14:paraId="061AE80C">
      <w:pPr>
        <w:ind w:firstLine="480" w:firstLineChars="200"/>
        <w:rPr>
          <w:lang w:eastAsia="zh-CN"/>
        </w:rPr>
      </w:pPr>
      <w:r>
        <w:rPr>
          <w:lang w:eastAsia="zh-CN"/>
        </w:rPr>
        <w:t>（3）便携结构与附件：包括便携箱、专用耦合剂、测量面清洁工具、辅助固定工装（如需）等，便于现场携带与快速作业；</w:t>
      </w:r>
    </w:p>
    <w:p w14:paraId="5144C1B1">
      <w:pPr>
        <w:ind w:firstLine="480" w:firstLineChars="200"/>
        <w:rPr>
          <w:lang w:eastAsia="zh-CN"/>
        </w:rPr>
      </w:pPr>
      <w:r>
        <w:rPr>
          <w:lang w:eastAsia="zh-CN"/>
        </w:rPr>
        <w:t>（4）供电单元：支持内置电池供电及外接电源供电；</w:t>
      </w:r>
    </w:p>
    <w:p w14:paraId="55C77905">
      <w:pPr>
        <w:keepNext/>
        <w:spacing w:before="120"/>
        <w:jc w:val="center"/>
        <w:rPr>
          <w:lang w:eastAsia="zh-CN"/>
        </w:rPr>
      </w:pPr>
    </w:p>
    <w:p w14:paraId="607A86DC">
      <w:pPr>
        <w:pStyle w:val="3"/>
        <w:spacing w:line="312" w:lineRule="auto"/>
        <w:rPr>
          <w:lang w:eastAsia="zh-CN"/>
        </w:rPr>
      </w:pPr>
      <w:bookmarkStart w:id="11" w:name="_Toc18498"/>
      <w:r>
        <w:rPr>
          <w:rFonts w:ascii="Arial" w:hAnsi="Arial" w:eastAsia="黑体"/>
          <w:lang w:eastAsia="zh-CN"/>
        </w:rPr>
        <w:t>4 主要技术参数与性能要求</w:t>
      </w:r>
      <w:bookmarkEnd w:id="11"/>
    </w:p>
    <w:p w14:paraId="5794A227">
      <w:pPr>
        <w:pStyle w:val="4"/>
        <w:spacing w:line="312" w:lineRule="auto"/>
        <w:rPr>
          <w:lang w:eastAsia="zh-CN"/>
        </w:rPr>
      </w:pPr>
      <w:bookmarkStart w:id="12" w:name="_Toc16674"/>
      <w:r>
        <w:rPr>
          <w:rFonts w:ascii="Arial" w:hAnsi="Arial" w:eastAsia="黑体"/>
          <w:lang w:eastAsia="zh-CN"/>
        </w:rPr>
        <w:t>4.1 主要技术参数</w:t>
      </w:r>
      <w:bookmarkEnd w:id="12"/>
    </w:p>
    <w:p w14:paraId="7C1D9226">
      <w:pPr>
        <w:ind w:firstLine="480" w:firstLineChars="200"/>
        <w:rPr>
          <w:lang w:eastAsia="zh-CN"/>
        </w:rPr>
      </w:pPr>
      <w:r>
        <w:rPr>
          <w:lang w:eastAsia="zh-CN"/>
        </w:rPr>
        <w:t>装置超声传感单元的主要技术参数见表1。</w:t>
      </w:r>
    </w:p>
    <w:p w14:paraId="157CAFCC">
      <w:pPr>
        <w:pStyle w:val="15"/>
        <w:keepNext/>
        <w:spacing w:before="240" w:after="80"/>
        <w:rPr>
          <w:lang w:eastAsia="zh-CN"/>
        </w:rPr>
      </w:pPr>
      <w:r>
        <w:rPr>
          <w:lang w:eastAsia="zh-CN"/>
        </w:rPr>
        <w:t>表1 超声传感单元主要技术参数表</w:t>
      </w:r>
    </w:p>
    <w:tbl>
      <w:tblPr>
        <w:tblStyle w:val="35"/>
        <w:tblW w:w="892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124"/>
        <w:gridCol w:w="2835"/>
        <w:gridCol w:w="4962"/>
      </w:tblGrid>
      <w:tr w14:paraId="53AB38E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124" w:type="dxa"/>
            <w:shd w:val="clear" w:color="auto" w:fill="D9D9D9"/>
            <w:vAlign w:val="center"/>
          </w:tcPr>
          <w:p w14:paraId="6B70DF7A">
            <w:pPr>
              <w:spacing w:line="240" w:lineRule="auto"/>
              <w:jc w:val="center"/>
            </w:pPr>
            <w:r>
              <w:rPr>
                <w:b/>
                <w:sz w:val="21"/>
              </w:rPr>
              <w:t>序号</w:t>
            </w:r>
          </w:p>
        </w:tc>
        <w:tc>
          <w:tcPr>
            <w:tcW w:w="2835" w:type="dxa"/>
            <w:shd w:val="clear" w:color="auto" w:fill="D9D9D9"/>
            <w:vAlign w:val="center"/>
          </w:tcPr>
          <w:p w14:paraId="643A3844">
            <w:pPr>
              <w:spacing w:line="240" w:lineRule="auto"/>
              <w:jc w:val="center"/>
            </w:pPr>
            <w:r>
              <w:rPr>
                <w:b/>
                <w:sz w:val="21"/>
              </w:rPr>
              <w:t>参数项</w:t>
            </w:r>
          </w:p>
        </w:tc>
        <w:tc>
          <w:tcPr>
            <w:tcW w:w="4962" w:type="dxa"/>
            <w:shd w:val="clear" w:color="auto" w:fill="D9D9D9"/>
            <w:vAlign w:val="center"/>
          </w:tcPr>
          <w:p w14:paraId="288D66BD">
            <w:pPr>
              <w:spacing w:line="240" w:lineRule="auto"/>
              <w:jc w:val="center"/>
            </w:pPr>
            <w:r>
              <w:rPr>
                <w:b/>
                <w:sz w:val="21"/>
              </w:rPr>
              <w:t>技术参数</w:t>
            </w:r>
          </w:p>
        </w:tc>
      </w:tr>
      <w:tr w14:paraId="5876E67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6AB3B4E3">
            <w:pPr>
              <w:spacing w:line="240" w:lineRule="auto"/>
              <w:jc w:val="center"/>
            </w:pPr>
            <w:r>
              <w:rPr>
                <w:sz w:val="21"/>
              </w:rPr>
              <w:t>1</w:t>
            </w:r>
          </w:p>
        </w:tc>
        <w:tc>
          <w:tcPr>
            <w:tcW w:w="2835" w:type="dxa"/>
            <w:vAlign w:val="center"/>
          </w:tcPr>
          <w:p w14:paraId="0B2F4BAC">
            <w:pPr>
              <w:spacing w:line="240" w:lineRule="auto"/>
              <w:jc w:val="left"/>
            </w:pPr>
            <w:r>
              <w:rPr>
                <w:sz w:val="21"/>
              </w:rPr>
              <w:t>产品名称</w:t>
            </w:r>
          </w:p>
        </w:tc>
        <w:tc>
          <w:tcPr>
            <w:tcW w:w="4962" w:type="dxa"/>
            <w:vAlign w:val="center"/>
          </w:tcPr>
          <w:p w14:paraId="3076CBD8">
            <w:pPr>
              <w:spacing w:line="240" w:lineRule="auto"/>
              <w:jc w:val="left"/>
              <w:rPr>
                <w:lang w:eastAsia="zh-CN"/>
              </w:rPr>
            </w:pPr>
            <w:r>
              <w:rPr>
                <w:sz w:val="21"/>
                <w:lang w:eastAsia="zh-CN"/>
              </w:rPr>
              <w:t>变压器油枕液位计（非接触式超声波）</w:t>
            </w:r>
          </w:p>
        </w:tc>
      </w:tr>
      <w:tr w14:paraId="5CF7B52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6473A078">
            <w:pPr>
              <w:spacing w:line="240" w:lineRule="auto"/>
              <w:jc w:val="center"/>
            </w:pPr>
            <w:r>
              <w:rPr>
                <w:sz w:val="21"/>
              </w:rPr>
              <w:t>2</w:t>
            </w:r>
          </w:p>
        </w:tc>
        <w:tc>
          <w:tcPr>
            <w:tcW w:w="2835" w:type="dxa"/>
            <w:vAlign w:val="center"/>
          </w:tcPr>
          <w:p w14:paraId="42DFFB81">
            <w:pPr>
              <w:spacing w:line="240" w:lineRule="auto"/>
              <w:jc w:val="left"/>
            </w:pPr>
            <w:r>
              <w:rPr>
                <w:sz w:val="21"/>
              </w:rPr>
              <w:t>应用对象</w:t>
            </w:r>
          </w:p>
        </w:tc>
        <w:tc>
          <w:tcPr>
            <w:tcW w:w="4962" w:type="dxa"/>
            <w:vAlign w:val="center"/>
          </w:tcPr>
          <w:p w14:paraId="25C04A86">
            <w:pPr>
              <w:spacing w:line="240" w:lineRule="auto"/>
              <w:jc w:val="left"/>
            </w:pPr>
            <w:r>
              <w:rPr>
                <w:sz w:val="21"/>
              </w:rPr>
              <w:t>变压器油枕油位测量</w:t>
            </w:r>
          </w:p>
        </w:tc>
      </w:tr>
      <w:tr w14:paraId="1357FC9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25EE1F32">
            <w:pPr>
              <w:spacing w:line="240" w:lineRule="auto"/>
              <w:jc w:val="center"/>
            </w:pPr>
            <w:r>
              <w:rPr>
                <w:sz w:val="21"/>
              </w:rPr>
              <w:t>3</w:t>
            </w:r>
          </w:p>
        </w:tc>
        <w:tc>
          <w:tcPr>
            <w:tcW w:w="2835" w:type="dxa"/>
            <w:vAlign w:val="center"/>
          </w:tcPr>
          <w:p w14:paraId="3B2F7C35">
            <w:pPr>
              <w:spacing w:line="240" w:lineRule="auto"/>
              <w:jc w:val="left"/>
            </w:pPr>
            <w:r>
              <w:rPr>
                <w:sz w:val="21"/>
              </w:rPr>
              <w:t>测量原理</w:t>
            </w:r>
          </w:p>
        </w:tc>
        <w:tc>
          <w:tcPr>
            <w:tcW w:w="4962" w:type="dxa"/>
            <w:vAlign w:val="center"/>
          </w:tcPr>
          <w:p w14:paraId="27BCDC31">
            <w:pPr>
              <w:spacing w:line="240" w:lineRule="auto"/>
              <w:jc w:val="left"/>
              <w:rPr>
                <w:lang w:eastAsia="zh-CN"/>
              </w:rPr>
            </w:pPr>
            <w:r>
              <w:rPr>
                <w:sz w:val="21"/>
                <w:lang w:eastAsia="zh-CN"/>
              </w:rPr>
              <w:t>非接触式超声波时差测距</w:t>
            </w:r>
          </w:p>
        </w:tc>
      </w:tr>
      <w:tr w14:paraId="5699D1A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02E0A61">
            <w:pPr>
              <w:spacing w:line="240" w:lineRule="auto"/>
              <w:jc w:val="center"/>
              <w:rPr>
                <w:rFonts w:hint="eastAsia"/>
                <w:lang w:eastAsia="zh-CN"/>
              </w:rPr>
            </w:pPr>
            <w:r>
              <w:rPr>
                <w:rFonts w:hint="eastAsia"/>
                <w:lang w:eastAsia="zh-CN"/>
              </w:rPr>
              <w:t>4</w:t>
            </w:r>
          </w:p>
        </w:tc>
        <w:tc>
          <w:tcPr>
            <w:tcW w:w="2835" w:type="dxa"/>
            <w:vAlign w:val="center"/>
          </w:tcPr>
          <w:p w14:paraId="0150CE75">
            <w:pPr>
              <w:spacing w:line="240" w:lineRule="auto"/>
              <w:jc w:val="left"/>
            </w:pPr>
            <w:r>
              <w:rPr>
                <w:sz w:val="21"/>
              </w:rPr>
              <w:t>响应速度</w:t>
            </w:r>
          </w:p>
        </w:tc>
        <w:tc>
          <w:tcPr>
            <w:tcW w:w="4962" w:type="dxa"/>
            <w:vAlign w:val="center"/>
          </w:tcPr>
          <w:p w14:paraId="140D2038">
            <w:pPr>
              <w:spacing w:line="240" w:lineRule="auto"/>
              <w:jc w:val="left"/>
              <w:rPr>
                <w:lang w:eastAsia="zh-CN"/>
              </w:rPr>
            </w:pPr>
            <w:r>
              <w:rPr>
                <w:sz w:val="21"/>
                <w:lang w:eastAsia="zh-CN"/>
              </w:rPr>
              <w:t>最快1</w:t>
            </w:r>
            <w:r>
              <w:rPr>
                <w:rFonts w:hint="eastAsia"/>
                <w:sz w:val="21"/>
                <w:lang w:eastAsia="zh-CN"/>
              </w:rPr>
              <w:t>2</w:t>
            </w:r>
            <w:r>
              <w:rPr>
                <w:sz w:val="21"/>
                <w:lang w:eastAsia="zh-CN"/>
              </w:rPr>
              <w:t>0ms响应（测量）一次</w:t>
            </w:r>
          </w:p>
        </w:tc>
      </w:tr>
      <w:tr w14:paraId="6F9A47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660CF9DD">
            <w:pPr>
              <w:spacing w:line="240" w:lineRule="auto"/>
              <w:jc w:val="center"/>
              <w:rPr>
                <w:rFonts w:hint="eastAsia"/>
                <w:lang w:eastAsia="zh-CN"/>
              </w:rPr>
            </w:pPr>
            <w:r>
              <w:rPr>
                <w:rFonts w:hint="eastAsia"/>
                <w:lang w:eastAsia="zh-CN"/>
              </w:rPr>
              <w:t>5</w:t>
            </w:r>
          </w:p>
        </w:tc>
        <w:tc>
          <w:tcPr>
            <w:tcW w:w="2835" w:type="dxa"/>
            <w:vAlign w:val="center"/>
          </w:tcPr>
          <w:p w14:paraId="1ADA7957">
            <w:pPr>
              <w:spacing w:line="240" w:lineRule="auto"/>
              <w:jc w:val="left"/>
            </w:pPr>
            <w:r>
              <w:rPr>
                <w:sz w:val="21"/>
              </w:rPr>
              <w:t>发射角度</w:t>
            </w:r>
          </w:p>
        </w:tc>
        <w:tc>
          <w:tcPr>
            <w:tcW w:w="4962" w:type="dxa"/>
            <w:vAlign w:val="center"/>
          </w:tcPr>
          <w:p w14:paraId="4A6DC137">
            <w:pPr>
              <w:spacing w:line="240" w:lineRule="auto"/>
              <w:jc w:val="left"/>
            </w:pPr>
            <w:r>
              <w:rPr>
                <w:sz w:val="21"/>
              </w:rPr>
              <w:t>2°、3°</w:t>
            </w:r>
          </w:p>
        </w:tc>
      </w:tr>
      <w:tr w14:paraId="41EE73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CA96E48">
            <w:pPr>
              <w:spacing w:line="240" w:lineRule="auto"/>
              <w:jc w:val="center"/>
            </w:pPr>
            <w:r>
              <w:rPr>
                <w:sz w:val="21"/>
              </w:rPr>
              <w:t>6</w:t>
            </w:r>
          </w:p>
        </w:tc>
        <w:tc>
          <w:tcPr>
            <w:tcW w:w="2835" w:type="dxa"/>
            <w:vAlign w:val="center"/>
          </w:tcPr>
          <w:p w14:paraId="5AF8670B">
            <w:pPr>
              <w:spacing w:line="240" w:lineRule="auto"/>
              <w:jc w:val="left"/>
            </w:pPr>
            <w:r>
              <w:rPr>
                <w:sz w:val="21"/>
              </w:rPr>
              <w:t>外形尺寸</w:t>
            </w:r>
          </w:p>
        </w:tc>
        <w:tc>
          <w:tcPr>
            <w:tcW w:w="4962" w:type="dxa"/>
            <w:vAlign w:val="center"/>
          </w:tcPr>
          <w:p w14:paraId="0695F541">
            <w:pPr>
              <w:spacing w:line="240" w:lineRule="auto"/>
              <w:jc w:val="left"/>
            </w:pPr>
            <w:r>
              <w:rPr>
                <w:sz w:val="21"/>
              </w:rPr>
              <w:t>Φ33mm×16mm</w:t>
            </w:r>
          </w:p>
        </w:tc>
      </w:tr>
      <w:tr w14:paraId="5198B9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73CF6BB2">
            <w:pPr>
              <w:spacing w:line="240" w:lineRule="auto"/>
              <w:jc w:val="center"/>
            </w:pPr>
            <w:r>
              <w:rPr>
                <w:sz w:val="21"/>
              </w:rPr>
              <w:t>7</w:t>
            </w:r>
          </w:p>
        </w:tc>
        <w:tc>
          <w:tcPr>
            <w:tcW w:w="2835" w:type="dxa"/>
            <w:vAlign w:val="center"/>
          </w:tcPr>
          <w:p w14:paraId="77638DF6">
            <w:pPr>
              <w:spacing w:line="240" w:lineRule="auto"/>
              <w:jc w:val="left"/>
            </w:pPr>
            <w:r>
              <w:rPr>
                <w:sz w:val="21"/>
              </w:rPr>
              <w:t>供电电源</w:t>
            </w:r>
          </w:p>
        </w:tc>
        <w:tc>
          <w:tcPr>
            <w:tcW w:w="4962" w:type="dxa"/>
            <w:vAlign w:val="center"/>
          </w:tcPr>
          <w:p w14:paraId="414A11C6">
            <w:pPr>
              <w:spacing w:line="240" w:lineRule="auto"/>
              <w:jc w:val="left"/>
            </w:pPr>
            <w:r>
              <w:rPr>
                <w:sz w:val="21"/>
              </w:rPr>
              <w:t>DC10.8V～26V</w:t>
            </w:r>
          </w:p>
        </w:tc>
      </w:tr>
      <w:tr w14:paraId="0DD50F6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6B00765F">
            <w:pPr>
              <w:spacing w:line="240" w:lineRule="auto"/>
              <w:jc w:val="center"/>
            </w:pPr>
            <w:r>
              <w:rPr>
                <w:sz w:val="21"/>
              </w:rPr>
              <w:t>8</w:t>
            </w:r>
          </w:p>
        </w:tc>
        <w:tc>
          <w:tcPr>
            <w:tcW w:w="2835" w:type="dxa"/>
            <w:vAlign w:val="center"/>
          </w:tcPr>
          <w:p w14:paraId="0BCA195E">
            <w:pPr>
              <w:spacing w:line="240" w:lineRule="auto"/>
              <w:jc w:val="left"/>
            </w:pPr>
            <w:r>
              <w:rPr>
                <w:sz w:val="21"/>
              </w:rPr>
              <w:t>环境温度</w:t>
            </w:r>
          </w:p>
        </w:tc>
        <w:tc>
          <w:tcPr>
            <w:tcW w:w="4962" w:type="dxa"/>
            <w:vAlign w:val="center"/>
          </w:tcPr>
          <w:p w14:paraId="633BF28E">
            <w:pPr>
              <w:spacing w:line="240" w:lineRule="auto"/>
              <w:jc w:val="left"/>
            </w:pPr>
            <w:r>
              <w:rPr>
                <w:sz w:val="21"/>
              </w:rPr>
              <w:t>-</w:t>
            </w:r>
            <w:r>
              <w:rPr>
                <w:rFonts w:hint="eastAsia"/>
                <w:sz w:val="21"/>
                <w:lang w:eastAsia="zh-CN"/>
              </w:rPr>
              <w:t>1</w:t>
            </w:r>
            <w:r>
              <w:rPr>
                <w:sz w:val="21"/>
              </w:rPr>
              <w:t>0℃～+</w:t>
            </w:r>
            <w:r>
              <w:rPr>
                <w:rFonts w:hint="eastAsia"/>
                <w:sz w:val="21"/>
                <w:lang w:eastAsia="zh-CN"/>
              </w:rPr>
              <w:t>5</w:t>
            </w:r>
            <w:r>
              <w:rPr>
                <w:sz w:val="21"/>
              </w:rPr>
              <w:t>0℃</w:t>
            </w:r>
          </w:p>
        </w:tc>
      </w:tr>
      <w:tr w14:paraId="5E48145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41BC7F6A">
            <w:pPr>
              <w:spacing w:line="240" w:lineRule="auto"/>
              <w:jc w:val="center"/>
            </w:pPr>
            <w:r>
              <w:rPr>
                <w:sz w:val="21"/>
              </w:rPr>
              <w:t>9</w:t>
            </w:r>
          </w:p>
        </w:tc>
        <w:tc>
          <w:tcPr>
            <w:tcW w:w="2835" w:type="dxa"/>
            <w:vAlign w:val="center"/>
          </w:tcPr>
          <w:p w14:paraId="7770EAA8">
            <w:pPr>
              <w:spacing w:line="240" w:lineRule="auto"/>
              <w:jc w:val="left"/>
            </w:pPr>
            <w:r>
              <w:rPr>
                <w:sz w:val="21"/>
              </w:rPr>
              <w:t>通信方式</w:t>
            </w:r>
          </w:p>
        </w:tc>
        <w:tc>
          <w:tcPr>
            <w:tcW w:w="4962" w:type="dxa"/>
            <w:vAlign w:val="center"/>
          </w:tcPr>
          <w:p w14:paraId="41E7377A">
            <w:pPr>
              <w:spacing w:line="240" w:lineRule="auto"/>
              <w:jc w:val="left"/>
            </w:pPr>
            <w:r>
              <w:rPr>
                <w:sz w:val="21"/>
              </w:rPr>
              <w:t>RS485协议</w:t>
            </w:r>
          </w:p>
        </w:tc>
      </w:tr>
      <w:tr w14:paraId="206C56A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E404ED5">
            <w:pPr>
              <w:spacing w:line="240" w:lineRule="auto"/>
              <w:jc w:val="center"/>
            </w:pPr>
            <w:r>
              <w:rPr>
                <w:sz w:val="21"/>
              </w:rPr>
              <w:t>10</w:t>
            </w:r>
          </w:p>
        </w:tc>
        <w:tc>
          <w:tcPr>
            <w:tcW w:w="2835" w:type="dxa"/>
            <w:vAlign w:val="center"/>
          </w:tcPr>
          <w:p w14:paraId="541CE7F7">
            <w:pPr>
              <w:spacing w:line="240" w:lineRule="auto"/>
              <w:jc w:val="left"/>
            </w:pPr>
            <w:r>
              <w:rPr>
                <w:sz w:val="21"/>
              </w:rPr>
              <w:t>采集间隔</w:t>
            </w:r>
          </w:p>
        </w:tc>
        <w:tc>
          <w:tcPr>
            <w:tcW w:w="4962" w:type="dxa"/>
            <w:vAlign w:val="center"/>
          </w:tcPr>
          <w:p w14:paraId="73FBDD79">
            <w:pPr>
              <w:spacing w:line="240" w:lineRule="auto"/>
              <w:jc w:val="left"/>
              <w:rPr>
                <w:lang w:eastAsia="zh-CN"/>
              </w:rPr>
            </w:pPr>
            <w:r>
              <w:rPr>
                <w:sz w:val="21"/>
                <w:lang w:eastAsia="zh-CN"/>
              </w:rPr>
              <w:t>485最短采集间隔0.5s；可设置主动上传，最短</w:t>
            </w:r>
            <w:r>
              <w:rPr>
                <w:rFonts w:hint="eastAsia"/>
                <w:sz w:val="21"/>
                <w:lang w:eastAsia="zh-CN"/>
              </w:rPr>
              <w:t>2</w:t>
            </w:r>
            <w:r>
              <w:rPr>
                <w:sz w:val="21"/>
                <w:lang w:eastAsia="zh-CN"/>
              </w:rPr>
              <w:t>00ms上传一次</w:t>
            </w:r>
          </w:p>
        </w:tc>
      </w:tr>
      <w:tr w14:paraId="74BB17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77443913">
            <w:pPr>
              <w:spacing w:line="240" w:lineRule="auto"/>
              <w:jc w:val="center"/>
            </w:pPr>
            <w:r>
              <w:rPr>
                <w:sz w:val="21"/>
              </w:rPr>
              <w:t>11</w:t>
            </w:r>
          </w:p>
        </w:tc>
        <w:tc>
          <w:tcPr>
            <w:tcW w:w="2835" w:type="dxa"/>
            <w:vAlign w:val="center"/>
          </w:tcPr>
          <w:p w14:paraId="0F4E7EE6">
            <w:pPr>
              <w:spacing w:line="240" w:lineRule="auto"/>
              <w:jc w:val="left"/>
            </w:pPr>
            <w:r>
              <w:rPr>
                <w:sz w:val="21"/>
              </w:rPr>
              <w:t>防护等级</w:t>
            </w:r>
          </w:p>
        </w:tc>
        <w:tc>
          <w:tcPr>
            <w:tcW w:w="4962" w:type="dxa"/>
            <w:vAlign w:val="center"/>
          </w:tcPr>
          <w:p w14:paraId="5166EDBC">
            <w:pPr>
              <w:spacing w:line="240" w:lineRule="auto"/>
              <w:jc w:val="left"/>
            </w:pPr>
            <w:r>
              <w:rPr>
                <w:sz w:val="21"/>
              </w:rPr>
              <w:t>IP68（防尘、防水）</w:t>
            </w:r>
          </w:p>
        </w:tc>
      </w:tr>
      <w:tr w14:paraId="2ACDE36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487880F7">
            <w:pPr>
              <w:spacing w:line="240" w:lineRule="auto"/>
              <w:jc w:val="center"/>
              <w:rPr>
                <w:lang w:eastAsia="zh-CN"/>
              </w:rPr>
            </w:pPr>
            <w:r>
              <w:rPr>
                <w:sz w:val="21"/>
              </w:rPr>
              <w:t>12</w:t>
            </w:r>
          </w:p>
        </w:tc>
        <w:tc>
          <w:tcPr>
            <w:tcW w:w="2835" w:type="dxa"/>
            <w:vAlign w:val="center"/>
          </w:tcPr>
          <w:p w14:paraId="51F867E9">
            <w:pPr>
              <w:spacing w:line="240" w:lineRule="auto"/>
              <w:jc w:val="left"/>
            </w:pPr>
            <w:r>
              <w:rPr>
                <w:sz w:val="21"/>
              </w:rPr>
              <w:t>安装方式</w:t>
            </w:r>
          </w:p>
        </w:tc>
        <w:tc>
          <w:tcPr>
            <w:tcW w:w="4962" w:type="dxa"/>
            <w:vAlign w:val="center"/>
          </w:tcPr>
          <w:p w14:paraId="41B729DD">
            <w:pPr>
              <w:spacing w:line="240" w:lineRule="auto"/>
              <w:jc w:val="left"/>
              <w:rPr>
                <w:lang w:eastAsia="zh-CN"/>
              </w:rPr>
            </w:pPr>
            <w:r>
              <w:rPr>
                <w:sz w:val="21"/>
                <w:lang w:eastAsia="zh-CN"/>
              </w:rPr>
              <w:t>固定安装（油枕底部外贴，配合专用耦合剂）</w:t>
            </w:r>
          </w:p>
        </w:tc>
      </w:tr>
    </w:tbl>
    <w:p w14:paraId="379A5B6F">
      <w:pPr>
        <w:ind w:firstLine="480" w:firstLineChars="200"/>
        <w:rPr>
          <w:lang w:eastAsia="zh-CN"/>
        </w:rPr>
      </w:pPr>
      <w:r>
        <w:rPr>
          <w:lang w:eastAsia="zh-CN"/>
        </w:rPr>
        <w:t>装置整机主要参数见表2。</w:t>
      </w:r>
    </w:p>
    <w:p w14:paraId="37B289D1">
      <w:pPr>
        <w:pStyle w:val="15"/>
        <w:keepNext/>
        <w:spacing w:before="240" w:after="80"/>
      </w:pPr>
      <w:r>
        <w:t>表2 装置整机主要参数表</w:t>
      </w:r>
    </w:p>
    <w:tbl>
      <w:tblPr>
        <w:tblStyle w:val="35"/>
        <w:tblW w:w="892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124"/>
        <w:gridCol w:w="2835"/>
        <w:gridCol w:w="4962"/>
      </w:tblGrid>
      <w:tr w14:paraId="6206AD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124" w:type="dxa"/>
            <w:shd w:val="clear" w:color="auto" w:fill="D9D9D9"/>
            <w:vAlign w:val="center"/>
          </w:tcPr>
          <w:p w14:paraId="575DDE42">
            <w:pPr>
              <w:spacing w:line="240" w:lineRule="auto"/>
              <w:jc w:val="center"/>
            </w:pPr>
            <w:r>
              <w:rPr>
                <w:b/>
                <w:sz w:val="21"/>
              </w:rPr>
              <w:t>序号</w:t>
            </w:r>
          </w:p>
        </w:tc>
        <w:tc>
          <w:tcPr>
            <w:tcW w:w="2835" w:type="dxa"/>
            <w:shd w:val="clear" w:color="auto" w:fill="D9D9D9"/>
            <w:vAlign w:val="center"/>
          </w:tcPr>
          <w:p w14:paraId="472460D1">
            <w:pPr>
              <w:spacing w:line="240" w:lineRule="auto"/>
              <w:jc w:val="center"/>
            </w:pPr>
            <w:r>
              <w:rPr>
                <w:b/>
                <w:sz w:val="21"/>
              </w:rPr>
              <w:t>参数项</w:t>
            </w:r>
          </w:p>
        </w:tc>
        <w:tc>
          <w:tcPr>
            <w:tcW w:w="4962" w:type="dxa"/>
            <w:shd w:val="clear" w:color="auto" w:fill="D9D9D9"/>
            <w:vAlign w:val="center"/>
          </w:tcPr>
          <w:p w14:paraId="59A31FC5">
            <w:pPr>
              <w:spacing w:line="240" w:lineRule="auto"/>
              <w:jc w:val="center"/>
            </w:pPr>
            <w:r>
              <w:rPr>
                <w:b/>
                <w:sz w:val="21"/>
              </w:rPr>
              <w:t>技术参数</w:t>
            </w:r>
          </w:p>
        </w:tc>
      </w:tr>
      <w:tr w14:paraId="5BD1917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3534EE93">
            <w:pPr>
              <w:spacing w:line="240" w:lineRule="auto"/>
              <w:jc w:val="center"/>
            </w:pPr>
            <w:r>
              <w:rPr>
                <w:sz w:val="21"/>
              </w:rPr>
              <w:t>1</w:t>
            </w:r>
          </w:p>
        </w:tc>
        <w:tc>
          <w:tcPr>
            <w:tcW w:w="2835" w:type="dxa"/>
            <w:vAlign w:val="center"/>
          </w:tcPr>
          <w:p w14:paraId="4AB13C91">
            <w:pPr>
              <w:spacing w:line="240" w:lineRule="auto"/>
              <w:jc w:val="left"/>
            </w:pPr>
            <w:r>
              <w:rPr>
                <w:sz w:val="21"/>
              </w:rPr>
              <w:t>装置名称</w:t>
            </w:r>
          </w:p>
        </w:tc>
        <w:tc>
          <w:tcPr>
            <w:tcW w:w="4962" w:type="dxa"/>
            <w:vAlign w:val="center"/>
          </w:tcPr>
          <w:p w14:paraId="0C6D653D">
            <w:pPr>
              <w:spacing w:line="240" w:lineRule="auto"/>
              <w:jc w:val="left"/>
              <w:rPr>
                <w:lang w:eastAsia="zh-CN"/>
              </w:rPr>
            </w:pPr>
            <w:r>
              <w:rPr>
                <w:sz w:val="21"/>
                <w:lang w:eastAsia="zh-CN"/>
              </w:rPr>
              <w:t>非接触式变压器油位计便携装置</w:t>
            </w:r>
          </w:p>
        </w:tc>
      </w:tr>
      <w:tr w14:paraId="2061B65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11C6D7A1">
            <w:pPr>
              <w:spacing w:line="240" w:lineRule="auto"/>
              <w:jc w:val="center"/>
            </w:pPr>
            <w:r>
              <w:rPr>
                <w:sz w:val="21"/>
              </w:rPr>
              <w:t>2</w:t>
            </w:r>
          </w:p>
        </w:tc>
        <w:tc>
          <w:tcPr>
            <w:tcW w:w="2835" w:type="dxa"/>
            <w:vAlign w:val="center"/>
          </w:tcPr>
          <w:p w14:paraId="144AFAF5">
            <w:pPr>
              <w:spacing w:line="240" w:lineRule="auto"/>
              <w:jc w:val="left"/>
            </w:pPr>
            <w:r>
              <w:rPr>
                <w:sz w:val="21"/>
              </w:rPr>
              <w:t>主机显示方式</w:t>
            </w:r>
          </w:p>
        </w:tc>
        <w:tc>
          <w:tcPr>
            <w:tcW w:w="4962" w:type="dxa"/>
            <w:vAlign w:val="center"/>
          </w:tcPr>
          <w:p w14:paraId="1B8A36B6">
            <w:pPr>
              <w:spacing w:line="240" w:lineRule="auto"/>
              <w:jc w:val="left"/>
              <w:rPr>
                <w:lang w:eastAsia="zh-CN"/>
              </w:rPr>
            </w:pPr>
            <w:r>
              <w:rPr>
                <w:sz w:val="21"/>
                <w:lang w:eastAsia="zh-CN"/>
              </w:rPr>
              <w:t>数字显示（LCD/数显）</w:t>
            </w:r>
          </w:p>
        </w:tc>
      </w:tr>
      <w:tr w14:paraId="7098273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5F9BFEDE">
            <w:pPr>
              <w:spacing w:line="240" w:lineRule="auto"/>
              <w:jc w:val="center"/>
            </w:pPr>
            <w:r>
              <w:rPr>
                <w:sz w:val="21"/>
              </w:rPr>
              <w:t>3</w:t>
            </w:r>
          </w:p>
        </w:tc>
        <w:tc>
          <w:tcPr>
            <w:tcW w:w="2835" w:type="dxa"/>
            <w:vAlign w:val="center"/>
          </w:tcPr>
          <w:p w14:paraId="7E8D6263">
            <w:pPr>
              <w:spacing w:line="240" w:lineRule="auto"/>
              <w:jc w:val="left"/>
            </w:pPr>
            <w:r>
              <w:rPr>
                <w:sz w:val="21"/>
              </w:rPr>
              <w:t>供电方式</w:t>
            </w:r>
          </w:p>
        </w:tc>
        <w:tc>
          <w:tcPr>
            <w:tcW w:w="4962" w:type="dxa"/>
            <w:vAlign w:val="center"/>
          </w:tcPr>
          <w:p w14:paraId="110464B5">
            <w:pPr>
              <w:spacing w:line="240" w:lineRule="auto"/>
              <w:jc w:val="left"/>
              <w:rPr>
                <w:lang w:eastAsia="zh-CN"/>
              </w:rPr>
            </w:pPr>
            <w:r>
              <w:rPr>
                <w:sz w:val="21"/>
                <w:lang w:eastAsia="zh-CN"/>
              </w:rPr>
              <w:t>内置锂电池／外接电源</w:t>
            </w:r>
          </w:p>
        </w:tc>
      </w:tr>
      <w:tr w14:paraId="2DC1E6C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1825D41C">
            <w:pPr>
              <w:spacing w:line="240" w:lineRule="auto"/>
              <w:jc w:val="center"/>
            </w:pPr>
            <w:r>
              <w:rPr>
                <w:sz w:val="21"/>
              </w:rPr>
              <w:t>4</w:t>
            </w:r>
          </w:p>
        </w:tc>
        <w:tc>
          <w:tcPr>
            <w:tcW w:w="2835" w:type="dxa"/>
            <w:vAlign w:val="center"/>
          </w:tcPr>
          <w:p w14:paraId="7E46E958">
            <w:pPr>
              <w:spacing w:line="240" w:lineRule="auto"/>
              <w:jc w:val="left"/>
            </w:pPr>
            <w:r>
              <w:rPr>
                <w:sz w:val="21"/>
              </w:rPr>
              <w:t>连续工作时间</w:t>
            </w:r>
          </w:p>
        </w:tc>
        <w:tc>
          <w:tcPr>
            <w:tcW w:w="4962" w:type="dxa"/>
            <w:vAlign w:val="center"/>
          </w:tcPr>
          <w:p w14:paraId="0172D77F">
            <w:pPr>
              <w:spacing w:line="240" w:lineRule="auto"/>
              <w:jc w:val="left"/>
            </w:pPr>
            <w:r>
              <w:rPr>
                <w:rFonts w:cs="Arial"/>
                <w:sz w:val="21"/>
                <w:lang w:eastAsia="zh-CN"/>
              </w:rPr>
              <w:t>≥</w:t>
            </w:r>
            <w:r>
              <w:rPr>
                <w:rFonts w:hint="eastAsia"/>
                <w:sz w:val="21"/>
                <w:lang w:eastAsia="zh-CN"/>
              </w:rPr>
              <w:t>3</w:t>
            </w:r>
            <w:r>
              <w:rPr>
                <w:sz w:val="21"/>
              </w:rPr>
              <w:t>h</w:t>
            </w:r>
          </w:p>
        </w:tc>
      </w:tr>
      <w:tr w14:paraId="09FBFCC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2BFFAC7">
            <w:pPr>
              <w:spacing w:line="240" w:lineRule="auto"/>
              <w:jc w:val="center"/>
            </w:pPr>
            <w:r>
              <w:rPr>
                <w:sz w:val="21"/>
              </w:rPr>
              <w:t>5</w:t>
            </w:r>
          </w:p>
        </w:tc>
        <w:tc>
          <w:tcPr>
            <w:tcW w:w="2835" w:type="dxa"/>
            <w:vAlign w:val="center"/>
          </w:tcPr>
          <w:p w14:paraId="1A045B08">
            <w:pPr>
              <w:spacing w:line="240" w:lineRule="auto"/>
              <w:jc w:val="left"/>
            </w:pPr>
            <w:r>
              <w:rPr>
                <w:sz w:val="21"/>
              </w:rPr>
              <w:t>整机重量</w:t>
            </w:r>
          </w:p>
        </w:tc>
        <w:tc>
          <w:tcPr>
            <w:tcW w:w="4962" w:type="dxa"/>
            <w:vAlign w:val="center"/>
          </w:tcPr>
          <w:p w14:paraId="3424FC9E">
            <w:pPr>
              <w:spacing w:line="240" w:lineRule="auto"/>
              <w:jc w:val="left"/>
            </w:pPr>
            <w:r>
              <w:rPr>
                <w:sz w:val="21"/>
              </w:rPr>
              <w:t>≤</w:t>
            </w:r>
            <w:r>
              <w:rPr>
                <w:rFonts w:hint="eastAsia"/>
                <w:sz w:val="21"/>
                <w:lang w:eastAsia="zh-CN"/>
              </w:rPr>
              <w:t>6</w:t>
            </w:r>
            <w:r>
              <w:rPr>
                <w:sz w:val="21"/>
              </w:rPr>
              <w:t>kg</w:t>
            </w:r>
          </w:p>
        </w:tc>
      </w:tr>
      <w:tr w14:paraId="2FD197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231DF391">
            <w:pPr>
              <w:spacing w:line="240" w:lineRule="auto"/>
              <w:jc w:val="center"/>
            </w:pPr>
            <w:r>
              <w:rPr>
                <w:sz w:val="21"/>
              </w:rPr>
              <w:t>6</w:t>
            </w:r>
          </w:p>
        </w:tc>
        <w:tc>
          <w:tcPr>
            <w:tcW w:w="2835" w:type="dxa"/>
            <w:vAlign w:val="center"/>
          </w:tcPr>
          <w:p w14:paraId="4F15CE84">
            <w:pPr>
              <w:spacing w:line="240" w:lineRule="auto"/>
              <w:jc w:val="left"/>
            </w:pPr>
            <w:r>
              <w:rPr>
                <w:sz w:val="21"/>
              </w:rPr>
              <w:t>整机防护等级</w:t>
            </w:r>
          </w:p>
        </w:tc>
        <w:tc>
          <w:tcPr>
            <w:tcW w:w="4962" w:type="dxa"/>
            <w:vAlign w:val="center"/>
          </w:tcPr>
          <w:p w14:paraId="12A06F11">
            <w:pPr>
              <w:spacing w:line="240" w:lineRule="auto"/>
              <w:jc w:val="left"/>
            </w:pPr>
            <w:r>
              <w:rPr>
                <w:sz w:val="21"/>
              </w:rPr>
              <w:t>不低于IP53</w:t>
            </w:r>
          </w:p>
        </w:tc>
      </w:tr>
      <w:tr w14:paraId="7BA4E90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16AEB9F0">
            <w:pPr>
              <w:spacing w:line="240" w:lineRule="auto"/>
              <w:jc w:val="center"/>
              <w:rPr>
                <w:lang w:eastAsia="zh-CN"/>
              </w:rPr>
            </w:pPr>
            <w:r>
              <w:rPr>
                <w:rFonts w:hint="eastAsia"/>
                <w:lang w:eastAsia="zh-CN"/>
              </w:rPr>
              <w:t>7</w:t>
            </w:r>
          </w:p>
        </w:tc>
        <w:tc>
          <w:tcPr>
            <w:tcW w:w="2835" w:type="dxa"/>
            <w:vAlign w:val="center"/>
          </w:tcPr>
          <w:p w14:paraId="481FDFE3">
            <w:pPr>
              <w:spacing w:line="240" w:lineRule="auto"/>
              <w:jc w:val="left"/>
            </w:pPr>
            <w:r>
              <w:rPr>
                <w:sz w:val="21"/>
              </w:rPr>
              <w:t>工作环境温度</w:t>
            </w:r>
          </w:p>
        </w:tc>
        <w:tc>
          <w:tcPr>
            <w:tcW w:w="4962" w:type="dxa"/>
            <w:vAlign w:val="center"/>
          </w:tcPr>
          <w:p w14:paraId="09DCEE0C">
            <w:pPr>
              <w:spacing w:line="240" w:lineRule="auto"/>
              <w:jc w:val="left"/>
            </w:pPr>
            <w:r>
              <w:rPr>
                <w:sz w:val="21"/>
              </w:rPr>
              <w:t>-20℃～+60℃</w:t>
            </w:r>
          </w:p>
        </w:tc>
      </w:tr>
      <w:tr w14:paraId="2780B5B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08C5A88">
            <w:pPr>
              <w:spacing w:line="240" w:lineRule="auto"/>
              <w:jc w:val="center"/>
              <w:rPr>
                <w:lang w:eastAsia="zh-CN"/>
              </w:rPr>
            </w:pPr>
            <w:r>
              <w:rPr>
                <w:rFonts w:hint="eastAsia"/>
                <w:lang w:eastAsia="zh-CN"/>
              </w:rPr>
              <w:t>8</w:t>
            </w:r>
          </w:p>
        </w:tc>
        <w:tc>
          <w:tcPr>
            <w:tcW w:w="2835" w:type="dxa"/>
            <w:vAlign w:val="center"/>
          </w:tcPr>
          <w:p w14:paraId="2379D4AC">
            <w:pPr>
              <w:spacing w:line="240" w:lineRule="auto"/>
              <w:jc w:val="left"/>
            </w:pPr>
            <w:r>
              <w:rPr>
                <w:sz w:val="21"/>
              </w:rPr>
              <w:t>通信接口</w:t>
            </w:r>
          </w:p>
        </w:tc>
        <w:tc>
          <w:tcPr>
            <w:tcW w:w="4962" w:type="dxa"/>
            <w:vAlign w:val="center"/>
          </w:tcPr>
          <w:p w14:paraId="13E085FB">
            <w:pPr>
              <w:spacing w:line="240" w:lineRule="auto"/>
              <w:jc w:val="left"/>
            </w:pPr>
            <w:r>
              <w:rPr>
                <w:sz w:val="21"/>
              </w:rPr>
              <w:t>RS485；</w:t>
            </w:r>
          </w:p>
        </w:tc>
      </w:tr>
      <w:tr w14:paraId="701453E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124" w:type="dxa"/>
            <w:vAlign w:val="center"/>
          </w:tcPr>
          <w:p w14:paraId="0FC78F7A">
            <w:pPr>
              <w:spacing w:line="240" w:lineRule="auto"/>
              <w:jc w:val="center"/>
              <w:rPr>
                <w:lang w:eastAsia="zh-CN"/>
              </w:rPr>
            </w:pPr>
            <w:r>
              <w:rPr>
                <w:rFonts w:hint="eastAsia"/>
                <w:lang w:eastAsia="zh-CN"/>
              </w:rPr>
              <w:t>9</w:t>
            </w:r>
          </w:p>
        </w:tc>
        <w:tc>
          <w:tcPr>
            <w:tcW w:w="2835" w:type="dxa"/>
            <w:vAlign w:val="center"/>
          </w:tcPr>
          <w:p w14:paraId="75D7E551">
            <w:pPr>
              <w:spacing w:line="240" w:lineRule="auto"/>
              <w:jc w:val="left"/>
            </w:pPr>
            <w:r>
              <w:rPr>
                <w:sz w:val="21"/>
              </w:rPr>
              <w:t>便携结构</w:t>
            </w:r>
          </w:p>
        </w:tc>
        <w:tc>
          <w:tcPr>
            <w:tcW w:w="4962" w:type="dxa"/>
            <w:vAlign w:val="center"/>
          </w:tcPr>
          <w:p w14:paraId="76853A23">
            <w:pPr>
              <w:spacing w:line="240" w:lineRule="auto"/>
              <w:jc w:val="left"/>
              <w:rPr>
                <w:lang w:eastAsia="zh-CN"/>
              </w:rPr>
            </w:pPr>
            <w:r>
              <w:rPr>
                <w:sz w:val="21"/>
                <w:lang w:eastAsia="zh-CN"/>
              </w:rPr>
              <w:t>便携箱＋主机＋超声传感单元＋附件</w:t>
            </w:r>
            <w:r>
              <w:rPr>
                <w:rFonts w:hint="eastAsia"/>
                <w:sz w:val="21"/>
                <w:lang w:eastAsia="zh-CN"/>
              </w:rPr>
              <w:t>（如需）</w:t>
            </w:r>
          </w:p>
        </w:tc>
      </w:tr>
    </w:tbl>
    <w:p w14:paraId="56E413F2">
      <w:pPr>
        <w:pStyle w:val="4"/>
        <w:spacing w:line="312" w:lineRule="auto"/>
        <w:rPr>
          <w:lang w:eastAsia="zh-CN"/>
        </w:rPr>
      </w:pPr>
      <w:bookmarkStart w:id="13" w:name="_Toc25692"/>
      <w:r>
        <w:rPr>
          <w:rFonts w:ascii="Arial" w:hAnsi="Arial" w:eastAsia="黑体"/>
          <w:lang w:eastAsia="zh-CN"/>
        </w:rPr>
        <w:t>4.2 性能要求</w:t>
      </w:r>
      <w:bookmarkEnd w:id="13"/>
    </w:p>
    <w:p w14:paraId="06DDFFF6">
      <w:pPr>
        <w:ind w:firstLine="480" w:firstLineChars="200"/>
        <w:rPr>
          <w:lang w:eastAsia="zh-CN"/>
        </w:rPr>
      </w:pPr>
      <w:r>
        <w:rPr>
          <w:lang w:eastAsia="zh-CN"/>
        </w:rPr>
        <w:t>（1）测量实时性：装置单次测量/响应时间最快1</w:t>
      </w:r>
      <w:r>
        <w:rPr>
          <w:rFonts w:hint="eastAsia"/>
          <w:lang w:eastAsia="zh-CN"/>
        </w:rPr>
        <w:t>2</w:t>
      </w:r>
      <w:r>
        <w:rPr>
          <w:lang w:eastAsia="zh-CN"/>
        </w:rPr>
        <w:t>0ms，满足油位快速测量要求；</w:t>
      </w:r>
    </w:p>
    <w:p w14:paraId="0DB13A11">
      <w:pPr>
        <w:ind w:firstLine="480" w:firstLineChars="200"/>
        <w:rPr>
          <w:lang w:eastAsia="zh-CN"/>
        </w:rPr>
      </w:pPr>
      <w:r>
        <w:rPr>
          <w:lang w:eastAsia="zh-CN"/>
        </w:rPr>
        <w:t>（2）测量精度：油位测量精确度等级不低于0.25级【具体以型式试验及现场比对结果为准】；</w:t>
      </w:r>
    </w:p>
    <w:p w14:paraId="630D4C68">
      <w:pPr>
        <w:ind w:firstLine="480" w:firstLineChars="200"/>
        <w:rPr>
          <w:lang w:eastAsia="zh-CN"/>
        </w:rPr>
      </w:pPr>
      <w:r>
        <w:rPr>
          <w:lang w:eastAsia="zh-CN"/>
        </w:rPr>
        <w:t>（</w:t>
      </w:r>
      <w:r>
        <w:rPr>
          <w:rFonts w:hint="eastAsia"/>
          <w:lang w:eastAsia="zh-CN"/>
        </w:rPr>
        <w:t>3</w:t>
      </w:r>
      <w:r>
        <w:rPr>
          <w:lang w:eastAsia="zh-CN"/>
        </w:rPr>
        <w:t>）环境适应性：装置在-</w:t>
      </w:r>
      <w:r>
        <w:rPr>
          <w:rFonts w:hint="eastAsia"/>
          <w:lang w:eastAsia="zh-CN"/>
        </w:rPr>
        <w:t>1</w:t>
      </w:r>
      <w:r>
        <w:rPr>
          <w:lang w:eastAsia="zh-CN"/>
        </w:rPr>
        <w:t>0℃～+</w:t>
      </w:r>
      <w:r>
        <w:rPr>
          <w:rFonts w:hint="eastAsia"/>
          <w:lang w:eastAsia="zh-CN"/>
        </w:rPr>
        <w:t>5</w:t>
      </w:r>
      <w:r>
        <w:rPr>
          <w:lang w:eastAsia="zh-CN"/>
        </w:rPr>
        <w:t>0℃环境温度下应能连</w:t>
      </w:r>
      <w:bookmarkStart w:id="25" w:name="_GoBack"/>
      <w:bookmarkEnd w:id="25"/>
      <w:r>
        <w:rPr>
          <w:lang w:eastAsia="zh-CN"/>
        </w:rPr>
        <w:t>续、稳定工作，适应户外变电站日晒、雨淋、风沙等环境条件；</w:t>
      </w:r>
    </w:p>
    <w:p w14:paraId="10390E65">
      <w:pPr>
        <w:ind w:firstLine="480" w:firstLineChars="200"/>
        <w:rPr>
          <w:lang w:eastAsia="zh-CN"/>
        </w:rPr>
      </w:pPr>
      <w:r>
        <w:rPr>
          <w:lang w:eastAsia="zh-CN"/>
        </w:rPr>
        <w:t>（</w:t>
      </w:r>
      <w:r>
        <w:rPr>
          <w:rFonts w:hint="eastAsia"/>
          <w:lang w:eastAsia="zh-CN"/>
        </w:rPr>
        <w:t>4</w:t>
      </w:r>
      <w:r>
        <w:rPr>
          <w:lang w:eastAsia="zh-CN"/>
        </w:rPr>
        <w:t>）防护性能：超声传感单元防护等级不低于IP68；主机及整机防护等级不低于IP53；</w:t>
      </w:r>
    </w:p>
    <w:p w14:paraId="77E9FFA5">
      <w:pPr>
        <w:ind w:firstLine="480" w:firstLineChars="200"/>
        <w:rPr>
          <w:lang w:eastAsia="zh-CN"/>
        </w:rPr>
      </w:pPr>
      <w:r>
        <w:rPr>
          <w:lang w:eastAsia="zh-CN"/>
        </w:rPr>
        <w:t>（</w:t>
      </w:r>
      <w:r>
        <w:rPr>
          <w:rFonts w:hint="eastAsia"/>
          <w:lang w:eastAsia="zh-CN"/>
        </w:rPr>
        <w:t>5</w:t>
      </w:r>
      <w:r>
        <w:rPr>
          <w:lang w:eastAsia="zh-CN"/>
        </w:rPr>
        <w:t>）电磁兼容：装置在变电站强电磁环境下不得出现测量误动、数据跳变或通信中断，电磁兼容性能按GB/T 17626系列标准执行；</w:t>
      </w:r>
    </w:p>
    <w:p w14:paraId="67015DAB">
      <w:pPr>
        <w:ind w:firstLine="480" w:firstLineChars="200"/>
        <w:rPr>
          <w:lang w:eastAsia="zh-CN"/>
        </w:rPr>
      </w:pPr>
      <w:r>
        <w:rPr>
          <w:lang w:eastAsia="zh-CN"/>
        </w:rPr>
        <w:t>（</w:t>
      </w:r>
      <w:r>
        <w:rPr>
          <w:rFonts w:hint="eastAsia"/>
          <w:lang w:eastAsia="zh-CN"/>
        </w:rPr>
        <w:t>6</w:t>
      </w:r>
      <w:r>
        <w:rPr>
          <w:lang w:eastAsia="zh-CN"/>
        </w:rPr>
        <w:t>）便携性：装置应便于单人携带与现场快速测量，操作简便，测量作业无需开阀及开孔；</w:t>
      </w:r>
    </w:p>
    <w:p w14:paraId="3A73455C">
      <w:pPr>
        <w:ind w:firstLine="480" w:firstLineChars="200"/>
        <w:rPr>
          <w:lang w:eastAsia="zh-CN"/>
        </w:rPr>
      </w:pPr>
      <w:r>
        <w:rPr>
          <w:lang w:eastAsia="zh-CN"/>
        </w:rPr>
        <w:t>（</w:t>
      </w:r>
      <w:r>
        <w:rPr>
          <w:rFonts w:hint="eastAsia"/>
          <w:lang w:eastAsia="zh-CN"/>
        </w:rPr>
        <w:t>7</w:t>
      </w:r>
      <w:r>
        <w:rPr>
          <w:lang w:eastAsia="zh-CN"/>
        </w:rPr>
        <w:t>）可靠性：装置平均无故障工作时间（MTBF）不小于</w:t>
      </w:r>
      <w:r>
        <w:rPr>
          <w:rFonts w:hint="eastAsia"/>
          <w:lang w:val="en-US" w:eastAsia="zh-CN"/>
        </w:rPr>
        <w:t>3</w:t>
      </w:r>
      <w:r>
        <w:rPr>
          <w:lang w:eastAsia="zh-CN"/>
        </w:rPr>
        <w:t>h。</w:t>
      </w:r>
    </w:p>
    <w:p w14:paraId="7338A4E6">
      <w:pPr>
        <w:pStyle w:val="3"/>
        <w:spacing w:line="312" w:lineRule="auto"/>
        <w:rPr>
          <w:lang w:eastAsia="zh-CN"/>
        </w:rPr>
      </w:pPr>
      <w:bookmarkStart w:id="14" w:name="_Toc8592"/>
      <w:r>
        <w:rPr>
          <w:rFonts w:ascii="Arial" w:hAnsi="Arial" w:eastAsia="黑体"/>
          <w:lang w:eastAsia="zh-CN"/>
        </w:rPr>
        <w:t>5 功能要求</w:t>
      </w:r>
      <w:bookmarkEnd w:id="14"/>
    </w:p>
    <w:p w14:paraId="5F1AFA86">
      <w:pPr>
        <w:pStyle w:val="4"/>
        <w:spacing w:line="312" w:lineRule="auto"/>
        <w:rPr>
          <w:lang w:eastAsia="zh-CN"/>
        </w:rPr>
      </w:pPr>
      <w:bookmarkStart w:id="15" w:name="_Toc17401"/>
      <w:r>
        <w:rPr>
          <w:rFonts w:ascii="Arial" w:hAnsi="Arial" w:eastAsia="黑体"/>
          <w:lang w:eastAsia="zh-CN"/>
        </w:rPr>
        <w:t>5.1 油位测量功能</w:t>
      </w:r>
      <w:bookmarkEnd w:id="15"/>
    </w:p>
    <w:p w14:paraId="2909C0F8">
      <w:pPr>
        <w:ind w:firstLine="480" w:firstLineChars="200"/>
        <w:rPr>
          <w:lang w:eastAsia="zh-CN"/>
        </w:rPr>
      </w:pPr>
      <w:r>
        <w:rPr>
          <w:lang w:eastAsia="zh-CN"/>
        </w:rPr>
        <w:t>（1）实现对变压器油枕油位的非接触式实时测量与数字显示；</w:t>
      </w:r>
    </w:p>
    <w:p w14:paraId="138061A6">
      <w:pPr>
        <w:pStyle w:val="4"/>
        <w:spacing w:line="312" w:lineRule="auto"/>
        <w:rPr>
          <w:lang w:eastAsia="zh-CN"/>
        </w:rPr>
      </w:pPr>
      <w:bookmarkStart w:id="16" w:name="_Toc8866"/>
      <w:r>
        <w:rPr>
          <w:rFonts w:ascii="Arial" w:hAnsi="Arial" w:eastAsia="黑体"/>
          <w:lang w:eastAsia="zh-CN"/>
        </w:rPr>
        <w:t>5.2 油位计校验比对功能</w:t>
      </w:r>
      <w:bookmarkEnd w:id="16"/>
    </w:p>
    <w:p w14:paraId="3F2EC77D">
      <w:pPr>
        <w:ind w:firstLine="480" w:firstLineChars="200"/>
        <w:rPr>
          <w:lang w:eastAsia="zh-CN"/>
        </w:rPr>
      </w:pPr>
      <w:r>
        <w:rPr>
          <w:lang w:eastAsia="zh-CN"/>
        </w:rPr>
        <w:t>（1）支持与被校油位计读数进行比对，辅助判断油位计指示是否合格</w:t>
      </w:r>
      <w:r>
        <w:rPr>
          <w:rFonts w:hint="eastAsia"/>
          <w:lang w:eastAsia="zh-CN"/>
        </w:rPr>
        <w:t>。</w:t>
      </w:r>
    </w:p>
    <w:p w14:paraId="05F26E7C">
      <w:pPr>
        <w:pStyle w:val="3"/>
        <w:spacing w:line="312" w:lineRule="auto"/>
        <w:rPr>
          <w:lang w:eastAsia="zh-CN"/>
        </w:rPr>
      </w:pPr>
      <w:bookmarkStart w:id="17" w:name="_Toc31020"/>
      <w:r>
        <w:rPr>
          <w:rFonts w:ascii="Arial" w:hAnsi="Arial" w:eastAsia="黑体"/>
          <w:lang w:eastAsia="zh-CN"/>
        </w:rPr>
        <w:t>6 现场使用与作业要求</w:t>
      </w:r>
      <w:bookmarkEnd w:id="17"/>
    </w:p>
    <w:p w14:paraId="40854904">
      <w:pPr>
        <w:pStyle w:val="4"/>
        <w:spacing w:line="312" w:lineRule="auto"/>
        <w:rPr>
          <w:lang w:eastAsia="zh-CN"/>
        </w:rPr>
      </w:pPr>
      <w:bookmarkStart w:id="18" w:name="_Toc4459"/>
      <w:r>
        <w:rPr>
          <w:rFonts w:ascii="Arial" w:hAnsi="Arial" w:eastAsia="黑体"/>
          <w:lang w:eastAsia="zh-CN"/>
        </w:rPr>
        <w:t>6.1 测量作业流程</w:t>
      </w:r>
      <w:bookmarkEnd w:id="18"/>
    </w:p>
    <w:p w14:paraId="544EF13D">
      <w:pPr>
        <w:ind w:firstLine="480" w:firstLineChars="200"/>
        <w:rPr>
          <w:lang w:eastAsia="zh-CN"/>
        </w:rPr>
      </w:pPr>
      <w:r>
        <w:rPr>
          <w:lang w:eastAsia="zh-CN"/>
        </w:rPr>
        <w:t>（1）现场选位：选择油枕底部平整、无锈蚀、无附着物的测量位置，避开加强筋、焊缝等影响超声波传播的结构件；</w:t>
      </w:r>
    </w:p>
    <w:p w14:paraId="7389970F">
      <w:pPr>
        <w:ind w:firstLine="480" w:firstLineChars="200"/>
        <w:rPr>
          <w:lang w:eastAsia="zh-CN"/>
        </w:rPr>
      </w:pPr>
      <w:r>
        <w:rPr>
          <w:lang w:eastAsia="zh-CN"/>
        </w:rPr>
        <w:t>（2）表面处理：清洁油枕外壁测量面，保证表面平整光洁；</w:t>
      </w:r>
    </w:p>
    <w:p w14:paraId="00751BDB">
      <w:pPr>
        <w:ind w:firstLine="480" w:firstLineChars="200"/>
        <w:rPr>
          <w:lang w:eastAsia="zh-CN"/>
        </w:rPr>
      </w:pPr>
      <w:r>
        <w:rPr>
          <w:lang w:eastAsia="zh-CN"/>
        </w:rPr>
        <w:t>（3）涂覆耦合剂：在探头与油枕外壁之间均匀涂覆专用耦合剂，确保超声波信号良好耦合，不得存在气隙；</w:t>
      </w:r>
    </w:p>
    <w:p w14:paraId="27BA4859">
      <w:pPr>
        <w:ind w:firstLine="480" w:firstLineChars="200"/>
        <w:rPr>
          <w:lang w:eastAsia="zh-CN"/>
        </w:rPr>
      </w:pPr>
      <w:r>
        <w:rPr>
          <w:lang w:eastAsia="zh-CN"/>
        </w:rPr>
        <w:t>（4）贴合测量：将超声传感单元贴合油枕外壁并保持稳定，启动测量，装置显示油位高度；</w:t>
      </w:r>
    </w:p>
    <w:p w14:paraId="3076431E">
      <w:pPr>
        <w:ind w:firstLine="480" w:firstLineChars="200"/>
        <w:rPr>
          <w:lang w:eastAsia="zh-CN"/>
        </w:rPr>
      </w:pPr>
      <w:r>
        <w:rPr>
          <w:lang w:eastAsia="zh-CN"/>
        </w:rPr>
        <w:t>（5）记录比对：记录测量结果，必要时与被校油位计读数比对，判断其指示是否合格；</w:t>
      </w:r>
    </w:p>
    <w:p w14:paraId="5D1B444B">
      <w:pPr>
        <w:ind w:firstLine="480" w:firstLineChars="200"/>
        <w:rPr>
          <w:rFonts w:hint="eastAsia"/>
          <w:lang w:eastAsia="zh-CN"/>
        </w:rPr>
      </w:pPr>
      <w:r>
        <w:rPr>
          <w:lang w:eastAsia="zh-CN"/>
        </w:rPr>
        <w:t>（6）测量完成：保存数据后关机。</w:t>
      </w:r>
    </w:p>
    <w:p w14:paraId="7A17C9A9">
      <w:pPr>
        <w:pStyle w:val="15"/>
        <w:spacing w:before="80" w:after="240"/>
        <w:rPr>
          <w:lang w:eastAsia="zh-CN"/>
        </w:rPr>
      </w:pPr>
    </w:p>
    <w:p w14:paraId="7DA03F1E">
      <w:pPr>
        <w:pStyle w:val="4"/>
        <w:spacing w:line="312" w:lineRule="auto"/>
        <w:rPr>
          <w:lang w:eastAsia="zh-CN"/>
        </w:rPr>
      </w:pPr>
      <w:bookmarkStart w:id="19" w:name="_Toc23237"/>
      <w:r>
        <w:rPr>
          <w:rFonts w:ascii="Arial" w:hAnsi="Arial" w:eastAsia="黑体"/>
          <w:lang w:eastAsia="zh-CN"/>
        </w:rPr>
        <w:t>6.2 作业安全要求</w:t>
      </w:r>
      <w:bookmarkEnd w:id="19"/>
    </w:p>
    <w:p w14:paraId="07A2634E">
      <w:pPr>
        <w:ind w:firstLine="480" w:firstLineChars="200"/>
        <w:rPr>
          <w:lang w:eastAsia="zh-CN"/>
        </w:rPr>
      </w:pPr>
      <w:r>
        <w:rPr>
          <w:lang w:eastAsia="zh-CN"/>
        </w:rPr>
        <w:t>（1）装置测量作业全程无需开阀、无需开孔，不改变变压器及油枕原有结构与运行状态；</w:t>
      </w:r>
    </w:p>
    <w:p w14:paraId="7BC84F1F">
      <w:pPr>
        <w:ind w:firstLine="480" w:firstLineChars="200"/>
        <w:rPr>
          <w:lang w:eastAsia="zh-CN"/>
        </w:rPr>
      </w:pPr>
      <w:r>
        <w:rPr>
          <w:lang w:eastAsia="zh-CN"/>
        </w:rPr>
        <w:t>（2）现场作业应严格执行运行单位电力安全工作规程及现场安全管理规定，与带电设备保持足够安全距离，履行工作票制度；</w:t>
      </w:r>
    </w:p>
    <w:p w14:paraId="4E904369">
      <w:pPr>
        <w:ind w:firstLine="480" w:firstLineChars="200"/>
        <w:rPr>
          <w:lang w:eastAsia="zh-CN"/>
        </w:rPr>
      </w:pPr>
      <w:r>
        <w:rPr>
          <w:lang w:eastAsia="zh-CN"/>
        </w:rPr>
        <w:t>（3）如需登高或使用辅助工装接触油枕本体，应落实防高处坠落等安全措施，正确使用登高设施与个人防护用品；</w:t>
      </w:r>
    </w:p>
    <w:p w14:paraId="0F76E365">
      <w:pPr>
        <w:ind w:firstLine="480" w:firstLineChars="200"/>
        <w:rPr>
          <w:lang w:eastAsia="zh-CN"/>
        </w:rPr>
      </w:pPr>
      <w:r>
        <w:rPr>
          <w:lang w:eastAsia="zh-CN"/>
        </w:rPr>
        <w:t>（4）作业不得影响变压器及站内设备正常运行。</w:t>
      </w:r>
    </w:p>
    <w:p w14:paraId="5EFE61C5">
      <w:pPr>
        <w:pStyle w:val="4"/>
        <w:spacing w:line="312" w:lineRule="auto"/>
        <w:rPr>
          <w:lang w:eastAsia="zh-CN"/>
        </w:rPr>
      </w:pPr>
      <w:bookmarkStart w:id="20" w:name="_Toc22372"/>
      <w:r>
        <w:rPr>
          <w:rFonts w:ascii="Arial" w:hAnsi="Arial" w:eastAsia="黑体"/>
          <w:lang w:eastAsia="zh-CN"/>
        </w:rPr>
        <w:t>6.3 装置维护保养</w:t>
      </w:r>
      <w:bookmarkEnd w:id="20"/>
    </w:p>
    <w:p w14:paraId="5FF9B8BA">
      <w:pPr>
        <w:ind w:firstLine="480" w:firstLineChars="200"/>
        <w:rPr>
          <w:lang w:eastAsia="zh-CN"/>
        </w:rPr>
      </w:pPr>
      <w:r>
        <w:rPr>
          <w:lang w:eastAsia="zh-CN"/>
        </w:rPr>
        <w:t>（1）保持探头测量面清洁，避免油污、灰尘附着影响耦合效果；</w:t>
      </w:r>
    </w:p>
    <w:p w14:paraId="0A30A292">
      <w:pPr>
        <w:ind w:firstLine="480" w:firstLineChars="200"/>
        <w:rPr>
          <w:lang w:eastAsia="zh-CN"/>
        </w:rPr>
      </w:pPr>
      <w:r>
        <w:rPr>
          <w:lang w:eastAsia="zh-CN"/>
        </w:rPr>
        <w:t>（2）按使用说明定期检查耦合剂状态，不足时及时补充；</w:t>
      </w:r>
    </w:p>
    <w:p w14:paraId="06D97D34">
      <w:pPr>
        <w:ind w:firstLine="480" w:firstLineChars="200"/>
        <w:rPr>
          <w:lang w:eastAsia="zh-CN"/>
        </w:rPr>
      </w:pPr>
      <w:r>
        <w:rPr>
          <w:lang w:eastAsia="zh-CN"/>
        </w:rPr>
        <w:t>（3）定期对电池充电维护，长期存放时按规定进行充放电管理；</w:t>
      </w:r>
    </w:p>
    <w:p w14:paraId="60A4F647">
      <w:pPr>
        <w:ind w:firstLine="480" w:firstLineChars="200"/>
        <w:rPr>
          <w:lang w:eastAsia="zh-CN"/>
        </w:rPr>
      </w:pPr>
      <w:r>
        <w:rPr>
          <w:lang w:eastAsia="zh-CN"/>
        </w:rPr>
        <w:t>（4）发现测量异常（数据跳变、显示异常、通信中断等）应及时检查处理。</w:t>
      </w:r>
    </w:p>
    <w:p w14:paraId="3388D916">
      <w:pPr>
        <w:pStyle w:val="3"/>
        <w:spacing w:line="312" w:lineRule="auto"/>
        <w:rPr>
          <w:lang w:eastAsia="zh-CN"/>
        </w:rPr>
      </w:pPr>
      <w:bookmarkStart w:id="21" w:name="_Toc27317"/>
      <w:r>
        <w:rPr>
          <w:rFonts w:ascii="Arial" w:hAnsi="Arial" w:eastAsia="黑体"/>
          <w:lang w:eastAsia="zh-CN"/>
        </w:rPr>
        <w:t>7 检验、试验与验收要求</w:t>
      </w:r>
      <w:bookmarkEnd w:id="21"/>
    </w:p>
    <w:p w14:paraId="23FCEBEC">
      <w:pPr>
        <w:pStyle w:val="4"/>
        <w:spacing w:line="312" w:lineRule="auto"/>
        <w:rPr>
          <w:rFonts w:hint="eastAsia"/>
          <w:lang w:eastAsia="zh-CN"/>
        </w:rPr>
      </w:pPr>
      <w:bookmarkStart w:id="22" w:name="_Toc7078"/>
      <w:r>
        <w:rPr>
          <w:rFonts w:ascii="Arial" w:hAnsi="Arial" w:eastAsia="黑体"/>
          <w:lang w:eastAsia="zh-CN"/>
        </w:rPr>
        <w:t>7.1 出厂检验</w:t>
      </w:r>
      <w:bookmarkEnd w:id="22"/>
    </w:p>
    <w:p w14:paraId="57513169">
      <w:pPr>
        <w:ind w:firstLine="480" w:firstLineChars="200"/>
        <w:rPr>
          <w:lang w:eastAsia="zh-CN"/>
        </w:rPr>
      </w:pPr>
      <w:r>
        <w:rPr>
          <w:lang w:eastAsia="zh-CN"/>
        </w:rPr>
        <w:t>（1）供货方应提供</w:t>
      </w:r>
      <w:r>
        <w:rPr>
          <w:rFonts w:hint="eastAsia"/>
          <w:lang w:eastAsia="zh-CN"/>
        </w:rPr>
        <w:t>第三方</w:t>
      </w:r>
      <w:r>
        <w:rPr>
          <w:lang w:eastAsia="zh-CN"/>
        </w:rPr>
        <w:t>检验报告。</w:t>
      </w:r>
    </w:p>
    <w:p w14:paraId="60E15F3C">
      <w:pPr>
        <w:pStyle w:val="4"/>
        <w:spacing w:line="312" w:lineRule="auto"/>
        <w:rPr>
          <w:lang w:eastAsia="zh-CN"/>
        </w:rPr>
      </w:pPr>
      <w:bookmarkStart w:id="23" w:name="_Toc29912"/>
      <w:r>
        <w:rPr>
          <w:rFonts w:ascii="Arial" w:hAnsi="Arial" w:eastAsia="黑体"/>
          <w:lang w:eastAsia="zh-CN"/>
        </w:rPr>
        <w:t>7.2 现场验收</w:t>
      </w:r>
      <w:bookmarkEnd w:id="23"/>
    </w:p>
    <w:p w14:paraId="410F75AF">
      <w:pPr>
        <w:ind w:firstLine="480" w:firstLineChars="200"/>
        <w:rPr>
          <w:lang w:eastAsia="zh-CN"/>
        </w:rPr>
      </w:pPr>
      <w:r>
        <w:rPr>
          <w:lang w:eastAsia="zh-CN"/>
        </w:rPr>
        <w:t>（1）设备数量与规格核对：核对装置整机、超声传感单元、附件及备件的数量与规格；</w:t>
      </w:r>
    </w:p>
    <w:p w14:paraId="0922A234">
      <w:pPr>
        <w:ind w:firstLine="480" w:firstLineChars="200"/>
        <w:rPr>
          <w:lang w:eastAsia="zh-CN"/>
        </w:rPr>
      </w:pPr>
      <w:r>
        <w:rPr>
          <w:lang w:eastAsia="zh-CN"/>
        </w:rPr>
        <w:t>（2）功能测试：现场实际测量油枕油位，验证测量、显示</w:t>
      </w:r>
      <w:r>
        <w:rPr>
          <w:rFonts w:hint="eastAsia"/>
          <w:lang w:val="en-US" w:eastAsia="zh-CN"/>
        </w:rPr>
        <w:t>等</w:t>
      </w:r>
      <w:r>
        <w:rPr>
          <w:lang w:eastAsia="zh-CN"/>
        </w:rPr>
        <w:t>功能正常；</w:t>
      </w:r>
    </w:p>
    <w:p w14:paraId="10B56063">
      <w:pPr>
        <w:ind w:firstLine="480" w:firstLineChars="200"/>
        <w:rPr>
          <w:lang w:eastAsia="zh-CN"/>
        </w:rPr>
      </w:pPr>
      <w:r>
        <w:rPr>
          <w:lang w:eastAsia="zh-CN"/>
        </w:rPr>
        <w:t>（3）精度比对：变压器上进行现场比对测量，装置测量结果与现场实际油位比对，误差满足要求【如不低于0.25级】；</w:t>
      </w:r>
    </w:p>
    <w:p w14:paraId="193F71FC">
      <w:pPr>
        <w:ind w:firstLine="480" w:firstLineChars="200"/>
        <w:rPr>
          <w:lang w:eastAsia="zh-CN"/>
        </w:rPr>
      </w:pPr>
      <w:r>
        <w:rPr>
          <w:lang w:eastAsia="zh-CN"/>
        </w:rPr>
        <w:t>（4）资料移交：按本技术规范书第9章要求完成资料移交；</w:t>
      </w:r>
    </w:p>
    <w:p w14:paraId="594D733B">
      <w:pPr>
        <w:pStyle w:val="3"/>
        <w:spacing w:line="312" w:lineRule="auto"/>
        <w:rPr>
          <w:lang w:eastAsia="zh-CN"/>
        </w:rPr>
      </w:pPr>
      <w:bookmarkStart w:id="24" w:name="_Toc24354"/>
      <w:r>
        <w:rPr>
          <w:rFonts w:hint="eastAsia" w:ascii="Arial" w:hAnsi="Arial" w:eastAsia="黑体"/>
          <w:lang w:eastAsia="zh-CN"/>
        </w:rPr>
        <w:t>8</w:t>
      </w:r>
      <w:r>
        <w:rPr>
          <w:rFonts w:ascii="Arial" w:hAnsi="Arial" w:eastAsia="黑体"/>
          <w:lang w:eastAsia="zh-CN"/>
        </w:rPr>
        <w:t xml:space="preserve"> 供货范围与交付</w:t>
      </w:r>
      <w:r>
        <w:rPr>
          <w:rFonts w:hint="eastAsia" w:ascii="Arial" w:hAnsi="Arial" w:eastAsia="黑体"/>
          <w:lang w:val="en-US" w:eastAsia="zh-CN"/>
        </w:rPr>
        <w:t>时间</w:t>
      </w:r>
      <w:bookmarkEnd w:id="24"/>
    </w:p>
    <w:p w14:paraId="0B4A8696">
      <w:pPr>
        <w:ind w:firstLine="480" w:firstLineChars="200"/>
        <w:rPr>
          <w:lang w:eastAsia="zh-CN"/>
        </w:rPr>
      </w:pPr>
      <w:r>
        <w:rPr>
          <w:rFonts w:hint="eastAsia"/>
          <w:lang w:eastAsia="zh-CN"/>
        </w:rPr>
        <w:t>（</w:t>
      </w:r>
      <w:r>
        <w:rPr>
          <w:rFonts w:hint="eastAsia"/>
          <w:lang w:val="en-US" w:eastAsia="zh-CN"/>
        </w:rPr>
        <w:t>1</w:t>
      </w:r>
      <w:r>
        <w:rPr>
          <w:rFonts w:hint="eastAsia"/>
          <w:lang w:eastAsia="zh-CN"/>
        </w:rPr>
        <w:t>）</w:t>
      </w:r>
      <w:r>
        <w:rPr>
          <w:lang w:eastAsia="zh-CN"/>
        </w:rPr>
        <w:t>装置供货</w:t>
      </w:r>
      <w:r>
        <w:rPr>
          <w:rFonts w:hint="eastAsia"/>
          <w:lang w:eastAsia="zh-CN"/>
        </w:rPr>
        <w:t>至</w:t>
      </w:r>
      <w:r>
        <w:rPr>
          <w:rFonts w:hint="eastAsia"/>
          <w:lang w:val="en-US" w:eastAsia="zh-CN"/>
        </w:rPr>
        <w:t>汕头</w:t>
      </w:r>
      <w:r>
        <w:rPr>
          <w:rFonts w:hint="eastAsia"/>
          <w:lang w:eastAsia="zh-CN"/>
        </w:rPr>
        <w:t>供电局指定地点</w:t>
      </w:r>
      <w:r>
        <w:rPr>
          <w:lang w:eastAsia="zh-CN"/>
        </w:rPr>
        <w:t>，</w:t>
      </w:r>
      <w:r>
        <w:rPr>
          <w:rFonts w:hint="eastAsia"/>
          <w:lang w:eastAsia="zh-CN"/>
        </w:rPr>
        <w:t>且在</w:t>
      </w:r>
      <w:r>
        <w:rPr>
          <w:rFonts w:hint="eastAsia"/>
          <w:lang w:val="en-US" w:eastAsia="zh-CN"/>
        </w:rPr>
        <w:t>2026</w:t>
      </w:r>
      <w:r>
        <w:rPr>
          <w:rFonts w:hint="eastAsia"/>
          <w:lang w:eastAsia="zh-CN"/>
        </w:rPr>
        <w:t>年</w:t>
      </w:r>
      <w:r>
        <w:rPr>
          <w:rFonts w:hint="eastAsia"/>
          <w:lang w:val="en-US" w:eastAsia="zh-CN"/>
        </w:rPr>
        <w:t>12</w:t>
      </w:r>
      <w:r>
        <w:rPr>
          <w:rFonts w:hint="eastAsia"/>
          <w:lang w:eastAsia="zh-CN"/>
        </w:rPr>
        <w:t>月</w:t>
      </w:r>
      <w:r>
        <w:rPr>
          <w:rFonts w:hint="eastAsia"/>
          <w:lang w:val="en-US" w:eastAsia="zh-CN"/>
        </w:rPr>
        <w:t>31</w:t>
      </w:r>
      <w:r>
        <w:rPr>
          <w:rFonts w:hint="eastAsia"/>
          <w:lang w:eastAsia="zh-CN"/>
        </w:rPr>
        <w:t>日</w:t>
      </w:r>
      <w:r>
        <w:rPr>
          <w:rFonts w:hint="eastAsia"/>
          <w:lang w:val="en-US" w:eastAsia="zh-CN"/>
        </w:rPr>
        <w:t>前</w:t>
      </w:r>
      <w:r>
        <w:rPr>
          <w:rFonts w:hint="eastAsia"/>
          <w:lang w:eastAsia="zh-CN"/>
        </w:rPr>
        <w:t>交付</w:t>
      </w:r>
      <w:r>
        <w:rPr>
          <w:lang w:eastAsia="zh-CN"/>
        </w:rPr>
        <w:t>。</w:t>
      </w:r>
    </w:p>
    <w:p w14:paraId="4519EE66">
      <w:pPr>
        <w:pStyle w:val="15"/>
        <w:keepNext/>
        <w:spacing w:before="240" w:after="80"/>
      </w:pPr>
      <w:r>
        <w:t>表3 供货范围表</w:t>
      </w:r>
    </w:p>
    <w:tbl>
      <w:tblPr>
        <w:tblStyle w:val="35"/>
        <w:tblW w:w="907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512"/>
        <w:gridCol w:w="1512"/>
        <w:gridCol w:w="1512"/>
        <w:gridCol w:w="1512"/>
        <w:gridCol w:w="1512"/>
        <w:gridCol w:w="1512"/>
      </w:tblGrid>
      <w:tr w14:paraId="434755B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blHeader/>
          <w:jc w:val="center"/>
        </w:trPr>
        <w:tc>
          <w:tcPr>
            <w:tcW w:w="1512" w:type="dxa"/>
            <w:shd w:val="clear" w:color="auto" w:fill="D9D9D9"/>
            <w:vAlign w:val="center"/>
          </w:tcPr>
          <w:p w14:paraId="0EDBAAF4">
            <w:pPr>
              <w:spacing w:line="240" w:lineRule="auto"/>
              <w:jc w:val="center"/>
            </w:pPr>
            <w:r>
              <w:rPr>
                <w:b/>
                <w:sz w:val="21"/>
              </w:rPr>
              <w:t>序号</w:t>
            </w:r>
          </w:p>
        </w:tc>
        <w:tc>
          <w:tcPr>
            <w:tcW w:w="1512" w:type="dxa"/>
            <w:shd w:val="clear" w:color="auto" w:fill="D9D9D9"/>
            <w:vAlign w:val="center"/>
          </w:tcPr>
          <w:p w14:paraId="1C3A1BB3">
            <w:pPr>
              <w:spacing w:line="240" w:lineRule="auto"/>
              <w:jc w:val="center"/>
            </w:pPr>
            <w:r>
              <w:rPr>
                <w:b/>
                <w:sz w:val="21"/>
              </w:rPr>
              <w:t>名称</w:t>
            </w:r>
          </w:p>
        </w:tc>
        <w:tc>
          <w:tcPr>
            <w:tcW w:w="1512" w:type="dxa"/>
            <w:shd w:val="clear" w:color="auto" w:fill="D9D9D9"/>
            <w:vAlign w:val="center"/>
          </w:tcPr>
          <w:p w14:paraId="7C455952">
            <w:pPr>
              <w:spacing w:line="240" w:lineRule="auto"/>
              <w:jc w:val="center"/>
            </w:pPr>
            <w:r>
              <w:rPr>
                <w:b/>
                <w:sz w:val="21"/>
              </w:rPr>
              <w:t>规格/配置说明</w:t>
            </w:r>
          </w:p>
        </w:tc>
        <w:tc>
          <w:tcPr>
            <w:tcW w:w="1512" w:type="dxa"/>
            <w:shd w:val="clear" w:color="auto" w:fill="D9D9D9"/>
            <w:vAlign w:val="center"/>
          </w:tcPr>
          <w:p w14:paraId="0B80A0F1">
            <w:pPr>
              <w:spacing w:line="240" w:lineRule="auto"/>
              <w:jc w:val="center"/>
            </w:pPr>
            <w:r>
              <w:rPr>
                <w:b/>
                <w:sz w:val="21"/>
              </w:rPr>
              <w:t>单位</w:t>
            </w:r>
          </w:p>
        </w:tc>
        <w:tc>
          <w:tcPr>
            <w:tcW w:w="1512" w:type="dxa"/>
            <w:shd w:val="clear" w:color="auto" w:fill="D9D9D9"/>
            <w:vAlign w:val="center"/>
          </w:tcPr>
          <w:p w14:paraId="60AB04A8">
            <w:pPr>
              <w:spacing w:line="240" w:lineRule="auto"/>
              <w:jc w:val="center"/>
            </w:pPr>
            <w:r>
              <w:rPr>
                <w:b/>
                <w:sz w:val="21"/>
              </w:rPr>
              <w:t>数量</w:t>
            </w:r>
          </w:p>
        </w:tc>
        <w:tc>
          <w:tcPr>
            <w:tcW w:w="1512" w:type="dxa"/>
            <w:shd w:val="clear" w:color="auto" w:fill="D9D9D9"/>
            <w:vAlign w:val="center"/>
          </w:tcPr>
          <w:p w14:paraId="1BDE8955">
            <w:pPr>
              <w:spacing w:line="240" w:lineRule="auto"/>
              <w:jc w:val="center"/>
            </w:pPr>
            <w:r>
              <w:rPr>
                <w:b/>
                <w:sz w:val="21"/>
              </w:rPr>
              <w:t>备注</w:t>
            </w:r>
          </w:p>
        </w:tc>
      </w:tr>
      <w:tr w14:paraId="433271B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2" w:type="dxa"/>
            <w:vAlign w:val="center"/>
          </w:tcPr>
          <w:p w14:paraId="22B07DDD">
            <w:pPr>
              <w:spacing w:line="240" w:lineRule="auto"/>
              <w:jc w:val="center"/>
            </w:pPr>
            <w:r>
              <w:rPr>
                <w:sz w:val="21"/>
              </w:rPr>
              <w:t>1</w:t>
            </w:r>
          </w:p>
        </w:tc>
        <w:tc>
          <w:tcPr>
            <w:tcW w:w="1512" w:type="dxa"/>
            <w:vAlign w:val="center"/>
          </w:tcPr>
          <w:p w14:paraId="67D95116">
            <w:pPr>
              <w:spacing w:line="240" w:lineRule="auto"/>
              <w:jc w:val="left"/>
              <w:rPr>
                <w:lang w:eastAsia="zh-CN"/>
              </w:rPr>
            </w:pPr>
            <w:r>
              <w:rPr>
                <w:sz w:val="21"/>
                <w:lang w:eastAsia="zh-CN"/>
              </w:rPr>
              <w:t>非接触式变压器油位计便携装置（整机）</w:t>
            </w:r>
          </w:p>
        </w:tc>
        <w:tc>
          <w:tcPr>
            <w:tcW w:w="1512" w:type="dxa"/>
            <w:vAlign w:val="center"/>
          </w:tcPr>
          <w:p w14:paraId="1708B5FA">
            <w:pPr>
              <w:spacing w:line="240" w:lineRule="auto"/>
              <w:jc w:val="left"/>
              <w:rPr>
                <w:lang w:eastAsia="zh-CN"/>
              </w:rPr>
            </w:pPr>
            <w:r>
              <w:rPr>
                <w:sz w:val="21"/>
                <w:lang w:eastAsia="zh-CN"/>
              </w:rPr>
              <w:t>成套装置，含主机</w:t>
            </w:r>
            <w:r>
              <w:rPr>
                <w:rFonts w:hint="eastAsia"/>
                <w:sz w:val="21"/>
                <w:lang w:eastAsia="zh-CN"/>
              </w:rPr>
              <w:t>、电源适配器</w:t>
            </w:r>
            <w:r>
              <w:rPr>
                <w:sz w:val="21"/>
                <w:lang w:eastAsia="zh-CN"/>
              </w:rPr>
              <w:t>及超声传感单元</w:t>
            </w:r>
          </w:p>
        </w:tc>
        <w:tc>
          <w:tcPr>
            <w:tcW w:w="1512" w:type="dxa"/>
            <w:vAlign w:val="center"/>
          </w:tcPr>
          <w:p w14:paraId="4439EA66">
            <w:pPr>
              <w:spacing w:line="240" w:lineRule="auto"/>
              <w:jc w:val="center"/>
            </w:pPr>
            <w:r>
              <w:rPr>
                <w:sz w:val="21"/>
              </w:rPr>
              <w:t>套</w:t>
            </w:r>
          </w:p>
        </w:tc>
        <w:tc>
          <w:tcPr>
            <w:tcW w:w="1512" w:type="dxa"/>
            <w:vAlign w:val="center"/>
          </w:tcPr>
          <w:p w14:paraId="7CE215D4">
            <w:pPr>
              <w:spacing w:line="240" w:lineRule="auto"/>
              <w:jc w:val="center"/>
              <w:rPr>
                <w:lang w:eastAsia="zh-CN"/>
              </w:rPr>
            </w:pPr>
            <w:r>
              <w:rPr>
                <w:rFonts w:hint="eastAsia"/>
                <w:sz w:val="21"/>
                <w:lang w:eastAsia="zh-CN"/>
              </w:rPr>
              <w:t>1</w:t>
            </w:r>
          </w:p>
        </w:tc>
        <w:tc>
          <w:tcPr>
            <w:tcW w:w="1512" w:type="dxa"/>
            <w:vAlign w:val="center"/>
          </w:tcPr>
          <w:p w14:paraId="086C70DD">
            <w:pPr>
              <w:spacing w:line="240" w:lineRule="auto"/>
              <w:jc w:val="left"/>
            </w:pPr>
          </w:p>
        </w:tc>
      </w:tr>
    </w:tbl>
    <w:p w14:paraId="5722D7D3">
      <w:pPr>
        <w:pStyle w:val="4"/>
        <w:spacing w:line="312" w:lineRule="auto"/>
        <w:rPr>
          <w:rFonts w:hint="default" w:ascii="Arial" w:hAnsi="Arial" w:eastAsia="黑体"/>
          <w:lang w:val="en-US" w:eastAsia="zh-CN"/>
        </w:rPr>
      </w:pPr>
    </w:p>
    <w:p w14:paraId="516E369F">
      <w:pPr>
        <w:rPr>
          <w:rFonts w:hint="default"/>
          <w:lang w:val="en-US" w:eastAsia="zh-CN"/>
        </w:rPr>
      </w:pPr>
      <w:r>
        <w:rPr>
          <w:rFonts w:hint="eastAsia" w:ascii="Arial" w:hAnsi="Arial" w:eastAsia="黑体"/>
          <w:lang w:val="en-US" w:eastAsia="zh-CN"/>
        </w:rPr>
        <w:t xml:space="preserve">   </w:t>
      </w:r>
    </w:p>
    <w:sectPr>
      <w:footerReference r:id="rId6" w:type="default"/>
      <w:pgSz w:w="11906" w:h="16838"/>
      <w:pgMar w:top="1417" w:right="1417" w:bottom="1417" w:left="1417"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宋体"/>
    <w:panose1 w:val="00000000000000000000"/>
    <w:charset w:val="86"/>
    <w:family w:val="auto"/>
    <w:pitch w:val="default"/>
    <w:sig w:usb0="00000000" w:usb1="00000000" w:usb2="00000000" w:usb3="00000000" w:csb0="0000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797E0">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7A3FD">
    <w:pPr>
      <w:pStyle w:val="24"/>
      <w:jc w:val="center"/>
    </w:pPr>
    <w:r>
      <w:rPr>
        <w:sz w:val="21"/>
      </w:rPr>
      <w:fldChar w:fldCharType="begin"/>
    </w:r>
    <w:r>
      <w:rPr>
        <w:sz w:val="21"/>
      </w:rPr>
      <w:instrText xml:space="preserve">PAGE</w:instrText>
    </w:r>
    <w:r>
      <w:rPr>
        <w:sz w:val="21"/>
      </w:rPr>
      <w:fldChar w:fldCharType="separate"/>
    </w:r>
    <w:r>
      <w:rPr>
        <w:sz w:val="21"/>
      </w:rPr>
      <w:t>1</w:t>
    </w:r>
    <w:r>
      <w:rPr>
        <w:sz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1D361C"/>
    <w:rsid w:val="0029639D"/>
    <w:rsid w:val="002C47D4"/>
    <w:rsid w:val="00326F90"/>
    <w:rsid w:val="003A7B57"/>
    <w:rsid w:val="004314A0"/>
    <w:rsid w:val="0067262D"/>
    <w:rsid w:val="008E726C"/>
    <w:rsid w:val="00925701"/>
    <w:rsid w:val="00A97805"/>
    <w:rsid w:val="00AA1D8D"/>
    <w:rsid w:val="00AC56D4"/>
    <w:rsid w:val="00B47730"/>
    <w:rsid w:val="00BA1EAE"/>
    <w:rsid w:val="00CB0664"/>
    <w:rsid w:val="00CC1BB6"/>
    <w:rsid w:val="00D6343B"/>
    <w:rsid w:val="00D901BA"/>
    <w:rsid w:val="00E157B1"/>
    <w:rsid w:val="00E553DA"/>
    <w:rsid w:val="00FC693F"/>
    <w:rsid w:val="16BD2359"/>
    <w:rsid w:val="1B173520"/>
    <w:rsid w:val="1C0F6CA1"/>
    <w:rsid w:val="3A9A7128"/>
    <w:rsid w:val="5C4B6540"/>
    <w:rsid w:val="6D5C4743"/>
    <w:rsid w:val="6DA206DE"/>
    <w:rsid w:val="766C115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line="360" w:lineRule="auto"/>
      <w:jc w:val="both"/>
    </w:pPr>
    <w:rPr>
      <w:rFonts w:ascii="Arial" w:hAnsi="Arial" w:eastAsia="宋体" w:cstheme="minorBidi"/>
      <w:color w:val="000000"/>
      <w:sz w:val="24"/>
      <w:szCs w:val="22"/>
      <w:lang w:val="en-US" w:eastAsia="en-US" w:bidi="ar-SA"/>
    </w:rPr>
  </w:style>
  <w:style w:type="paragraph" w:styleId="3">
    <w:name w:val="heading 1"/>
    <w:basedOn w:val="1"/>
    <w:next w:val="1"/>
    <w:link w:val="141"/>
    <w:qFormat/>
    <w:uiPriority w:val="9"/>
    <w:pPr>
      <w:keepNext/>
      <w:keepLines/>
      <w:spacing w:before="280" w:after="120"/>
      <w:outlineLvl w:val="0"/>
    </w:pPr>
    <w:rPr>
      <w:rFonts w:asciiTheme="majorHAnsi" w:hAnsiTheme="majorHAnsi" w:eastAsiaTheme="majorEastAsia" w:cstheme="majorBidi"/>
      <w:b/>
      <w:bCs/>
      <w:sz w:val="32"/>
      <w:szCs w:val="28"/>
    </w:rPr>
  </w:style>
  <w:style w:type="paragraph" w:styleId="4">
    <w:name w:val="heading 2"/>
    <w:basedOn w:val="1"/>
    <w:next w:val="1"/>
    <w:link w:val="142"/>
    <w:unhideWhenUsed/>
    <w:qFormat/>
    <w:uiPriority w:val="9"/>
    <w:pPr>
      <w:keepNext/>
      <w:keepLines/>
      <w:spacing w:before="220" w:after="100"/>
      <w:outlineLvl w:val="1"/>
    </w:pPr>
    <w:rPr>
      <w:rFonts w:asciiTheme="majorHAnsi" w:hAnsiTheme="majorHAnsi" w:eastAsiaTheme="majorEastAsia" w:cstheme="majorBidi"/>
      <w:b/>
      <w:bCs/>
      <w:sz w:val="28"/>
      <w:szCs w:val="26"/>
    </w:rPr>
  </w:style>
  <w:style w:type="paragraph" w:styleId="5">
    <w:name w:val="heading 3"/>
    <w:basedOn w:val="1"/>
    <w:next w:val="1"/>
    <w:link w:val="143"/>
    <w:unhideWhenUsed/>
    <w:qFormat/>
    <w:uiPriority w:val="9"/>
    <w:pPr>
      <w:keepNext/>
      <w:keepLines/>
      <w:spacing w:before="180" w:after="80"/>
      <w:outlineLvl w:val="2"/>
    </w:pPr>
    <w:rPr>
      <w:rFonts w:asciiTheme="majorHAnsi" w:hAnsiTheme="majorHAnsi" w:eastAsiaTheme="majorEastAsia" w:cstheme="majorBidi"/>
      <w:b/>
      <w:bCs/>
    </w:rPr>
  </w:style>
  <w:style w:type="paragraph" w:styleId="6">
    <w:name w:val="heading 4"/>
    <w:basedOn w:val="1"/>
    <w:next w:val="1"/>
    <w:link w:val="153"/>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4"/>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5"/>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6"/>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7"/>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8"/>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4">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macro"/>
    <w:link w:val="150"/>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jc w:val="center"/>
    </w:pPr>
    <w:rPr>
      <w:bCs/>
      <w:sz w:val="21"/>
      <w:szCs w:val="18"/>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9"/>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7"/>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9"/>
    <w:unhideWhenUsed/>
    <w:qFormat/>
    <w:uiPriority w:val="99"/>
    <w:pPr>
      <w:tabs>
        <w:tab w:val="center" w:pos="4680"/>
        <w:tab w:val="right" w:pos="9360"/>
      </w:tabs>
      <w:spacing w:line="240" w:lineRule="auto"/>
    </w:pPr>
  </w:style>
  <w:style w:type="paragraph" w:styleId="25">
    <w:name w:val="header"/>
    <w:basedOn w:val="1"/>
    <w:link w:val="138"/>
    <w:unhideWhenUsed/>
    <w:qFormat/>
    <w:uiPriority w:val="99"/>
    <w:pPr>
      <w:tabs>
        <w:tab w:val="center" w:pos="4680"/>
        <w:tab w:val="right" w:pos="9360"/>
      </w:tabs>
      <w:spacing w:line="240" w:lineRule="auto"/>
    </w:pPr>
  </w:style>
  <w:style w:type="paragraph" w:styleId="26">
    <w:name w:val="toc 1"/>
    <w:basedOn w:val="1"/>
    <w:next w:val="1"/>
    <w:unhideWhenUsed/>
    <w:qFormat/>
    <w:uiPriority w:val="39"/>
  </w:style>
  <w:style w:type="paragraph" w:styleId="27">
    <w:name w:val="Subtitle"/>
    <w:basedOn w:val="1"/>
    <w:next w:val="1"/>
    <w:link w:val="145"/>
    <w:qFormat/>
    <w:uiPriority w:val="11"/>
    <w:rPr>
      <w:rFonts w:asciiTheme="majorHAnsi" w:hAnsiTheme="majorHAnsi" w:eastAsiaTheme="majorEastAsia" w:cstheme="majorBidi"/>
      <w:i/>
      <w:iCs/>
      <w:color w:val="4F81BD" w:themeColor="accent1"/>
      <w:spacing w:val="15"/>
      <w:szCs w:val="24"/>
      <w14:textFill>
        <w14:solidFill>
          <w14:schemeClr w14:val="accent1"/>
        </w14:solidFill>
      </w14:textFill>
    </w:rPr>
  </w:style>
  <w:style w:type="paragraph" w:styleId="28">
    <w:name w:val="List"/>
    <w:basedOn w:val="1"/>
    <w:unhideWhenUsed/>
    <w:qFormat/>
    <w:uiPriority w:val="99"/>
    <w:pPr>
      <w:ind w:left="360" w:hanging="360"/>
      <w:contextualSpacing/>
    </w:pPr>
  </w:style>
  <w:style w:type="paragraph" w:styleId="29">
    <w:name w:val="toc 2"/>
    <w:basedOn w:val="1"/>
    <w:next w:val="1"/>
    <w:unhideWhenUsed/>
    <w:qFormat/>
    <w:uiPriority w:val="39"/>
    <w:pPr>
      <w:ind w:left="420" w:leftChars="200"/>
    </w:pPr>
  </w:style>
  <w:style w:type="paragraph" w:styleId="30">
    <w:name w:val="Body Text 2"/>
    <w:basedOn w:val="1"/>
    <w:link w:val="148"/>
    <w:unhideWhenUsed/>
    <w:qFormat/>
    <w:uiPriority w:val="99"/>
    <w:pPr>
      <w:spacing w:after="120" w:line="480" w:lineRule="auto"/>
    </w:pPr>
  </w:style>
  <w:style w:type="paragraph" w:styleId="31">
    <w:name w:val="List Continue 2"/>
    <w:basedOn w:val="1"/>
    <w:unhideWhenUsed/>
    <w:qFormat/>
    <w:uiPriority w:val="99"/>
    <w:pPr>
      <w:spacing w:after="120"/>
      <w:ind w:left="720"/>
      <w:contextualSpacing/>
    </w:pPr>
  </w:style>
  <w:style w:type="paragraph" w:styleId="32">
    <w:name w:val="List Continue 3"/>
    <w:basedOn w:val="1"/>
    <w:unhideWhenUsed/>
    <w:qFormat/>
    <w:uiPriority w:val="99"/>
    <w:pPr>
      <w:spacing w:after="120"/>
      <w:ind w:left="1080"/>
      <w:contextualSpacing/>
    </w:pPr>
  </w:style>
  <w:style w:type="paragraph" w:styleId="33">
    <w:name w:val="Title"/>
    <w:basedOn w:val="1"/>
    <w:next w:val="1"/>
    <w:link w:val="144"/>
    <w:qFormat/>
    <w:uiPriority w:val="10"/>
    <w:pPr>
      <w:spacing w:after="360" w:line="240" w:lineRule="auto"/>
      <w:contextualSpacing/>
      <w:jc w:val="center"/>
    </w:pPr>
    <w:rPr>
      <w:rFonts w:asciiTheme="majorHAnsi" w:hAnsiTheme="majorHAnsi" w:eastAsiaTheme="majorEastAsia" w:cstheme="majorBidi"/>
      <w:b/>
      <w:spacing w:val="5"/>
      <w:kern w:val="28"/>
      <w:sz w:val="36"/>
      <w:szCs w:val="52"/>
    </w:rPr>
  </w:style>
  <w:style w:type="table" w:styleId="35">
    <w:name w:val="Table Grid"/>
    <w:basedOn w:val="3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6">
    <w:name w:val="Light Shading"/>
    <w:basedOn w:val="34"/>
    <w:qFormat/>
    <w:uiPriority w:val="60"/>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7">
    <w:name w:val="Light Shading Accent 1"/>
    <w:basedOn w:val="34"/>
    <w:qFormat/>
    <w:uiPriority w:val="60"/>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8">
    <w:name w:val="Light Shading Accent 2"/>
    <w:basedOn w:val="34"/>
    <w:qFormat/>
    <w:uiPriority w:val="60"/>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9">
    <w:name w:val="Light Shading Accent 3"/>
    <w:basedOn w:val="34"/>
    <w:qFormat/>
    <w:uiPriority w:val="60"/>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0">
    <w:name w:val="Light Shading Accent 4"/>
    <w:basedOn w:val="34"/>
    <w:qFormat/>
    <w:uiPriority w:val="60"/>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1">
    <w:name w:val="Light Shading Accent 5"/>
    <w:basedOn w:val="34"/>
    <w:qFormat/>
    <w:uiPriority w:val="60"/>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2">
    <w:name w:val="Light Shading Accent 6"/>
    <w:basedOn w:val="34"/>
    <w:qFormat/>
    <w:uiPriority w:val="60"/>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3">
    <w:name w:val="Light List"/>
    <w:basedOn w:val="34"/>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4">
    <w:name w:val="Light List Accent 1"/>
    <w:basedOn w:val="34"/>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5">
    <w:name w:val="Light List Accent 2"/>
    <w:basedOn w:val="34"/>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6">
    <w:name w:val="Light List Accent 3"/>
    <w:basedOn w:val="34"/>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7">
    <w:name w:val="Light List Accent 4"/>
    <w:basedOn w:val="34"/>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8">
    <w:name w:val="Light List Accent 5"/>
    <w:basedOn w:val="34"/>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9">
    <w:name w:val="Light List Accent 6"/>
    <w:basedOn w:val="34"/>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0">
    <w:name w:val="Light Grid"/>
    <w:basedOn w:val="34"/>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1">
    <w:name w:val="Light Grid Accent 1"/>
    <w:basedOn w:val="34"/>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2">
    <w:name w:val="Light Grid Accent 2"/>
    <w:basedOn w:val="34"/>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3">
    <w:name w:val="Light Grid Accent 3"/>
    <w:basedOn w:val="34"/>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4">
    <w:name w:val="Light Grid Accent 4"/>
    <w:basedOn w:val="34"/>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5">
    <w:name w:val="Light Grid Accent 5"/>
    <w:basedOn w:val="34"/>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6">
    <w:name w:val="Light Grid Accent 6"/>
    <w:basedOn w:val="34"/>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7">
    <w:name w:val="Medium Shading 1"/>
    <w:basedOn w:val="34"/>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8">
    <w:name w:val="Medium Shading 1 Accent 1"/>
    <w:basedOn w:val="34"/>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9">
    <w:name w:val="Medium Shading 1 Accent 2"/>
    <w:basedOn w:val="34"/>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0">
    <w:name w:val="Medium Shading 1 Accent 3"/>
    <w:basedOn w:val="34"/>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1">
    <w:name w:val="Medium Shading 1 Accent 4"/>
    <w:basedOn w:val="34"/>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2">
    <w:name w:val="Medium Shading 1 Accent 5"/>
    <w:basedOn w:val="34"/>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3">
    <w:name w:val="Medium Shading 1 Accent 6"/>
    <w:basedOn w:val="34"/>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4">
    <w:name w:val="Medium Shading 2"/>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1"/>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2"/>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3"/>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4"/>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5"/>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6"/>
    <w:basedOn w:val="34"/>
    <w:qFormat/>
    <w:uiPriority w:val="64"/>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List 1"/>
    <w:basedOn w:val="34"/>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2">
    <w:name w:val="Medium List 1 Accent 1"/>
    <w:basedOn w:val="34"/>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3">
    <w:name w:val="Medium List 1 Accent 2"/>
    <w:basedOn w:val="34"/>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4">
    <w:name w:val="Medium List 1 Accent 3"/>
    <w:basedOn w:val="34"/>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5">
    <w:name w:val="Medium List 1 Accent 4"/>
    <w:basedOn w:val="34"/>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6">
    <w:name w:val="Medium List 1 Accent 5"/>
    <w:basedOn w:val="34"/>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7">
    <w:name w:val="Medium List 1 Accent 6"/>
    <w:basedOn w:val="34"/>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8">
    <w:name w:val="Medium List 2"/>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1"/>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2"/>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3"/>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4"/>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5"/>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6"/>
    <w:basedOn w:val="34"/>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Grid 1"/>
    <w:basedOn w:val="34"/>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6">
    <w:name w:val="Medium Grid 1 Accent 1"/>
    <w:basedOn w:val="34"/>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7">
    <w:name w:val="Medium Grid 1 Accent 2"/>
    <w:basedOn w:val="34"/>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8">
    <w:name w:val="Medium Grid 1 Accent 3"/>
    <w:basedOn w:val="34"/>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9">
    <w:name w:val="Medium Grid 1 Accent 4"/>
    <w:basedOn w:val="34"/>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0">
    <w:name w:val="Medium Grid 1 Accent 5"/>
    <w:basedOn w:val="34"/>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1">
    <w:name w:val="Medium Grid 1 Accent 6"/>
    <w:basedOn w:val="34"/>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2">
    <w:name w:val="Medium Grid 2"/>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3">
    <w:name w:val="Medium Grid 2 Accent 1"/>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4">
    <w:name w:val="Medium Grid 2 Accent 2"/>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5">
    <w:name w:val="Medium Grid 2 Accent 3"/>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6">
    <w:name w:val="Medium Grid 2 Accent 4"/>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7">
    <w:name w:val="Medium Grid 2 Accent 5"/>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8">
    <w:name w:val="Medium Grid 2 Accent 6"/>
    <w:basedOn w:val="34"/>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9">
    <w:name w:val="Medium Grid 3"/>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0">
    <w:name w:val="Medium Grid 3 Accent 1"/>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1">
    <w:name w:val="Medium Grid 3 Accent 2"/>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2">
    <w:name w:val="Medium Grid 3 Accent 3"/>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3">
    <w:name w:val="Medium Grid 3 Accent 4"/>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4">
    <w:name w:val="Medium Grid 3 Accent 5"/>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5">
    <w:name w:val="Medium Grid 3 Accent 6"/>
    <w:basedOn w:val="34"/>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6">
    <w:name w:val="Dark List"/>
    <w:basedOn w:val="34"/>
    <w:qFormat/>
    <w:uiPriority w:val="70"/>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7">
    <w:name w:val="Dark List Accent 1"/>
    <w:basedOn w:val="34"/>
    <w:qFormat/>
    <w:uiPriority w:val="70"/>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8">
    <w:name w:val="Dark List Accent 2"/>
    <w:basedOn w:val="34"/>
    <w:qFormat/>
    <w:uiPriority w:val="70"/>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9">
    <w:name w:val="Dark List Accent 3"/>
    <w:basedOn w:val="34"/>
    <w:qFormat/>
    <w:uiPriority w:val="70"/>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0">
    <w:name w:val="Dark List Accent 4"/>
    <w:basedOn w:val="34"/>
    <w:qFormat/>
    <w:uiPriority w:val="70"/>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1">
    <w:name w:val="Dark List Accent 5"/>
    <w:basedOn w:val="34"/>
    <w:qFormat/>
    <w:uiPriority w:val="70"/>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2">
    <w:name w:val="Dark List Accent 6"/>
    <w:basedOn w:val="34"/>
    <w:qFormat/>
    <w:uiPriority w:val="70"/>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3">
    <w:name w:val="Colorful Shading"/>
    <w:basedOn w:val="34"/>
    <w:qFormat/>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1"/>
    <w:basedOn w:val="34"/>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2"/>
    <w:basedOn w:val="34"/>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3"/>
    <w:basedOn w:val="34"/>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7">
    <w:name w:val="Colorful Shading Accent 4"/>
    <w:basedOn w:val="34"/>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5"/>
    <w:basedOn w:val="34"/>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6"/>
    <w:basedOn w:val="34"/>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List"/>
    <w:basedOn w:val="34"/>
    <w:qFormat/>
    <w:uiPriority w:val="72"/>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1">
    <w:name w:val="Colorful List Accent 1"/>
    <w:basedOn w:val="34"/>
    <w:qFormat/>
    <w:uiPriority w:val="72"/>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2">
    <w:name w:val="Colorful List Accent 2"/>
    <w:basedOn w:val="34"/>
    <w:qFormat/>
    <w:uiPriority w:val="72"/>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3">
    <w:name w:val="Colorful List Accent 3"/>
    <w:basedOn w:val="34"/>
    <w:qFormat/>
    <w:uiPriority w:val="72"/>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4">
    <w:name w:val="Colorful List Accent 4"/>
    <w:basedOn w:val="34"/>
    <w:qFormat/>
    <w:uiPriority w:val="72"/>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5">
    <w:name w:val="Colorful List Accent 5"/>
    <w:basedOn w:val="34"/>
    <w:qFormat/>
    <w:uiPriority w:val="72"/>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6">
    <w:name w:val="Colorful List Accent 6"/>
    <w:basedOn w:val="34"/>
    <w:qFormat/>
    <w:uiPriority w:val="72"/>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7">
    <w:name w:val="Colorful Grid"/>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8">
    <w:name w:val="Colorful Grid Accent 1"/>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9">
    <w:name w:val="Colorful Grid Accent 2"/>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0">
    <w:name w:val="Colorful Grid Accent 3"/>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1">
    <w:name w:val="Colorful Grid Accent 4"/>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2">
    <w:name w:val="Colorful Grid Accent 5"/>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3">
    <w:name w:val="Colorful Grid Accent 6"/>
    <w:basedOn w:val="34"/>
    <w:qFormat/>
    <w:uiPriority w:val="73"/>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5">
    <w:name w:val="Strong"/>
    <w:basedOn w:val="134"/>
    <w:qFormat/>
    <w:uiPriority w:val="22"/>
    <w:rPr>
      <w:b/>
      <w:bCs/>
    </w:rPr>
  </w:style>
  <w:style w:type="character" w:styleId="136">
    <w:name w:val="Emphasis"/>
    <w:basedOn w:val="134"/>
    <w:qFormat/>
    <w:uiPriority w:val="20"/>
    <w:rPr>
      <w:i/>
      <w:iCs/>
    </w:rPr>
  </w:style>
  <w:style w:type="character" w:styleId="137">
    <w:name w:val="Hyperlink"/>
    <w:basedOn w:val="134"/>
    <w:unhideWhenUsed/>
    <w:qFormat/>
    <w:uiPriority w:val="99"/>
    <w:rPr>
      <w:color w:val="0000FF" w:themeColor="hyperlink"/>
      <w:u w:val="single"/>
      <w14:textFill>
        <w14:solidFill>
          <w14:schemeClr w14:val="hlink"/>
        </w14:solidFill>
      </w14:textFill>
    </w:rPr>
  </w:style>
  <w:style w:type="character" w:customStyle="1" w:styleId="138">
    <w:name w:val="页眉 字符"/>
    <w:basedOn w:val="134"/>
    <w:link w:val="25"/>
    <w:qFormat/>
    <w:uiPriority w:val="99"/>
  </w:style>
  <w:style w:type="character" w:customStyle="1" w:styleId="139">
    <w:name w:val="页脚 字符"/>
    <w:basedOn w:val="134"/>
    <w:link w:val="24"/>
    <w:qFormat/>
    <w:uiPriority w:val="99"/>
  </w:style>
  <w:style w:type="paragraph" w:styleId="140">
    <w:name w:val="No Spacing"/>
    <w:qFormat/>
    <w:uiPriority w:val="1"/>
    <w:rPr>
      <w:rFonts w:asciiTheme="minorHAnsi" w:hAnsiTheme="minorHAnsi" w:eastAsiaTheme="minorEastAsia" w:cstheme="minorBidi"/>
      <w:sz w:val="22"/>
      <w:szCs w:val="22"/>
      <w:lang w:val="en-US" w:eastAsia="en-US" w:bidi="ar-SA"/>
    </w:rPr>
  </w:style>
  <w:style w:type="character" w:customStyle="1" w:styleId="141">
    <w:name w:val="标题 1 字符"/>
    <w:basedOn w:val="134"/>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2">
    <w:name w:val="标题 2 字符"/>
    <w:basedOn w:val="134"/>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3">
    <w:name w:val="标题 3 字符"/>
    <w:basedOn w:val="134"/>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4">
    <w:name w:val="标题 字符"/>
    <w:basedOn w:val="134"/>
    <w:link w:val="33"/>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5">
    <w:name w:val="副标题 字符"/>
    <w:basedOn w:val="134"/>
    <w:link w:val="2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6">
    <w:name w:val="List Paragraph"/>
    <w:basedOn w:val="1"/>
    <w:qFormat/>
    <w:uiPriority w:val="34"/>
    <w:pPr>
      <w:ind w:left="720"/>
      <w:contextualSpacing/>
    </w:pPr>
  </w:style>
  <w:style w:type="character" w:customStyle="1" w:styleId="147">
    <w:name w:val="正文文本 字符"/>
    <w:basedOn w:val="134"/>
    <w:link w:val="19"/>
    <w:qFormat/>
    <w:uiPriority w:val="99"/>
  </w:style>
  <w:style w:type="character" w:customStyle="1" w:styleId="148">
    <w:name w:val="正文文本 2 字符"/>
    <w:basedOn w:val="134"/>
    <w:link w:val="30"/>
    <w:qFormat/>
    <w:uiPriority w:val="99"/>
  </w:style>
  <w:style w:type="character" w:customStyle="1" w:styleId="149">
    <w:name w:val="正文文本 3 字符"/>
    <w:basedOn w:val="134"/>
    <w:link w:val="17"/>
    <w:qFormat/>
    <w:uiPriority w:val="99"/>
    <w:rPr>
      <w:sz w:val="16"/>
      <w:szCs w:val="16"/>
    </w:rPr>
  </w:style>
  <w:style w:type="character" w:customStyle="1" w:styleId="150">
    <w:name w:val="宏文本 字符"/>
    <w:basedOn w:val="134"/>
    <w:link w:val="2"/>
    <w:qFormat/>
    <w:uiPriority w:val="99"/>
    <w:rPr>
      <w:rFonts w:ascii="Courier" w:hAnsi="Courier"/>
      <w:sz w:val="20"/>
      <w:szCs w:val="20"/>
    </w:rPr>
  </w:style>
  <w:style w:type="paragraph" w:styleId="151">
    <w:name w:val="Quote"/>
    <w:basedOn w:val="1"/>
    <w:next w:val="1"/>
    <w:link w:val="152"/>
    <w:qFormat/>
    <w:uiPriority w:val="29"/>
    <w:rPr>
      <w:i/>
      <w:iCs/>
      <w:color w:val="000000" w:themeColor="text1"/>
      <w14:textFill>
        <w14:solidFill>
          <w14:schemeClr w14:val="tx1"/>
        </w14:solidFill>
      </w14:textFill>
    </w:rPr>
  </w:style>
  <w:style w:type="character" w:customStyle="1" w:styleId="152">
    <w:name w:val="引用 字符"/>
    <w:basedOn w:val="134"/>
    <w:link w:val="151"/>
    <w:qFormat/>
    <w:uiPriority w:val="29"/>
    <w:rPr>
      <w:i/>
      <w:iCs/>
      <w:color w:val="000000" w:themeColor="text1"/>
      <w14:textFill>
        <w14:solidFill>
          <w14:schemeClr w14:val="tx1"/>
        </w14:solidFill>
      </w14:textFill>
    </w:rPr>
  </w:style>
  <w:style w:type="character" w:customStyle="1" w:styleId="153">
    <w:name w:val="标题 4 字符"/>
    <w:basedOn w:val="134"/>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4">
    <w:name w:val="标题 5 字符"/>
    <w:basedOn w:val="134"/>
    <w:link w:val="7"/>
    <w:semiHidden/>
    <w:qFormat/>
    <w:uiPriority w:val="9"/>
    <w:rPr>
      <w:rFonts w:asciiTheme="majorHAnsi" w:hAnsiTheme="majorHAnsi" w:eastAsiaTheme="majorEastAsia" w:cstheme="majorBidi"/>
      <w:color w:val="254061" w:themeColor="accent1" w:themeShade="80"/>
    </w:rPr>
  </w:style>
  <w:style w:type="character" w:customStyle="1" w:styleId="155">
    <w:name w:val="标题 6 字符"/>
    <w:basedOn w:val="134"/>
    <w:link w:val="8"/>
    <w:semiHidden/>
    <w:qFormat/>
    <w:uiPriority w:val="9"/>
    <w:rPr>
      <w:rFonts w:asciiTheme="majorHAnsi" w:hAnsiTheme="majorHAnsi" w:eastAsiaTheme="majorEastAsia" w:cstheme="majorBidi"/>
      <w:i/>
      <w:iCs/>
      <w:color w:val="254061" w:themeColor="accent1" w:themeShade="80"/>
    </w:rPr>
  </w:style>
  <w:style w:type="character" w:customStyle="1" w:styleId="156">
    <w:name w:val="标题 7 字符"/>
    <w:basedOn w:val="134"/>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7">
    <w:name w:val="标题 8 字符"/>
    <w:basedOn w:val="134"/>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8">
    <w:name w:val="标题 9 字符"/>
    <w:basedOn w:val="134"/>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9">
    <w:name w:val="Intense Quote"/>
    <w:basedOn w:val="1"/>
    <w:next w:val="1"/>
    <w:link w:val="160"/>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0">
    <w:name w:val="明显引用 字符"/>
    <w:basedOn w:val="134"/>
    <w:link w:val="159"/>
    <w:qFormat/>
    <w:uiPriority w:val="30"/>
    <w:rPr>
      <w:b/>
      <w:bCs/>
      <w:i/>
      <w:iCs/>
      <w:color w:val="4F81BD" w:themeColor="accent1"/>
      <w14:textFill>
        <w14:solidFill>
          <w14:schemeClr w14:val="accent1"/>
        </w14:solidFill>
      </w14:textFill>
    </w:rPr>
  </w:style>
  <w:style w:type="character" w:customStyle="1" w:styleId="161">
    <w:name w:val="不明显强调1"/>
    <w:basedOn w:val="134"/>
    <w:qFormat/>
    <w:uiPriority w:val="19"/>
    <w:rPr>
      <w:i/>
      <w:iCs/>
      <w:color w:val="808080" w:themeColor="text1" w:themeTint="80"/>
      <w14:textFill>
        <w14:solidFill>
          <w14:schemeClr w14:val="tx1">
            <w14:lumMod w14:val="50000"/>
            <w14:lumOff w14:val="50000"/>
          </w14:schemeClr>
        </w14:solidFill>
      </w14:textFill>
    </w:rPr>
  </w:style>
  <w:style w:type="character" w:customStyle="1" w:styleId="162">
    <w:name w:val="明显强调1"/>
    <w:basedOn w:val="134"/>
    <w:qFormat/>
    <w:uiPriority w:val="21"/>
    <w:rPr>
      <w:b/>
      <w:bCs/>
      <w:i/>
      <w:iCs/>
      <w:color w:val="4F81BD" w:themeColor="accent1"/>
      <w14:textFill>
        <w14:solidFill>
          <w14:schemeClr w14:val="accent1"/>
        </w14:solidFill>
      </w14:textFill>
    </w:rPr>
  </w:style>
  <w:style w:type="character" w:customStyle="1" w:styleId="163">
    <w:name w:val="不明显参考1"/>
    <w:basedOn w:val="134"/>
    <w:qFormat/>
    <w:uiPriority w:val="31"/>
    <w:rPr>
      <w:smallCaps/>
      <w:color w:val="C0504D" w:themeColor="accent2"/>
      <w:u w:val="single"/>
      <w14:textFill>
        <w14:solidFill>
          <w14:schemeClr w14:val="accent2"/>
        </w14:solidFill>
      </w14:textFill>
    </w:rPr>
  </w:style>
  <w:style w:type="character" w:customStyle="1" w:styleId="164">
    <w:name w:val="明显参考1"/>
    <w:basedOn w:val="134"/>
    <w:qFormat/>
    <w:uiPriority w:val="32"/>
    <w:rPr>
      <w:b/>
      <w:bCs/>
      <w:smallCaps/>
      <w:color w:val="C0504D" w:themeColor="accent2"/>
      <w:spacing w:val="5"/>
      <w:u w:val="single"/>
      <w14:textFill>
        <w14:solidFill>
          <w14:schemeClr w14:val="accent2"/>
        </w14:solidFill>
      </w14:textFill>
    </w:rPr>
  </w:style>
  <w:style w:type="character" w:customStyle="1" w:styleId="165">
    <w:name w:val="书籍标题1"/>
    <w:basedOn w:val="134"/>
    <w:qFormat/>
    <w:uiPriority w:val="33"/>
    <w:rPr>
      <w:b/>
      <w:bCs/>
      <w:smallCaps/>
      <w:spacing w:val="5"/>
    </w:rPr>
  </w:style>
  <w:style w:type="paragraph" w:customStyle="1" w:styleId="166">
    <w:name w:val="TOC 标题1"/>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4023</Words>
  <Characters>4313</Characters>
  <Lines>45</Lines>
  <Paragraphs>12</Paragraphs>
  <TotalTime>6</TotalTime>
  <ScaleCrop>false</ScaleCrop>
  <LinksUpToDate>false</LinksUpToDate>
  <CharactersWithSpaces>4411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2026-09-14T03:47:00Z</dcterms:created>
  <dc:creator>python-docx</dc:creator>
  <dc:description>generated by python-docx</dc:description>
  <cp:lastModifiedBy>徐伟生</cp:lastModifiedBy>
  <dcterms:modified xsi:type="dcterms:W3CDTF">2026-09-28T09:42:12Z</dcterms:modified>
  <dc:title>非接触式变压器油位计便携装置技术规范书</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eyJoZGlkIjoiNDBiY2FjMTIyM2E3ODFjNTc4NTdjZjRhOWQ3MTE0MjMiLCJ1c2VySWQiOiIyODMzMTU1NjQifQ==</vt:lpwstr>
  </property>
  <property fmtid="{D5CDD505-2E9C-101B-9397-08002B2CF9AE}" pid="3" name="KSOProductBuildVer">
    <vt:lpwstr>2052-12.1.0.22529</vt:lpwstr>
  </property>
  <property fmtid="{D5CDD505-2E9C-101B-9397-08002B2CF9AE}" pid="4" name="ICV">
    <vt:lpwstr>68ECF859D1A348D48FC2D5357F77DE00_13</vt:lpwstr>
  </property>
</Properties>
</file>