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EFDBBC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bookmarkStart w:id="0" w:name="_Toc8445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附件A-项目信息清单（标的1标段1）</w:t>
      </w:r>
    </w:p>
    <w:p w14:paraId="75EADEA5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标的名称：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  <w:lang w:val="en-US" w:eastAsia="zh-CN"/>
        </w:rPr>
        <w:t>河源和平35千伏大塘台区工程施工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 xml:space="preserve"> </w:t>
      </w:r>
    </w:p>
    <w:p w14:paraId="78AA7920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标段名称：河源和平35千伏大塘台区工程施工</w:t>
      </w:r>
    </w:p>
    <w:p w14:paraId="7F9E31F7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项目信息表</w:t>
      </w:r>
    </w:p>
    <w:tbl>
      <w:tblPr>
        <w:tblStyle w:val="13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"/>
        <w:gridCol w:w="2831"/>
        <w:gridCol w:w="4331"/>
      </w:tblGrid>
      <w:tr w14:paraId="2E1800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44" w:type="pct"/>
            <w:vAlign w:val="center"/>
          </w:tcPr>
          <w:p w14:paraId="13A68128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761" w:type="pct"/>
            <w:vAlign w:val="center"/>
          </w:tcPr>
          <w:p w14:paraId="06CF28E9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条款名称</w:t>
            </w:r>
          </w:p>
        </w:tc>
        <w:tc>
          <w:tcPr>
            <w:tcW w:w="2694" w:type="pct"/>
            <w:vAlign w:val="center"/>
          </w:tcPr>
          <w:p w14:paraId="75CC2893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内容</w:t>
            </w:r>
          </w:p>
        </w:tc>
      </w:tr>
      <w:tr w14:paraId="080DC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44" w:type="pct"/>
            <w:vAlign w:val="center"/>
          </w:tcPr>
          <w:p w14:paraId="1FAE34A0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761" w:type="pct"/>
            <w:vAlign w:val="center"/>
          </w:tcPr>
          <w:p w14:paraId="2BDEE387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2694" w:type="pct"/>
            <w:vAlign w:val="center"/>
          </w:tcPr>
          <w:p w14:paraId="69D3B695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河供电计〔2026〕34号</w:t>
            </w:r>
          </w:p>
        </w:tc>
      </w:tr>
      <w:tr w14:paraId="1A03B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44" w:type="pct"/>
            <w:vAlign w:val="center"/>
          </w:tcPr>
          <w:p w14:paraId="7CA82360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761" w:type="pct"/>
            <w:vAlign w:val="center"/>
          </w:tcPr>
          <w:p w14:paraId="58E8468F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项目核准备案文号</w:t>
            </w:r>
          </w:p>
        </w:tc>
        <w:tc>
          <w:tcPr>
            <w:tcW w:w="2694" w:type="pct"/>
            <w:vAlign w:val="center"/>
          </w:tcPr>
          <w:p w14:paraId="6F25B3A5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</w:tr>
      <w:tr w14:paraId="7AC36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44" w:type="pct"/>
            <w:vAlign w:val="center"/>
          </w:tcPr>
          <w:p w14:paraId="064166B5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761" w:type="pct"/>
            <w:vAlign w:val="center"/>
          </w:tcPr>
          <w:p w14:paraId="1710F5C6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资金落实（投资计划）</w:t>
            </w:r>
          </w:p>
        </w:tc>
        <w:tc>
          <w:tcPr>
            <w:tcW w:w="2694" w:type="pct"/>
            <w:vAlign w:val="center"/>
          </w:tcPr>
          <w:p w14:paraId="6EE5FC5D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河供电计〔2026〕34号</w:t>
            </w:r>
          </w:p>
        </w:tc>
      </w:tr>
      <w:tr w14:paraId="0A493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44" w:type="pct"/>
            <w:vAlign w:val="center"/>
          </w:tcPr>
          <w:p w14:paraId="78EEAE2F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761" w:type="pct"/>
            <w:vAlign w:val="center"/>
          </w:tcPr>
          <w:p w14:paraId="1A742304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初设批复文号</w:t>
            </w:r>
          </w:p>
        </w:tc>
        <w:tc>
          <w:tcPr>
            <w:tcW w:w="2694" w:type="pct"/>
            <w:vAlign w:val="center"/>
          </w:tcPr>
          <w:p w14:paraId="698D5A0F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</w:tr>
      <w:tr w14:paraId="646E5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44" w:type="pct"/>
            <w:vAlign w:val="center"/>
          </w:tcPr>
          <w:p w14:paraId="0AB8D23C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1761" w:type="pct"/>
            <w:vAlign w:val="center"/>
          </w:tcPr>
          <w:p w14:paraId="6628E32E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初设批复总投资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万元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2694" w:type="pct"/>
            <w:vAlign w:val="center"/>
          </w:tcPr>
          <w:p w14:paraId="42B0345F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</w:tr>
      <w:tr w14:paraId="6F26A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44" w:type="pct"/>
            <w:vAlign w:val="center"/>
          </w:tcPr>
          <w:p w14:paraId="1D8E2DD3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761" w:type="pct"/>
            <w:vAlign w:val="center"/>
          </w:tcPr>
          <w:p w14:paraId="2CC468E9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施工图设计批复文号</w:t>
            </w:r>
          </w:p>
        </w:tc>
        <w:tc>
          <w:tcPr>
            <w:tcW w:w="2694" w:type="pct"/>
            <w:vAlign w:val="center"/>
          </w:tcPr>
          <w:p w14:paraId="12C72BE2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河供电建〔2026〕80号</w:t>
            </w:r>
          </w:p>
        </w:tc>
      </w:tr>
      <w:tr w14:paraId="0C412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44" w:type="pct"/>
            <w:vAlign w:val="center"/>
          </w:tcPr>
          <w:p w14:paraId="7149A8B1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1761" w:type="pct"/>
            <w:vAlign w:val="center"/>
          </w:tcPr>
          <w:p w14:paraId="650084AA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招标类型</w:t>
            </w:r>
          </w:p>
        </w:tc>
        <w:tc>
          <w:tcPr>
            <w:tcW w:w="2694" w:type="pct"/>
            <w:vAlign w:val="center"/>
          </w:tcPr>
          <w:p w14:paraId="3541243C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施工图招标</w:t>
            </w:r>
          </w:p>
        </w:tc>
      </w:tr>
      <w:tr w14:paraId="3F96D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44" w:type="pct"/>
            <w:vAlign w:val="center"/>
          </w:tcPr>
          <w:p w14:paraId="2C3AD176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1761" w:type="pct"/>
            <w:vAlign w:val="center"/>
          </w:tcPr>
          <w:p w14:paraId="54126BC6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2694" w:type="pct"/>
            <w:vAlign w:val="center"/>
          </w:tcPr>
          <w:p w14:paraId="35E249F5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河源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供电局</w:t>
            </w:r>
          </w:p>
        </w:tc>
      </w:tr>
      <w:tr w14:paraId="47684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44" w:type="pct"/>
            <w:vAlign w:val="center"/>
          </w:tcPr>
          <w:p w14:paraId="1F5A6A8B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1761" w:type="pct"/>
            <w:vAlign w:val="center"/>
          </w:tcPr>
          <w:p w14:paraId="3075BBFF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2694" w:type="pct"/>
            <w:vAlign w:val="center"/>
          </w:tcPr>
          <w:p w14:paraId="10123DA6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广东省河源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</w:p>
        </w:tc>
      </w:tr>
      <w:tr w14:paraId="07D04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44" w:type="pct"/>
            <w:vAlign w:val="center"/>
          </w:tcPr>
          <w:p w14:paraId="6124E514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761" w:type="pct"/>
            <w:vAlign w:val="center"/>
          </w:tcPr>
          <w:p w14:paraId="1CBA0F7C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工        期</w:t>
            </w:r>
          </w:p>
        </w:tc>
        <w:tc>
          <w:tcPr>
            <w:tcW w:w="2694" w:type="pct"/>
            <w:vAlign w:val="center"/>
          </w:tcPr>
          <w:p w14:paraId="74BC70A6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计划工期：62日历天</w:t>
            </w:r>
          </w:p>
          <w:p w14:paraId="1EBB71EA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计划开工日期：2026年10月30日</w:t>
            </w:r>
          </w:p>
          <w:p w14:paraId="2780781B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计划竣工日期：2026年12月31日</w:t>
            </w:r>
          </w:p>
        </w:tc>
      </w:tr>
      <w:tr w14:paraId="673E9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44" w:type="pct"/>
            <w:vAlign w:val="center"/>
          </w:tcPr>
          <w:p w14:paraId="17790101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11</w:t>
            </w:r>
          </w:p>
        </w:tc>
        <w:tc>
          <w:tcPr>
            <w:tcW w:w="1761" w:type="pct"/>
            <w:vAlign w:val="center"/>
          </w:tcPr>
          <w:p w14:paraId="1458FB4B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项目可研单位</w:t>
            </w:r>
          </w:p>
        </w:tc>
        <w:tc>
          <w:tcPr>
            <w:tcW w:w="2694" w:type="pct"/>
            <w:vAlign w:val="center"/>
          </w:tcPr>
          <w:p w14:paraId="7E39E4FA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河源联禾电力规划设计有限公司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/中治地理信息（广东）股份有限公司</w:t>
            </w:r>
          </w:p>
        </w:tc>
      </w:tr>
      <w:tr w14:paraId="7F5C1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44" w:type="pct"/>
            <w:vAlign w:val="center"/>
          </w:tcPr>
          <w:p w14:paraId="0F026DD4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1761" w:type="pct"/>
            <w:vAlign w:val="center"/>
          </w:tcPr>
          <w:p w14:paraId="3AC6B693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项目勘察设计单位</w:t>
            </w:r>
          </w:p>
        </w:tc>
        <w:tc>
          <w:tcPr>
            <w:tcW w:w="2694" w:type="pct"/>
            <w:vAlign w:val="center"/>
          </w:tcPr>
          <w:p w14:paraId="36733D1A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河源联禾电力规划设计有限公司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/中治地理信息（广东）股份有限公司</w:t>
            </w:r>
          </w:p>
        </w:tc>
      </w:tr>
      <w:tr w14:paraId="50AE7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44" w:type="pct"/>
            <w:vAlign w:val="center"/>
          </w:tcPr>
          <w:p w14:paraId="3E97F8FA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13</w:t>
            </w:r>
          </w:p>
        </w:tc>
        <w:tc>
          <w:tcPr>
            <w:tcW w:w="1761" w:type="pct"/>
            <w:vAlign w:val="center"/>
          </w:tcPr>
          <w:p w14:paraId="6AB1199B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项目监理单位</w:t>
            </w:r>
          </w:p>
        </w:tc>
        <w:tc>
          <w:tcPr>
            <w:tcW w:w="2694" w:type="pct"/>
            <w:vAlign w:val="center"/>
          </w:tcPr>
          <w:p w14:paraId="074DF0F3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暂无</w:t>
            </w:r>
          </w:p>
        </w:tc>
      </w:tr>
    </w:tbl>
    <w:p w14:paraId="771787F4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sectPr>
          <w:pgSz w:w="11906" w:h="16838"/>
          <w:pgMar w:top="1474" w:right="1984" w:bottom="1587" w:left="2098" w:header="851" w:footer="992" w:gutter="0"/>
          <w:cols w:space="425" w:num="1"/>
          <w:rtlGutter w:val="0"/>
          <w:docGrid w:type="lines" w:linePitch="312" w:charSpace="0"/>
        </w:sectPr>
      </w:pPr>
    </w:p>
    <w:p w14:paraId="7B8CFBA6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（一）项目概况：</w:t>
      </w:r>
      <w:bookmarkEnd w:id="0"/>
      <w:bookmarkStart w:id="1" w:name="_Toc13498"/>
      <w:bookmarkStart w:id="2" w:name="_Toc28718"/>
      <w:bookmarkStart w:id="3" w:name="_Toc4755"/>
    </w:p>
    <w:bookmarkEnd w:id="1"/>
    <w:bookmarkEnd w:id="2"/>
    <w:bookmarkEnd w:id="3"/>
    <w:p w14:paraId="3C0C9DCC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河源和平35千伏大塘台区工程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施工</w:t>
      </w:r>
    </w:p>
    <w:p w14:paraId="665A300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562"/>
        <w:textAlignment w:val="auto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  <w:t>※变电部分:</w:t>
      </w:r>
    </w:p>
    <w:p w14:paraId="30549842">
      <w:pPr>
        <w:pStyle w:val="10"/>
        <w:keepNext w:val="0"/>
        <w:keepLines w:val="0"/>
        <w:pageBreakBefore w:val="0"/>
        <w:widowControl w:val="0"/>
        <w:numPr>
          <w:ilvl w:val="-1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leftChars="0" w:right="0" w:rightChars="0" w:firstLine="420" w:firstLineChars="200"/>
        <w:textAlignment w:val="auto"/>
        <w:rPr>
          <w:rFonts w:hint="eastAsia" w:ascii="宋体" w:hAnsi="宋体" w:eastAsia="宋体" w:cs="宋体"/>
          <w:b w:val="0"/>
          <w:bCs w:val="0"/>
          <w:snapToGrid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1"/>
          <w:szCs w:val="21"/>
          <w:lang w:val="en-US" w:eastAsia="zh-CN" w:bidi="ar"/>
        </w:rPr>
        <w:t>1、</w:t>
      </w:r>
      <w:r>
        <w:rPr>
          <w:rFonts w:hint="eastAsia" w:ascii="宋体" w:hAnsi="宋体" w:eastAsia="宋体" w:cs="宋体"/>
          <w:b w:val="0"/>
          <w:bCs w:val="0"/>
          <w:snapToGrid w:val="0"/>
          <w:sz w:val="21"/>
          <w:szCs w:val="21"/>
          <w:lang w:val="en-US" w:eastAsia="zh-CN" w:bidi="ar"/>
        </w:rPr>
        <w:t>河源和平35千伏大塘台区工程：新建5兆伏安主变压器1台，35千伏出线间隔1回，10千伏出线间隔3回。主变采用三相双卷自然油循环自冷有载调压变压器，主变户外布置。35千伏配电装置采用户外台架式设备断路器单列布置，向西北电缆出线。主变压器户外布置，采用电缆进线。10千伏配电装置采用户外SF6全绝缘断路器柜自动化成套设备，10千伏出线经埋管沟向东南到围墙外。10千伏接地变兼站用变布置于站区东北侧。事故油池布置于站区南侧；进站大门布置在南侧。</w:t>
      </w:r>
    </w:p>
    <w:p w14:paraId="561C9B39">
      <w:pPr>
        <w:pStyle w:val="10"/>
        <w:keepNext w:val="0"/>
        <w:keepLines w:val="0"/>
        <w:pageBreakBefore w:val="0"/>
        <w:widowControl w:val="0"/>
        <w:numPr>
          <w:ilvl w:val="-1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leftChars="0" w:right="0" w:rightChars="0" w:firstLine="420" w:firstLineChars="200"/>
        <w:textAlignment w:val="auto"/>
        <w:rPr>
          <w:rFonts w:hint="eastAsia" w:ascii="宋体" w:hAnsi="宋体" w:eastAsia="宋体" w:cs="宋体"/>
          <w:b w:val="0"/>
          <w:bCs w:val="0"/>
          <w:snapToGrid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1"/>
          <w:szCs w:val="21"/>
          <w:lang w:val="en-US" w:eastAsia="zh-CN" w:bidi="ar"/>
        </w:rPr>
        <w:t>2、</w:t>
      </w:r>
      <w:r>
        <w:rPr>
          <w:rFonts w:hint="eastAsia" w:ascii="宋体" w:hAnsi="宋体" w:eastAsia="宋体" w:cs="宋体"/>
          <w:b w:val="0"/>
          <w:bCs w:val="0"/>
          <w:snapToGrid w:val="0"/>
          <w:sz w:val="21"/>
          <w:szCs w:val="21"/>
          <w:lang w:val="en-US" w:eastAsia="zh-CN" w:bidi="ar"/>
        </w:rPr>
        <w:t>河源110千伏东联光伏站间隔扩建工程：本期为满足35千伏大塘台区接入需求，在110千伏东联光伏站新增1面35千伏电缆进线附柜，1面35千伏馈线柜；本期35千伏Ⅱ段母线电源由主变变低母线桥引至35电缆进线附柜。</w:t>
      </w:r>
    </w:p>
    <w:p w14:paraId="3B4EEBFE">
      <w:pPr>
        <w:pStyle w:val="2"/>
        <w:spacing w:before="0" w:after="0" w:line="560" w:lineRule="exact"/>
        <w:ind w:firstLine="562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 w:bidi="ar"/>
        </w:rPr>
        <w:t>※电缆线路部分:</w:t>
      </w:r>
    </w:p>
    <w:p w14:paraId="2C3B537F">
      <w:pPr>
        <w:pStyle w:val="10"/>
        <w:keepNext w:val="0"/>
        <w:keepLines w:val="0"/>
        <w:pageBreakBefore w:val="0"/>
        <w:widowControl w:val="0"/>
        <w:numPr>
          <w:ilvl w:val="-1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napToGrid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snapToGrid w:val="0"/>
          <w:sz w:val="21"/>
          <w:szCs w:val="21"/>
          <w:lang w:val="en-US" w:eastAsia="zh-CN" w:bidi="ar"/>
        </w:rPr>
        <w:t>河源和平35千伏大塘台区工程（电缆部分）：本工程新建电缆线路长0.127千米，新建电缆沟0.03千米。35千伏电缆截面选择3×185mm²，型号为ZRA-YJV22-26/35 3×185mm²交联聚乙烯绝缘电力电缆。</w:t>
      </w:r>
    </w:p>
    <w:p w14:paraId="4AEAB8F1">
      <w:pPr>
        <w:pStyle w:val="2"/>
        <w:spacing w:before="0" w:after="0" w:line="560" w:lineRule="exact"/>
        <w:ind w:firstLine="562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 w:bidi="ar"/>
        </w:rPr>
        <w:t>※通信部分：</w:t>
      </w:r>
    </w:p>
    <w:p w14:paraId="2751BBAC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1"/>
          <w:szCs w:val="21"/>
          <w:lang w:val="en-US" w:eastAsia="zh-CN" w:bidi="ar"/>
        </w:rPr>
        <w:t>河源和平35千伏大塘台区工程(管道光缆部分)：本工程新建35kV大塘台区至110kV公白光伏升压站全线沿电缆同沟敷设24芯管道光缆2×0.127千米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30AFA698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yellow"/>
          <w:u w:val="singl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u w:val="none"/>
        </w:rPr>
        <w:t>注：具体建设规模以施工图纸为准。</w:t>
      </w:r>
    </w:p>
    <w:p w14:paraId="1A76913B">
      <w:pP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br w:type="page"/>
      </w:r>
    </w:p>
    <w:p w14:paraId="15C2DA03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0"/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single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（二）采购范围：</w:t>
      </w:r>
      <w:bookmarkStart w:id="4" w:name="施工招标范围综合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</w:rPr>
        <w:t>包括施工图范围内的建筑、安装及调试工程。施工图范围内的下列工作内容，无□及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</w:rPr>
        <w:fldChar w:fldCharType="begin"/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</w:rPr>
        <w:instrText xml:space="preserve"> EQ \o\ac(</w:instrTex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position w:val="-4"/>
          <w:sz w:val="31"/>
          <w:szCs w:val="21"/>
          <w:highlight w:val="none"/>
          <w:u w:val="single"/>
        </w:rPr>
        <w:instrText xml:space="preserve">□</w:instrTex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position w:val="0"/>
          <w:sz w:val="21"/>
          <w:szCs w:val="21"/>
          <w:highlight w:val="none"/>
          <w:u w:val="single"/>
        </w:rPr>
        <w:instrText xml:space="preserve">,√)</w:instrTex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</w:rPr>
        <w:fldChar w:fldCharType="end"/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</w:rPr>
        <w:t>的为本次报价范围；□未打√的，不在本次报价范围内</w:t>
      </w:r>
      <w:bookmarkEnd w:id="4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</w:rPr>
        <w:t>，特殊情况在“其他”中说明。</w:t>
      </w:r>
    </w:p>
    <w:p w14:paraId="2A1543C0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河源和平35千伏大塘台区工程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施工</w:t>
      </w:r>
    </w:p>
    <w:p w14:paraId="7B22D2BF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※变电部分：</w:t>
      </w:r>
    </w:p>
    <w:p w14:paraId="648DBC09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变电建筑工程：</w:t>
      </w:r>
    </w:p>
    <w:p w14:paraId="35A014C5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（一）主要生产工程：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主要生产建筑，配电装置建筑，供水系统，消防系统；</w:t>
      </w:r>
    </w:p>
    <w:p w14:paraId="030D992A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（二）辅助生产工程：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辅助生产建筑，站区性建筑，特殊构筑物，全站沉降观测点，站区绿化；</w:t>
      </w:r>
    </w:p>
    <w:p w14:paraId="34F2A3C5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（三）与站址有关的单项工程：</w:t>
      </w:r>
    </w:p>
    <w:p w14:paraId="40A3DBD8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☑地基处理，☑站外道路（其中□桥涵），□站外水源，☑站外排水，□站外蒸发池，□施工降水，☑临时施工电源，□临时施工水源，□临时施工道路，□临时施工通信线路，□临时施工防护工程；</w:t>
      </w:r>
    </w:p>
    <w:p w14:paraId="692E9F8B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（四）其他费用工程：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□白蚁防治，□拆除工程；</w:t>
      </w:r>
    </w:p>
    <w:p w14:paraId="1CEEAB2E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（五）其他：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u w:val="single"/>
        </w:rPr>
        <w:t xml:space="preserve"> / 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。</w:t>
      </w:r>
    </w:p>
    <w:p w14:paraId="1AA64C4B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变电安装工程：</w:t>
      </w:r>
    </w:p>
    <w:p w14:paraId="56733052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（一）主要生产工程：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主变压器系统，配电装置，无功补偿，控制及直流系统，站用电系统，电缆及接地，远动系统（含总调、中调、地调调度端的扩容），计费系统，全站调试（其中特殊调试以合同附件特殊调试项目为准）；</w:t>
      </w:r>
    </w:p>
    <w:p w14:paraId="4516EB15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（二）辅助生产工程：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检修及修配设备；</w:t>
      </w:r>
    </w:p>
    <w:p w14:paraId="65271F57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（三）与站址有关的单项工程：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□站外电源，□站外通信；</w:t>
      </w:r>
    </w:p>
    <w:p w14:paraId="0ECDF3A7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（四）其他费用工程：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☑标志牌安装，□拆除工程；</w:t>
      </w:r>
    </w:p>
    <w:p w14:paraId="758C6F4F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（五）其他：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u w:val="single"/>
        </w:rPr>
        <w:t xml:space="preserve"> / 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。</w:t>
      </w:r>
    </w:p>
    <w:p w14:paraId="212D66E2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※电缆线路部分：</w:t>
      </w:r>
    </w:p>
    <w:p w14:paraId="6A703D1F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施工图纸范围内的电缆建筑：</w:t>
      </w:r>
    </w:p>
    <w:p w14:paraId="54D18C89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（一）土石方：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材料运输，土石方挖填，开挖路面，修复路面，隧道挖填；</w:t>
      </w:r>
    </w:p>
    <w:p w14:paraId="371DC968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（二）构筑物：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材料运输，直埋电缆垫层及盖板，电缆沟、浅槽，工作井，电缆埋管，隧道，隧道工作井，栈桥，基础；</w:t>
      </w:r>
    </w:p>
    <w:p w14:paraId="59A307FD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（三）辅助工程：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材料运输，通风，照明，排水，消防，围护，地基处理；</w:t>
      </w:r>
    </w:p>
    <w:p w14:paraId="4F2497E2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（四）其他费用工程：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☑白蚁防治，□拆除工程，□电缆走廊绿化赔偿，□沿线建（构）筑物的拆除，☑与城市规划、市政、园林、交警、城监、公路等部门联系办理施工许可手续，□施工临时占用地补偿费；</w:t>
      </w:r>
    </w:p>
    <w:p w14:paraId="5F4E9C94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（五）其他：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u w:val="single"/>
        </w:rPr>
        <w:t xml:space="preserve"> /  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。</w:t>
      </w:r>
    </w:p>
    <w:p w14:paraId="7DF72110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施工图纸范围内的电缆安装：</w:t>
      </w:r>
    </w:p>
    <w:p w14:paraId="51C036D5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（一）电缆桥、支架制作安装：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材料运输，电缆桥架，电缆支架；</w:t>
      </w:r>
    </w:p>
    <w:p w14:paraId="070F11CE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（二）电缆敷设：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材料运输，直埋敷设，电缆沟、浅槽敷设，埋管内敷设，电缆隧道敷设，桥架敷设，栈桥敷设；</w:t>
      </w:r>
    </w:p>
    <w:p w14:paraId="730913B5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（三）电缆附件：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材料运输，终端头制作安装，中间接头制作安装，接地安装，设备安装，电缆保护管；</w:t>
      </w:r>
    </w:p>
    <w:p w14:paraId="240C56E3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（四）电缆防火：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材料运输，构筑物防火，电缆本体防火；</w:t>
      </w:r>
    </w:p>
    <w:p w14:paraId="61E805C4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（五）调试与试验：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电缆试验（其中：☑电缆局部放电试验，☑电缆参数测定），设备试验；</w:t>
      </w:r>
    </w:p>
    <w:p w14:paraId="66292E1A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（六）电缆监测（控）系统：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材料运输，在线监测，安保监控；</w:t>
      </w:r>
    </w:p>
    <w:p w14:paraId="719FB8AC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（七）其他费用工程：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☑标志牌安装，□拆除工程，☑线路牌挂牌；</w:t>
      </w:r>
    </w:p>
    <w:p w14:paraId="366C5614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（八）其他：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u w:val="single"/>
        </w:rPr>
        <w:t xml:space="preserve">/ 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。</w:t>
      </w:r>
    </w:p>
    <w:p w14:paraId="460A6EFC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※通信部分：</w:t>
      </w:r>
    </w:p>
    <w:p w14:paraId="2C9B7C4D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电缆线路部分：施工图纸范围内的光缆单盘测试、中继测试、接续、光缆及联络光缆敷设、通信子管敷设、通道开通及业务接入、割接等；光缆及金具卸车清点、验收及保管，与施工相关的所有其他费用项目。</w:t>
      </w:r>
    </w:p>
    <w:p w14:paraId="15F24E58"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yellow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u w:val="none"/>
          <w:lang w:val="en-US" w:eastAsia="zh-CN"/>
        </w:rPr>
        <w:t>注：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u w:val="none"/>
          <w:lang w:eastAsia="zh-CN"/>
        </w:rPr>
        <w:t>特殊调试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u w:val="none"/>
        </w:rPr>
        <w:t>以合同附件特殊调试项目为准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u w:val="none"/>
          <w:lang w:eastAsia="zh-CN"/>
        </w:rPr>
        <w:t>；</w:t>
      </w:r>
    </w:p>
    <w:p w14:paraId="6155A335">
      <w:pP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br w:type="page"/>
      </w:r>
    </w:p>
    <w:p w14:paraId="18BE9576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</w:rPr>
        <w:t>承包方式：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</w:rPr>
        <w:t>包工、部分包料，施工图纸范围内如有下列设备、材料，无□及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</w:rPr>
        <w:fldChar w:fldCharType="begin"/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</w:rPr>
        <w:instrText xml:space="preserve"> EQ \o\ac(</w:instrTex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position w:val="-4"/>
          <w:sz w:val="31"/>
          <w:szCs w:val="21"/>
          <w:highlight w:val="none"/>
          <w:u w:val="single"/>
        </w:rPr>
        <w:instrText xml:space="preserve">□</w:instrTex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position w:val="0"/>
          <w:sz w:val="21"/>
          <w:szCs w:val="21"/>
          <w:highlight w:val="none"/>
          <w:u w:val="single"/>
        </w:rPr>
        <w:instrText xml:space="preserve">,√)</w:instrTex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</w:rPr>
        <w:fldChar w:fldCharType="end"/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</w:rPr>
        <w:t>的为甲供，□未打√的及不在下列的为乙供。</w:t>
      </w:r>
    </w:p>
    <w:p w14:paraId="104FCDB4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河源和平35千伏大塘台区工程施工</w:t>
      </w:r>
    </w:p>
    <w:p w14:paraId="2418966E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※变电部分：</w:t>
      </w:r>
    </w:p>
    <w:p w14:paraId="117FA8BF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（一）甲供物资：</w:t>
      </w:r>
    </w:p>
    <w:p w14:paraId="109814FA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变电建筑工程：</w:t>
      </w:r>
    </w:p>
    <w:p w14:paraId="3F8C8042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1、不锈钢材质检修电源箱，不锈钢材质配电箱（含照明和动力配电箱），电力电缆，控制电缆，低压电线，铜铝端子，铜端子，构支架钢结构（含构支架、横梁，爬梯、避雷针），标准成品预制电缆沟盖板（包括混凝土盖板和复合盖板），装配式变电站围墙和主变防火墙（含混凝土和复合材质，厂家包安装及基础灌浆），电缆支架（铝合金、角钢、复合材质），电杆（含混凝土和复合材料），电缆保护管材（HDPE管、涂塑钢管、PVC管、MPP管），电缆管塞封堵器，空调（精密空调、中央空调（换流站阀厅用）、工业空调（STATCOM集装箱用）、防爆空调（蓄电池室）），智能围栏。</w:t>
      </w:r>
    </w:p>
    <w:p w14:paraId="5E11DE57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2、□装配式电缆沟、□消防电缆、□电梯（不含货物电梯）、□嵌入式空调（天井式）、□专用空调（生产场所、带自动启动功能）。</w:t>
      </w:r>
    </w:p>
    <w:p w14:paraId="48E5C933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变电安装工程：</w:t>
      </w:r>
    </w:p>
    <w:p w14:paraId="4AEF0795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1、电气一、二次设备，预制舱配电房，机载高速光电吊舱设备，铝镁合金管形母线及其配套金具，金具及附件（含线夹），钢绞线，铝绞线，红外热像仪，变电站智能巡检机器人，独立五防系统，检修隔离装置，视频及环境监控系统，监测装置，变压器配电箱（SMC材质、不锈钢材质），不锈钢材质端子箱，不锈钢材质检修电源箱，不锈钢材质发电车开关箱，不锈钢材质配电箱（含照明和动力配电箱），电力电缆，控制电缆，计量用电线，10kV及以上电缆头，各种类型绝缘子，封闭母线桥，10kV绝缘铜管母线，穿墙套管，电缆支架（铝合金、角钢、复合材质）、铝合金电缆桥架、计量接引装置、电抗器接地装置、小电流接地选线装置、通用型标志牌（包括：禁止攀登、高压危险、禁止抛物、高压危险等提醒类标志牌及相线牌、安装支架，不涉及资产名称、编号或位置）。</w:t>
      </w:r>
    </w:p>
    <w:p w14:paraId="156FB054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2、□吊车。</w:t>
      </w:r>
    </w:p>
    <w:p w14:paraId="1A534683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（二）其他甲供物资：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u w:val="single"/>
        </w:rPr>
        <w:t xml:space="preserve">  /  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。</w:t>
      </w:r>
    </w:p>
    <w:p w14:paraId="47E9ACF7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※电缆线路部分：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建设单位提供部分设备及材料：</w:t>
      </w:r>
    </w:p>
    <w:p w14:paraId="351FFDEA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（一）甲供物资：</w:t>
      </w:r>
    </w:p>
    <w:p w14:paraId="3E739BBB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1、电力电缆，电缆终端头，电缆直通接头，电缆绝缘接头，电缆T接头，电缆固定夹，带保护器接地箱，直接接地箱，同轴电缆，接地线，回流线，接地箱，避雷器，故障指示器，故障精确定位装置，监测装置，光缆及光缆附件，电缆隧道装置（含电缆隧道综合监测系统、隧道专用LED灯具、电缆隧道巡检机器人轨道、电缆隧道智能巡检机器人、电缆防火防爆装置、电缆隧道立柱支架、电缆隧道户外动力箱（IP66）），隧道风机，海缆保护区航标，接头区灭火装置，电缆支架（铝合金、槽钢、复合材质），电缆保护管材（包括HDPE管、涂塑钢管、PVC管、MPP管）、电缆管塞封堵器，标准成品预制电缆沟盖板（包括混凝土盖板和复合盖板）、智能围栏，标志牌（电缆标志牌、警示牌、标示桩、走向标志、安装支架）。</w:t>
      </w:r>
    </w:p>
    <w:p w14:paraId="1F24B76E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2、□装配式电缆沟，□玻璃钢管。</w:t>
      </w:r>
    </w:p>
    <w:p w14:paraId="7079B768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（二）其他甲供物资：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u w:val="single"/>
        </w:rPr>
        <w:t xml:space="preserve"> / 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。</w:t>
      </w:r>
    </w:p>
    <w:p w14:paraId="42756EFF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※通信部分：</w:t>
      </w:r>
    </w:p>
    <w:p w14:paraId="436336DC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电缆线路部分：</w:t>
      </w:r>
    </w:p>
    <w:p w14:paraId="5A94DC82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甲供物资：</w:t>
      </w:r>
    </w:p>
    <w:p w14:paraId="79B0F7CD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1、光缆及光缆附件，电缆保护管材（HDPE管、涂塑钢管、PVC管、MPP管）。</w:t>
      </w:r>
    </w:p>
    <w:p w14:paraId="32883290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□装配式电缆沟，□玻璃钢管。</w:t>
      </w:r>
    </w:p>
    <w:p w14:paraId="664356F7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（二）其他甲供物资：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u w:val="single"/>
        </w:rPr>
        <w:t xml:space="preserve">  /  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。</w:t>
      </w:r>
    </w:p>
    <w:p w14:paraId="4F0D9CCC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yellow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注：建设单位提供的设备、材料以合同附件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甲供设备材料明细表为准。</w:t>
      </w:r>
    </w:p>
    <w:p w14:paraId="23035784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yellow"/>
          <w:lang w:val="en-US" w:eastAsia="zh-CN"/>
        </w:rPr>
        <w:sectPr>
          <w:pgSz w:w="11906" w:h="16838"/>
          <w:pgMar w:top="2098" w:right="1474" w:bottom="1984" w:left="1587" w:header="851" w:footer="992" w:gutter="0"/>
          <w:cols w:space="425" w:num="1"/>
          <w:rtlGutter w:val="0"/>
          <w:docGrid w:type="lines" w:linePitch="312" w:charSpace="0"/>
        </w:sectPr>
      </w:pPr>
    </w:p>
    <w:p w14:paraId="4DFF687F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（四）报价表</w:t>
      </w:r>
      <w:bookmarkStart w:id="5" w:name="_GoBack"/>
      <w:bookmarkEnd w:id="5"/>
    </w:p>
    <w:tbl>
      <w:tblPr>
        <w:tblStyle w:val="12"/>
        <w:tblW w:w="1422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93"/>
        <w:gridCol w:w="1683"/>
        <w:gridCol w:w="1185"/>
        <w:gridCol w:w="1185"/>
        <w:gridCol w:w="1185"/>
        <w:gridCol w:w="1185"/>
        <w:gridCol w:w="1185"/>
        <w:gridCol w:w="1185"/>
        <w:gridCol w:w="1185"/>
        <w:gridCol w:w="1185"/>
        <w:gridCol w:w="1185"/>
        <w:gridCol w:w="1185"/>
      </w:tblGrid>
      <w:tr w14:paraId="722E25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8B51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　号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3A96FE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7ED2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最高投标限价（万元）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CD76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其中安全生产费（万元）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801A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其中施工专项补助费（万元）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150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其中暂估价（万元）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E0AF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投标费率（%）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FD72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投标报价（万元）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86E7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其中安全文明施工费（万元）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6EC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其中施工专项补助费（万元）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24F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其中暂估价（万元）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F13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  注</w:t>
            </w:r>
          </w:p>
        </w:tc>
      </w:tr>
      <w:tr w14:paraId="49CBC2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2DB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273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河源和平35千伏大塘台区工程施工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55FCF4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 xml:space="preserve">184.58 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712470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 xml:space="preserve">5.61 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D8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4EAF68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18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5DF18812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FF7D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7725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03B0AB"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849B64"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7BBED6"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3BFB70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23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0EBF84"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合计（小写）：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7B81FE"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 xml:space="preserve">184.58 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266FF6"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 xml:space="preserve">5.61 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31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7FC9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118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86037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DDA2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1738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2D16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0B88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B5F5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2DF8B8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4226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FAC3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报价要求：</w:t>
            </w:r>
          </w:p>
          <w:p w14:paraId="3677BD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1、金额报价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保留两位小数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，同时填报投标费率。投标费率＝[(投标报价-安全文明施工费-暂估价）/（最高投标限价-安全文明施工费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-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暂估价)]×100%（保留两位小数）。</w:t>
            </w:r>
          </w:p>
          <w:p w14:paraId="0F151D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、安全文明施工费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如有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暂估价（如有）需按照公布的金额固定报价，不得自行变更，否则视为原则性不响应招标文件要求，作否决投标处理。</w:t>
            </w:r>
          </w:p>
          <w:p w14:paraId="115A1A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、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施工专项补助费（如有）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，投标人报价时按文件要求将施工专项补助费作为“竞争性费用”列入投标报价中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报价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不得高于招标文件公布的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施工专项补助费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，否则按否决投标处理。</w:t>
            </w:r>
          </w:p>
          <w:p w14:paraId="1B08E3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、投标下浮率=1-投标费率。</w:t>
            </w:r>
          </w:p>
        </w:tc>
      </w:tr>
    </w:tbl>
    <w:p w14:paraId="1C274936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yellow"/>
          <w:lang w:val="en-US" w:eastAsia="zh-CN"/>
        </w:rPr>
      </w:pPr>
    </w:p>
    <w:sectPr>
      <w:pgSz w:w="16838" w:h="11906" w:orient="landscape"/>
      <w:pgMar w:top="2098" w:right="1474" w:bottom="1984" w:left="1587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F737D8"/>
    <w:rsid w:val="00032C5E"/>
    <w:rsid w:val="00675492"/>
    <w:rsid w:val="00B87EA2"/>
    <w:rsid w:val="00C073B0"/>
    <w:rsid w:val="01000F1F"/>
    <w:rsid w:val="01CA5480"/>
    <w:rsid w:val="0256248D"/>
    <w:rsid w:val="0270337E"/>
    <w:rsid w:val="02B415D2"/>
    <w:rsid w:val="02D45932"/>
    <w:rsid w:val="043D7CAE"/>
    <w:rsid w:val="050E07AE"/>
    <w:rsid w:val="05B87515"/>
    <w:rsid w:val="05F96751"/>
    <w:rsid w:val="06033F60"/>
    <w:rsid w:val="068D71D9"/>
    <w:rsid w:val="08F700C6"/>
    <w:rsid w:val="0BC07002"/>
    <w:rsid w:val="0CB91C03"/>
    <w:rsid w:val="0D0758F3"/>
    <w:rsid w:val="0E490E7C"/>
    <w:rsid w:val="10430334"/>
    <w:rsid w:val="10A919C2"/>
    <w:rsid w:val="10C30F9C"/>
    <w:rsid w:val="116419AD"/>
    <w:rsid w:val="11DF6CFE"/>
    <w:rsid w:val="11FC1228"/>
    <w:rsid w:val="1221206F"/>
    <w:rsid w:val="12617BA5"/>
    <w:rsid w:val="12F97B42"/>
    <w:rsid w:val="133F6E67"/>
    <w:rsid w:val="1352362B"/>
    <w:rsid w:val="13C71878"/>
    <w:rsid w:val="14132DD1"/>
    <w:rsid w:val="14440D4B"/>
    <w:rsid w:val="15056A61"/>
    <w:rsid w:val="15701FEA"/>
    <w:rsid w:val="17241016"/>
    <w:rsid w:val="17311749"/>
    <w:rsid w:val="18E57496"/>
    <w:rsid w:val="193066EB"/>
    <w:rsid w:val="196B23E3"/>
    <w:rsid w:val="1A2F2F81"/>
    <w:rsid w:val="1A3776A7"/>
    <w:rsid w:val="1B1435D1"/>
    <w:rsid w:val="1B663F82"/>
    <w:rsid w:val="1BA9108A"/>
    <w:rsid w:val="1CC004AB"/>
    <w:rsid w:val="1D615A5F"/>
    <w:rsid w:val="1DA71931"/>
    <w:rsid w:val="1EA379B5"/>
    <w:rsid w:val="20957CD4"/>
    <w:rsid w:val="216F4D5B"/>
    <w:rsid w:val="21727677"/>
    <w:rsid w:val="22D01CE9"/>
    <w:rsid w:val="24E46BF4"/>
    <w:rsid w:val="24F737D8"/>
    <w:rsid w:val="25260286"/>
    <w:rsid w:val="26DB6761"/>
    <w:rsid w:val="26F863F9"/>
    <w:rsid w:val="274170EE"/>
    <w:rsid w:val="276160EC"/>
    <w:rsid w:val="2785030E"/>
    <w:rsid w:val="278F57AD"/>
    <w:rsid w:val="27E47C4B"/>
    <w:rsid w:val="28F46A2A"/>
    <w:rsid w:val="296555D1"/>
    <w:rsid w:val="2BED7EC0"/>
    <w:rsid w:val="2D8E3667"/>
    <w:rsid w:val="2DCE3DB2"/>
    <w:rsid w:val="2DFE6AFA"/>
    <w:rsid w:val="2E9A5E18"/>
    <w:rsid w:val="2F362DFB"/>
    <w:rsid w:val="2FF65FF8"/>
    <w:rsid w:val="300D195C"/>
    <w:rsid w:val="30337CC8"/>
    <w:rsid w:val="3044134F"/>
    <w:rsid w:val="306C7E8C"/>
    <w:rsid w:val="308E6ECB"/>
    <w:rsid w:val="308F01E2"/>
    <w:rsid w:val="30A33E0B"/>
    <w:rsid w:val="30BF37B5"/>
    <w:rsid w:val="31F44502"/>
    <w:rsid w:val="33431B08"/>
    <w:rsid w:val="342B476D"/>
    <w:rsid w:val="361736AD"/>
    <w:rsid w:val="36905D28"/>
    <w:rsid w:val="36D200CF"/>
    <w:rsid w:val="37B26847"/>
    <w:rsid w:val="37FF59C4"/>
    <w:rsid w:val="38382DC3"/>
    <w:rsid w:val="39A401AD"/>
    <w:rsid w:val="3AAA73EE"/>
    <w:rsid w:val="3B260034"/>
    <w:rsid w:val="3B2A0F67"/>
    <w:rsid w:val="3BCA27B8"/>
    <w:rsid w:val="3BE757AE"/>
    <w:rsid w:val="3C1E17EA"/>
    <w:rsid w:val="3C4A35F1"/>
    <w:rsid w:val="3D483D27"/>
    <w:rsid w:val="3D6C6E26"/>
    <w:rsid w:val="3E6671E3"/>
    <w:rsid w:val="3F773980"/>
    <w:rsid w:val="3F9B7EF1"/>
    <w:rsid w:val="4047281E"/>
    <w:rsid w:val="40B02D35"/>
    <w:rsid w:val="415A7E63"/>
    <w:rsid w:val="41775BBB"/>
    <w:rsid w:val="42E701E3"/>
    <w:rsid w:val="430A2248"/>
    <w:rsid w:val="44D414C9"/>
    <w:rsid w:val="44E6598E"/>
    <w:rsid w:val="44F22C57"/>
    <w:rsid w:val="45E177CC"/>
    <w:rsid w:val="460D1423"/>
    <w:rsid w:val="460E4573"/>
    <w:rsid w:val="46383F13"/>
    <w:rsid w:val="46472D5E"/>
    <w:rsid w:val="469B4709"/>
    <w:rsid w:val="46A85B41"/>
    <w:rsid w:val="474422FB"/>
    <w:rsid w:val="47CB2C71"/>
    <w:rsid w:val="48EC6B0B"/>
    <w:rsid w:val="49332FB5"/>
    <w:rsid w:val="4A5B5A1A"/>
    <w:rsid w:val="4B3A1BDA"/>
    <w:rsid w:val="4BB42D09"/>
    <w:rsid w:val="4D0B2DF1"/>
    <w:rsid w:val="4D392B7F"/>
    <w:rsid w:val="4DC759F3"/>
    <w:rsid w:val="4E040B17"/>
    <w:rsid w:val="4EA560D6"/>
    <w:rsid w:val="4F6A7BA3"/>
    <w:rsid w:val="50667F11"/>
    <w:rsid w:val="510C438D"/>
    <w:rsid w:val="54064E00"/>
    <w:rsid w:val="546F308A"/>
    <w:rsid w:val="552E444C"/>
    <w:rsid w:val="55734D49"/>
    <w:rsid w:val="55C3156A"/>
    <w:rsid w:val="55C814C7"/>
    <w:rsid w:val="56677483"/>
    <w:rsid w:val="57092F8E"/>
    <w:rsid w:val="573B78B3"/>
    <w:rsid w:val="599017B7"/>
    <w:rsid w:val="5A4935A4"/>
    <w:rsid w:val="5BF73AAD"/>
    <w:rsid w:val="5CB42BA8"/>
    <w:rsid w:val="5EF953A6"/>
    <w:rsid w:val="5F876C64"/>
    <w:rsid w:val="5F8E0C51"/>
    <w:rsid w:val="5FE724D4"/>
    <w:rsid w:val="608606DE"/>
    <w:rsid w:val="63E602AB"/>
    <w:rsid w:val="644D1809"/>
    <w:rsid w:val="66714535"/>
    <w:rsid w:val="66C35559"/>
    <w:rsid w:val="66D91A76"/>
    <w:rsid w:val="68B337CC"/>
    <w:rsid w:val="69311D38"/>
    <w:rsid w:val="6A077C02"/>
    <w:rsid w:val="6A287B5E"/>
    <w:rsid w:val="6A6B37FA"/>
    <w:rsid w:val="6B303A1A"/>
    <w:rsid w:val="6D897695"/>
    <w:rsid w:val="6DAA2FDF"/>
    <w:rsid w:val="6E121228"/>
    <w:rsid w:val="6F136842"/>
    <w:rsid w:val="6FF808C2"/>
    <w:rsid w:val="70873960"/>
    <w:rsid w:val="70B81233"/>
    <w:rsid w:val="70D1495F"/>
    <w:rsid w:val="71AE4710"/>
    <w:rsid w:val="71FE7D99"/>
    <w:rsid w:val="7247722C"/>
    <w:rsid w:val="73641402"/>
    <w:rsid w:val="7472484C"/>
    <w:rsid w:val="74E73186"/>
    <w:rsid w:val="75050A9F"/>
    <w:rsid w:val="76015DEA"/>
    <w:rsid w:val="763B2CF0"/>
    <w:rsid w:val="764E470D"/>
    <w:rsid w:val="76850D49"/>
    <w:rsid w:val="76A83E24"/>
    <w:rsid w:val="779B4AAB"/>
    <w:rsid w:val="7842124A"/>
    <w:rsid w:val="79435213"/>
    <w:rsid w:val="796F764D"/>
    <w:rsid w:val="7AAF7CE8"/>
    <w:rsid w:val="7C6A3EAA"/>
    <w:rsid w:val="7C766170"/>
    <w:rsid w:val="7D26550D"/>
    <w:rsid w:val="7D2D6A7C"/>
    <w:rsid w:val="7D3B0B84"/>
    <w:rsid w:val="7E3420E0"/>
    <w:rsid w:val="7E405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5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6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paragraph" w:styleId="3">
    <w:name w:val="Body Text"/>
    <w:basedOn w:val="4"/>
    <w:next w:val="4"/>
    <w:unhideWhenUsed/>
    <w:qFormat/>
    <w:uiPriority w:val="99"/>
    <w:pPr>
      <w:spacing w:after="120"/>
    </w:pPr>
  </w:style>
  <w:style w:type="paragraph" w:styleId="4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7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8">
    <w:name w:val="annotation text"/>
    <w:basedOn w:val="1"/>
    <w:qFormat/>
    <w:uiPriority w:val="0"/>
    <w:pPr>
      <w:jc w:val="left"/>
    </w:pPr>
  </w:style>
  <w:style w:type="paragraph" w:styleId="9">
    <w:name w:val="Body Text Indent"/>
    <w:basedOn w:val="1"/>
    <w:qFormat/>
    <w:uiPriority w:val="0"/>
    <w:pPr>
      <w:spacing w:after="120"/>
      <w:ind w:left="420" w:leftChars="200"/>
    </w:pPr>
  </w:style>
  <w:style w:type="paragraph" w:styleId="10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11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6">
    <w:name w:val="_Style 5"/>
    <w:basedOn w:val="1"/>
    <w:qFormat/>
    <w:uiPriority w:val="0"/>
    <w:pPr>
      <w:adjustRightInd/>
      <w:spacing w:line="240" w:lineRule="auto"/>
      <w:ind w:firstLine="420" w:firstLineChars="200"/>
      <w:textAlignment w:val="auto"/>
    </w:pPr>
    <w:rPr>
      <w:rFonts w:ascii="Calibri" w:hAnsi="Calibri" w:eastAsia="宋体" w:cs="Times New Roman"/>
      <w:kern w:val="2"/>
      <w:sz w:val="21"/>
      <w:szCs w:val="22"/>
    </w:rPr>
  </w:style>
  <w:style w:type="paragraph" w:customStyle="1" w:styleId="17">
    <w:name w:val="正文首行缩进1"/>
    <w:basedOn w:val="1"/>
    <w:qFormat/>
    <w:uiPriority w:val="0"/>
    <w:pPr>
      <w:spacing w:line="360" w:lineRule="auto"/>
      <w:ind w:firstLine="200" w:firstLineChars="200"/>
    </w:pPr>
    <w:rPr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3581</Words>
  <Characters>3755</Characters>
  <Lines>0</Lines>
  <Paragraphs>0</Paragraphs>
  <TotalTime>1</TotalTime>
  <ScaleCrop>false</ScaleCrop>
  <LinksUpToDate>false</LinksUpToDate>
  <CharactersWithSpaces>3849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1FFA49B7F17B489791842C2F55A1939C</cp:lastModifiedBy>
  <cp:lastPrinted>2022-02-11T02:00:00Z</cp:lastPrinted>
  <dcterms:modified xsi:type="dcterms:W3CDTF">2026-09-09T08:38:03Z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1CBF66DDAB0842D795894C906CF19846_13</vt:lpwstr>
  </property>
  <property fmtid="{D5CDD505-2E9C-101B-9397-08002B2CF9AE}" pid="4" name="KSOTemplateDocerSaveRecord">
    <vt:lpwstr>eyJoZGlkIjoiYzJmZDI5MTUxOGZlY2ExZjUxOGIwMzQ0NDU4OGVjNmIiLCJ1c2VySWQiOiIyNzY0NjAzMDgifQ==</vt:lpwstr>
  </property>
</Properties>
</file>