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2.vsd" ContentType="application/vnd.visio"/>
  <Override PartName="/word/embeddings/Microsoft_Visio_2003-2010___3.vsd" ContentType="application/vnd.visio"/>
  <Override PartName="/word/embeddings/Microsoft_Visio___1.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spacing w:line="360" w:lineRule="auto"/>
        <w:ind w:firstLine="480" w:firstLineChars="200"/>
        <w:rPr>
          <w:rFonts w:ascii="Times New Roman"/>
          <w:color w:val="auto"/>
          <w:sz w:val="24"/>
          <w:szCs w:val="24"/>
        </w:rPr>
      </w:pPr>
      <w:r>
        <w:rPr>
          <w:rFonts w:ascii="Times New Roman"/>
          <w:color w:val="auto"/>
          <w:kern w:val="0"/>
          <w:sz w:val="24"/>
          <w:szCs w:val="24"/>
        </w:rPr>
        <w:drawing>
          <wp:anchor distT="0" distB="0" distL="114300" distR="114300" simplePos="0" relativeHeight="251660288" behindDoc="0" locked="0" layoutInCell="1" allowOverlap="0">
            <wp:simplePos x="0" y="0"/>
            <wp:positionH relativeFrom="page">
              <wp:posOffset>0</wp:posOffset>
            </wp:positionH>
            <wp:positionV relativeFrom="page">
              <wp:posOffset>0</wp:posOffset>
            </wp:positionV>
            <wp:extent cx="7543800" cy="2355850"/>
            <wp:effectExtent l="0" t="0" r="0" b="6350"/>
            <wp:wrapTopAndBottom/>
            <wp:docPr id="1" name="Picture 22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20422"/>
                    <pic:cNvPicPr>
                      <a:picLocks noChangeAspect="1"/>
                    </pic:cNvPicPr>
                  </pic:nvPicPr>
                  <pic:blipFill>
                    <a:blip r:embed="rId10"/>
                    <a:stretch>
                      <a:fillRect/>
                    </a:stretch>
                  </pic:blipFill>
                  <pic:spPr>
                    <a:xfrm>
                      <a:off x="0" y="0"/>
                      <a:ext cx="7543800" cy="2355850"/>
                    </a:xfrm>
                    <a:prstGeom prst="rect">
                      <a:avLst/>
                    </a:prstGeom>
                    <a:noFill/>
                    <a:ln>
                      <a:noFill/>
                    </a:ln>
                  </pic:spPr>
                </pic:pic>
              </a:graphicData>
            </a:graphic>
          </wp:anchor>
        </w:drawing>
      </w:r>
    </w:p>
    <w:p>
      <w:pPr>
        <w:spacing w:line="360" w:lineRule="auto"/>
        <w:jc w:val="center"/>
        <w:rPr>
          <w:rFonts w:ascii="Times New Roman" w:hAnsi="Times New Roman"/>
          <w:b/>
          <w:bCs/>
          <w:color w:val="auto"/>
          <w:sz w:val="48"/>
          <w:szCs w:val="48"/>
        </w:rPr>
      </w:pPr>
      <w:r>
        <w:rPr>
          <w:rFonts w:ascii="Times New Roman" w:hAnsi="Times New Roman"/>
          <w:b/>
          <w:bCs/>
          <w:color w:val="auto"/>
          <w:sz w:val="48"/>
          <w:szCs w:val="48"/>
        </w:rPr>
        <w:t>广东电白抽水蓄能电站信通工程设备采购</w:t>
      </w:r>
    </w:p>
    <w:p>
      <w:pPr>
        <w:spacing w:line="360" w:lineRule="auto"/>
        <w:jc w:val="center"/>
        <w:rPr>
          <w:rFonts w:ascii="Times New Roman" w:hAnsi="Times New Roman"/>
          <w:b/>
          <w:bCs/>
          <w:color w:val="auto"/>
          <w:sz w:val="48"/>
          <w:szCs w:val="48"/>
        </w:rPr>
      </w:pPr>
      <w:r>
        <w:rPr>
          <w:rFonts w:ascii="Times New Roman" w:hAnsi="Times New Roman"/>
          <w:b/>
          <w:bCs/>
          <w:color w:val="auto"/>
          <w:sz w:val="40"/>
          <w:szCs w:val="40"/>
        </w:rPr>
        <w:t>（</w:t>
      </w:r>
      <w:r>
        <w:rPr>
          <w:rFonts w:hint="eastAsia" w:ascii="Times New Roman" w:hAnsi="Times New Roman"/>
          <w:b/>
          <w:bCs/>
          <w:color w:val="auto"/>
          <w:sz w:val="40"/>
          <w:szCs w:val="40"/>
        </w:rPr>
        <w:t>语音交换系统、信息安防设备、通信电源、视频会议系统等设备</w:t>
      </w:r>
      <w:r>
        <w:rPr>
          <w:rFonts w:ascii="Times New Roman" w:hAnsi="Times New Roman"/>
          <w:b/>
          <w:bCs/>
          <w:color w:val="auto"/>
          <w:sz w:val="40"/>
          <w:szCs w:val="40"/>
        </w:rPr>
        <w:t>）</w:t>
      </w:r>
    </w:p>
    <w:p>
      <w:pPr>
        <w:spacing w:line="360" w:lineRule="auto"/>
        <w:ind w:firstLine="964" w:firstLineChars="200"/>
        <w:jc w:val="center"/>
        <w:rPr>
          <w:rFonts w:ascii="Times New Roman" w:hAnsi="Times New Roman"/>
          <w:b/>
          <w:bCs/>
          <w:color w:val="auto"/>
          <w:sz w:val="22"/>
          <w:szCs w:val="22"/>
        </w:rPr>
      </w:pPr>
      <w:r>
        <w:rPr>
          <w:rFonts w:ascii="Times New Roman" w:hAnsi="Times New Roman"/>
          <w:b/>
          <w:bCs/>
          <w:color w:val="auto"/>
          <w:sz w:val="48"/>
          <w:szCs w:val="48"/>
        </w:rPr>
        <w:t>技术规范书（通用部分）</w:t>
      </w:r>
    </w:p>
    <w:p>
      <w:pPr>
        <w:pStyle w:val="68"/>
        <w:spacing w:line="360" w:lineRule="auto"/>
        <w:ind w:firstLine="482" w:firstLineChars="200"/>
        <w:rPr>
          <w:rFonts w:ascii="Times New Roman" w:hAnsi="Times New Roman" w:eastAsia="宋体"/>
          <w:color w:val="auto"/>
          <w:sz w:val="24"/>
        </w:rPr>
      </w:pPr>
    </w:p>
    <w:p>
      <w:pPr>
        <w:pStyle w:val="68"/>
        <w:spacing w:line="360" w:lineRule="auto"/>
        <w:ind w:firstLine="482" w:firstLineChars="200"/>
        <w:rPr>
          <w:rFonts w:ascii="Times New Roman" w:hAnsi="Times New Roman" w:eastAsia="宋体"/>
          <w:color w:val="auto"/>
          <w:sz w:val="24"/>
        </w:rPr>
      </w:pPr>
    </w:p>
    <w:p>
      <w:pPr>
        <w:pStyle w:val="68"/>
        <w:spacing w:line="360" w:lineRule="auto"/>
        <w:ind w:firstLine="482" w:firstLineChars="200"/>
        <w:rPr>
          <w:rFonts w:ascii="Times New Roman" w:hAnsi="Times New Roman" w:eastAsia="宋体"/>
          <w:color w:val="auto"/>
          <w:sz w:val="24"/>
        </w:rPr>
      </w:pPr>
    </w:p>
    <w:p>
      <w:pPr>
        <w:pStyle w:val="68"/>
        <w:spacing w:line="360" w:lineRule="auto"/>
        <w:ind w:firstLine="482" w:firstLineChars="200"/>
        <w:rPr>
          <w:rFonts w:ascii="Times New Roman" w:hAnsi="Times New Roman" w:eastAsia="宋体"/>
          <w:color w:val="auto"/>
          <w:sz w:val="24"/>
        </w:rPr>
      </w:pPr>
    </w:p>
    <w:p>
      <w:pPr>
        <w:pStyle w:val="68"/>
        <w:spacing w:line="360" w:lineRule="auto"/>
        <w:ind w:firstLine="482" w:firstLineChars="200"/>
        <w:rPr>
          <w:rFonts w:ascii="Times New Roman" w:hAnsi="Times New Roman" w:eastAsia="宋体"/>
          <w:color w:val="auto"/>
          <w:sz w:val="24"/>
        </w:rPr>
      </w:pPr>
    </w:p>
    <w:p>
      <w:pPr>
        <w:pStyle w:val="68"/>
        <w:spacing w:line="360" w:lineRule="auto"/>
        <w:jc w:val="both"/>
        <w:rPr>
          <w:rFonts w:ascii="Times New Roman" w:hAnsi="Times New Roman" w:eastAsia="宋体"/>
          <w:color w:val="auto"/>
          <w:sz w:val="24"/>
        </w:rPr>
      </w:pPr>
    </w:p>
    <w:p>
      <w:pPr>
        <w:pStyle w:val="68"/>
        <w:spacing w:line="360" w:lineRule="auto"/>
        <w:ind w:firstLine="482" w:firstLineChars="200"/>
        <w:rPr>
          <w:rFonts w:ascii="Times New Roman" w:hAnsi="Times New Roman" w:eastAsia="宋体"/>
          <w:color w:val="auto"/>
          <w:sz w:val="24"/>
        </w:rPr>
      </w:pPr>
    </w:p>
    <w:p>
      <w:pPr>
        <w:pStyle w:val="68"/>
        <w:spacing w:line="360" w:lineRule="auto"/>
        <w:ind w:firstLine="482" w:firstLineChars="200"/>
        <w:jc w:val="both"/>
        <w:rPr>
          <w:rFonts w:ascii="Times New Roman" w:hAnsi="Times New Roman" w:eastAsia="宋体"/>
          <w:color w:val="auto"/>
          <w:sz w:val="24"/>
        </w:rPr>
      </w:pPr>
    </w:p>
    <w:p>
      <w:pPr>
        <w:pStyle w:val="68"/>
        <w:spacing w:line="360" w:lineRule="auto"/>
        <w:ind w:firstLine="482" w:firstLineChars="200"/>
        <w:jc w:val="both"/>
        <w:rPr>
          <w:rFonts w:ascii="Times New Roman" w:hAnsi="Times New Roman" w:eastAsia="宋体"/>
          <w:color w:val="auto"/>
          <w:sz w:val="24"/>
        </w:rPr>
      </w:pPr>
    </w:p>
    <w:p>
      <w:pPr>
        <w:pStyle w:val="68"/>
        <w:spacing w:line="360" w:lineRule="auto"/>
        <w:ind w:firstLine="482" w:firstLineChars="200"/>
        <w:jc w:val="both"/>
        <w:rPr>
          <w:rFonts w:ascii="Times New Roman" w:hAnsi="Times New Roman" w:eastAsia="宋体"/>
          <w:color w:val="auto"/>
          <w:sz w:val="24"/>
        </w:rPr>
      </w:pPr>
    </w:p>
    <w:p>
      <w:pPr>
        <w:pStyle w:val="68"/>
        <w:spacing w:line="360" w:lineRule="auto"/>
        <w:ind w:firstLine="482" w:firstLineChars="200"/>
        <w:jc w:val="both"/>
        <w:rPr>
          <w:rFonts w:ascii="Times New Roman" w:hAnsi="Times New Roman" w:eastAsia="宋体"/>
          <w:color w:val="auto"/>
          <w:sz w:val="24"/>
        </w:rPr>
      </w:pPr>
    </w:p>
    <w:p>
      <w:pPr>
        <w:pStyle w:val="31"/>
        <w:snapToGrid w:val="0"/>
        <w:spacing w:after="0" w:line="360" w:lineRule="auto"/>
        <w:ind w:firstLine="640" w:firstLineChars="200"/>
        <w:jc w:val="center"/>
        <w:rPr>
          <w:rFonts w:hint="default" w:ascii="Times New Roman" w:hAnsi="Times New Roman"/>
          <w:color w:val="auto"/>
          <w:sz w:val="32"/>
          <w:szCs w:val="32"/>
        </w:rPr>
      </w:pPr>
      <w:r>
        <w:rPr>
          <w:rFonts w:hint="default" w:ascii="Times New Roman" w:hAnsi="Times New Roman"/>
          <w:color w:val="auto"/>
          <w:sz w:val="32"/>
          <w:szCs w:val="32"/>
        </w:rPr>
        <w:t>南方电网储能股份有限公司</w:t>
      </w:r>
    </w:p>
    <w:p>
      <w:pPr>
        <w:pStyle w:val="31"/>
        <w:snapToGrid w:val="0"/>
        <w:spacing w:after="0" w:line="360" w:lineRule="auto"/>
        <w:ind w:firstLine="640" w:firstLineChars="200"/>
        <w:jc w:val="center"/>
        <w:rPr>
          <w:rFonts w:hint="default" w:ascii="Times New Roman" w:hAnsi="Times New Roman"/>
          <w:color w:val="auto"/>
          <w:sz w:val="24"/>
          <w:szCs w:val="24"/>
        </w:rPr>
      </w:pPr>
      <w:r>
        <w:rPr>
          <w:rFonts w:hint="default" w:ascii="Times New Roman" w:hAnsi="Times New Roman"/>
          <w:color w:val="auto"/>
          <w:sz w:val="32"/>
          <w:szCs w:val="32"/>
        </w:rPr>
        <w:t>二</w:t>
      </w:r>
      <w:r>
        <w:rPr>
          <w:rFonts w:hAnsi="宋体" w:cs="宋体"/>
          <w:b/>
          <w:color w:val="auto"/>
          <w:sz w:val="32"/>
          <w:szCs w:val="32"/>
        </w:rPr>
        <w:t>○</w:t>
      </w:r>
      <w:r>
        <w:rPr>
          <w:rFonts w:hint="default" w:ascii="Times New Roman" w:hAnsi="Times New Roman"/>
          <w:color w:val="auto"/>
          <w:sz w:val="32"/>
          <w:szCs w:val="32"/>
        </w:rPr>
        <w:t>二六年</w:t>
      </w:r>
      <w:r>
        <w:rPr>
          <w:rFonts w:ascii="Times New Roman" w:hAnsi="Times New Roman"/>
          <w:color w:val="auto"/>
          <w:sz w:val="32"/>
          <w:szCs w:val="32"/>
        </w:rPr>
        <w:t>六</w:t>
      </w:r>
      <w:r>
        <w:rPr>
          <w:rFonts w:hint="default" w:ascii="Times New Roman" w:hAnsi="Times New Roman"/>
          <w:color w:val="auto"/>
          <w:sz w:val="32"/>
          <w:szCs w:val="32"/>
        </w:rPr>
        <w:t>月</w:t>
      </w:r>
    </w:p>
    <w:p>
      <w:pPr>
        <w:spacing w:line="360" w:lineRule="auto"/>
        <w:ind w:firstLine="480" w:firstLineChars="200"/>
        <w:rPr>
          <w:rFonts w:ascii="Times New Roman" w:hAnsi="Times New Roman"/>
          <w:color w:val="auto"/>
          <w:sz w:val="24"/>
          <w:szCs w:val="24"/>
        </w:rPr>
        <w:sectPr>
          <w:pgSz w:w="11906" w:h="16838"/>
          <w:pgMar w:top="1440" w:right="1080" w:bottom="1440" w:left="1080" w:header="851" w:footer="992" w:gutter="0"/>
          <w:cols w:space="425" w:num="1"/>
          <w:docGrid w:type="lines" w:linePitch="312" w:charSpace="0"/>
        </w:sectPr>
      </w:pPr>
    </w:p>
    <w:p>
      <w:pPr>
        <w:pStyle w:val="68"/>
        <w:tabs>
          <w:tab w:val="left" w:pos="540"/>
          <w:tab w:val="center" w:pos="3663"/>
        </w:tabs>
        <w:spacing w:line="360" w:lineRule="auto"/>
        <w:ind w:firstLine="643" w:firstLineChars="200"/>
        <w:rPr>
          <w:rFonts w:ascii="Times New Roman" w:hAnsi="Times New Roman" w:eastAsia="宋体"/>
          <w:color w:val="auto"/>
          <w:sz w:val="32"/>
          <w:szCs w:val="32"/>
        </w:rPr>
      </w:pPr>
      <w:r>
        <w:rPr>
          <w:rFonts w:ascii="Times New Roman" w:hAnsi="Times New Roman" w:eastAsia="宋体"/>
          <w:color w:val="auto"/>
          <w:sz w:val="32"/>
          <w:szCs w:val="32"/>
        </w:rPr>
        <w:t>目　录</w:t>
      </w:r>
    </w:p>
    <w:p>
      <w:pPr>
        <w:pStyle w:val="39"/>
        <w:tabs>
          <w:tab w:val="right" w:leader="dot" w:pos="8660"/>
        </w:tabs>
        <w:rPr>
          <w:color w:val="auto"/>
        </w:rPr>
      </w:pPr>
      <w:r>
        <w:rPr>
          <w:rFonts w:ascii="Times New Roman" w:hAnsi="Times New Roman"/>
          <w:color w:val="auto"/>
          <w:sz w:val="28"/>
          <w:szCs w:val="28"/>
        </w:rPr>
        <w:fldChar w:fldCharType="begin"/>
      </w:r>
      <w:r>
        <w:rPr>
          <w:rFonts w:ascii="Times New Roman" w:hAnsi="Times New Roman"/>
          <w:color w:val="auto"/>
          <w:sz w:val="28"/>
          <w:szCs w:val="28"/>
        </w:rPr>
        <w:instrText xml:space="preserve"> TOC \o "1-2" \h \z \u </w:instrText>
      </w:r>
      <w:r>
        <w:rPr>
          <w:rFonts w:ascii="Times New Roman" w:hAnsi="Times New Roman"/>
          <w:color w:val="auto"/>
          <w:sz w:val="28"/>
          <w:szCs w:val="28"/>
        </w:rPr>
        <w:fldChar w:fldCharType="separate"/>
      </w:r>
      <w:r>
        <w:rPr>
          <w:rFonts w:ascii="Times New Roman" w:hAnsi="Times New Roman"/>
          <w:color w:val="auto"/>
          <w:szCs w:val="28"/>
        </w:rPr>
        <w:fldChar w:fldCharType="begin"/>
      </w:r>
      <w:r>
        <w:rPr>
          <w:rFonts w:ascii="Times New Roman" w:hAnsi="Times New Roman"/>
          <w:color w:val="auto"/>
          <w:szCs w:val="28"/>
        </w:rPr>
        <w:instrText xml:space="preserve"> HYPERLINK \l _Toc25110 </w:instrText>
      </w:r>
      <w:r>
        <w:rPr>
          <w:rFonts w:ascii="Times New Roman" w:hAnsi="Times New Roman"/>
          <w:color w:val="auto"/>
          <w:szCs w:val="28"/>
        </w:rPr>
        <w:fldChar w:fldCharType="separate"/>
      </w:r>
      <w:r>
        <w:rPr>
          <w:rFonts w:ascii="Times New Roman" w:hAnsi="Times New Roman"/>
          <w:color w:val="auto"/>
          <w:szCs w:val="24"/>
        </w:rPr>
        <w:t>1 总则</w:t>
      </w:r>
      <w:r>
        <w:rPr>
          <w:color w:val="auto"/>
        </w:rPr>
        <w:tab/>
      </w:r>
      <w:r>
        <w:rPr>
          <w:color w:val="auto"/>
        </w:rPr>
        <w:fldChar w:fldCharType="begin"/>
      </w:r>
      <w:r>
        <w:rPr>
          <w:color w:val="auto"/>
        </w:rPr>
        <w:instrText xml:space="preserve"> PAGEREF _Toc25110 \h </w:instrText>
      </w:r>
      <w:r>
        <w:rPr>
          <w:color w:val="auto"/>
        </w:rPr>
        <w:fldChar w:fldCharType="separate"/>
      </w:r>
      <w:r>
        <w:rPr>
          <w:color w:val="auto"/>
        </w:rPr>
        <w:t>1</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_Toc8359 </w:instrText>
      </w:r>
      <w:r>
        <w:rPr>
          <w:rFonts w:ascii="Times New Roman" w:hAnsi="Times New Roman"/>
          <w:color w:val="auto"/>
          <w:szCs w:val="28"/>
        </w:rPr>
        <w:fldChar w:fldCharType="separate"/>
      </w:r>
      <w:r>
        <w:rPr>
          <w:rFonts w:ascii="Times New Roman" w:hAnsi="Times New Roman"/>
          <w:color w:val="auto"/>
          <w:szCs w:val="24"/>
        </w:rPr>
        <w:t>2 工作范围</w:t>
      </w:r>
      <w:r>
        <w:rPr>
          <w:color w:val="auto"/>
        </w:rPr>
        <w:tab/>
      </w:r>
      <w:r>
        <w:rPr>
          <w:color w:val="auto"/>
        </w:rPr>
        <w:fldChar w:fldCharType="begin"/>
      </w:r>
      <w:r>
        <w:rPr>
          <w:color w:val="auto"/>
        </w:rPr>
        <w:instrText xml:space="preserve"> PAGEREF _Toc8359 \h </w:instrText>
      </w:r>
      <w:r>
        <w:rPr>
          <w:color w:val="auto"/>
        </w:rPr>
        <w:fldChar w:fldCharType="separate"/>
      </w:r>
      <w:r>
        <w:rPr>
          <w:color w:val="auto"/>
        </w:rPr>
        <w:t>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_Toc5386 </w:instrText>
      </w:r>
      <w:r>
        <w:rPr>
          <w:rFonts w:ascii="Times New Roman" w:hAnsi="Times New Roman"/>
          <w:color w:val="auto"/>
          <w:szCs w:val="28"/>
        </w:rPr>
        <w:fldChar w:fldCharType="separate"/>
      </w:r>
      <w:r>
        <w:rPr>
          <w:rFonts w:ascii="Times New Roman" w:hAnsi="Times New Roman"/>
          <w:bCs/>
          <w:color w:val="auto"/>
          <w:szCs w:val="24"/>
        </w:rPr>
        <w:t>2.1 工程概况</w:t>
      </w:r>
      <w:r>
        <w:rPr>
          <w:color w:val="auto"/>
        </w:rPr>
        <w:tab/>
      </w:r>
      <w:r>
        <w:rPr>
          <w:color w:val="auto"/>
        </w:rPr>
        <w:fldChar w:fldCharType="begin"/>
      </w:r>
      <w:r>
        <w:rPr>
          <w:color w:val="auto"/>
        </w:rPr>
        <w:instrText xml:space="preserve"> PAGEREF _Toc5386 \h </w:instrText>
      </w:r>
      <w:r>
        <w:rPr>
          <w:color w:val="auto"/>
        </w:rPr>
        <w:fldChar w:fldCharType="separate"/>
      </w:r>
      <w:r>
        <w:rPr>
          <w:color w:val="auto"/>
        </w:rPr>
        <w:t>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_Toc7949 </w:instrText>
      </w:r>
      <w:r>
        <w:rPr>
          <w:rFonts w:ascii="Times New Roman" w:hAnsi="Times New Roman"/>
          <w:color w:val="auto"/>
          <w:szCs w:val="28"/>
        </w:rPr>
        <w:fldChar w:fldCharType="separate"/>
      </w:r>
      <w:r>
        <w:rPr>
          <w:rFonts w:ascii="Times New Roman" w:hAnsi="Times New Roman"/>
          <w:bCs/>
          <w:color w:val="auto"/>
          <w:szCs w:val="24"/>
        </w:rPr>
        <w:t>2.2 项目范围</w:t>
      </w:r>
      <w:r>
        <w:rPr>
          <w:color w:val="auto"/>
        </w:rPr>
        <w:tab/>
      </w:r>
      <w:r>
        <w:rPr>
          <w:color w:val="auto"/>
        </w:rPr>
        <w:fldChar w:fldCharType="begin"/>
      </w:r>
      <w:r>
        <w:rPr>
          <w:color w:val="auto"/>
        </w:rPr>
        <w:instrText xml:space="preserve"> PAGEREF _Toc7949 \h </w:instrText>
      </w:r>
      <w:r>
        <w:rPr>
          <w:color w:val="auto"/>
        </w:rPr>
        <w:fldChar w:fldCharType="separate"/>
      </w:r>
      <w:r>
        <w:rPr>
          <w:color w:val="auto"/>
        </w:rPr>
        <w:t>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_Toc9524 </w:instrText>
      </w:r>
      <w:r>
        <w:rPr>
          <w:rFonts w:ascii="Times New Roman" w:hAnsi="Times New Roman"/>
          <w:color w:val="auto"/>
          <w:szCs w:val="28"/>
        </w:rPr>
        <w:fldChar w:fldCharType="separate"/>
      </w:r>
      <w:r>
        <w:rPr>
          <w:rFonts w:ascii="Times New Roman" w:hAnsi="Times New Roman"/>
          <w:bCs/>
          <w:color w:val="auto"/>
          <w:szCs w:val="24"/>
        </w:rPr>
        <w:t>2.3 招标方与投标方职责</w:t>
      </w:r>
      <w:r>
        <w:rPr>
          <w:color w:val="auto"/>
        </w:rPr>
        <w:tab/>
      </w:r>
      <w:r>
        <w:rPr>
          <w:color w:val="auto"/>
        </w:rPr>
        <w:fldChar w:fldCharType="begin"/>
      </w:r>
      <w:r>
        <w:rPr>
          <w:color w:val="auto"/>
        </w:rPr>
        <w:instrText xml:space="preserve"> PAGEREF _Toc9524 \h </w:instrText>
      </w:r>
      <w:r>
        <w:rPr>
          <w:color w:val="auto"/>
        </w:rPr>
        <w:fldChar w:fldCharType="separate"/>
      </w:r>
      <w:r>
        <w:rPr>
          <w:color w:val="auto"/>
        </w:rPr>
        <w:t>4</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_Toc22814 </w:instrText>
      </w:r>
      <w:r>
        <w:rPr>
          <w:rFonts w:ascii="Times New Roman" w:hAnsi="Times New Roman"/>
          <w:color w:val="auto"/>
          <w:szCs w:val="28"/>
        </w:rPr>
        <w:fldChar w:fldCharType="separate"/>
      </w:r>
      <w:r>
        <w:rPr>
          <w:rFonts w:ascii="Times New Roman" w:hAnsi="Times New Roman"/>
          <w:color w:val="auto"/>
          <w:szCs w:val="24"/>
        </w:rPr>
        <w:t>3 应遵循的主要标准</w:t>
      </w:r>
      <w:r>
        <w:rPr>
          <w:color w:val="auto"/>
        </w:rPr>
        <w:tab/>
      </w:r>
      <w:r>
        <w:rPr>
          <w:color w:val="auto"/>
        </w:rPr>
        <w:fldChar w:fldCharType="begin"/>
      </w:r>
      <w:r>
        <w:rPr>
          <w:color w:val="auto"/>
        </w:rPr>
        <w:instrText xml:space="preserve"> PAGEREF _Toc22814 \h </w:instrText>
      </w:r>
      <w:r>
        <w:rPr>
          <w:color w:val="auto"/>
        </w:rPr>
        <w:fldChar w:fldCharType="separate"/>
      </w:r>
      <w:r>
        <w:rPr>
          <w:color w:val="auto"/>
        </w:rPr>
        <w:t>5</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_Toc4462 </w:instrText>
      </w:r>
      <w:r>
        <w:rPr>
          <w:rFonts w:ascii="Times New Roman" w:hAnsi="Times New Roman"/>
          <w:color w:val="auto"/>
          <w:szCs w:val="28"/>
        </w:rPr>
        <w:fldChar w:fldCharType="separate"/>
      </w:r>
      <w:r>
        <w:rPr>
          <w:rFonts w:ascii="Times New Roman" w:hAnsi="Times New Roman"/>
          <w:bCs/>
          <w:color w:val="auto"/>
          <w:szCs w:val="24"/>
        </w:rPr>
        <w:t>3.1 总体要求</w:t>
      </w:r>
      <w:r>
        <w:rPr>
          <w:color w:val="auto"/>
        </w:rPr>
        <w:tab/>
      </w:r>
      <w:r>
        <w:rPr>
          <w:color w:val="auto"/>
        </w:rPr>
        <w:fldChar w:fldCharType="begin"/>
      </w:r>
      <w:r>
        <w:rPr>
          <w:color w:val="auto"/>
        </w:rPr>
        <w:instrText xml:space="preserve"> PAGEREF _Toc4462 \h </w:instrText>
      </w:r>
      <w:r>
        <w:rPr>
          <w:color w:val="auto"/>
        </w:rPr>
        <w:fldChar w:fldCharType="separate"/>
      </w:r>
      <w:r>
        <w:rPr>
          <w:color w:val="auto"/>
        </w:rPr>
        <w:t>5</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_Toc14015 </w:instrText>
      </w:r>
      <w:r>
        <w:rPr>
          <w:rFonts w:ascii="Times New Roman" w:hAnsi="Times New Roman"/>
          <w:color w:val="auto"/>
          <w:szCs w:val="28"/>
        </w:rPr>
        <w:fldChar w:fldCharType="separate"/>
      </w:r>
      <w:r>
        <w:rPr>
          <w:rFonts w:ascii="Times New Roman" w:hAnsi="Times New Roman"/>
          <w:bCs/>
          <w:color w:val="auto"/>
          <w:szCs w:val="24"/>
        </w:rPr>
        <w:t>3.2 应遵循的主要标准</w:t>
      </w:r>
      <w:r>
        <w:rPr>
          <w:color w:val="auto"/>
        </w:rPr>
        <w:tab/>
      </w:r>
      <w:r>
        <w:rPr>
          <w:color w:val="auto"/>
        </w:rPr>
        <w:fldChar w:fldCharType="begin"/>
      </w:r>
      <w:r>
        <w:rPr>
          <w:color w:val="auto"/>
        </w:rPr>
        <w:instrText xml:space="preserve"> PAGEREF _Toc14015 \h </w:instrText>
      </w:r>
      <w:r>
        <w:rPr>
          <w:color w:val="auto"/>
        </w:rPr>
        <w:fldChar w:fldCharType="separate"/>
      </w:r>
      <w:r>
        <w:rPr>
          <w:color w:val="auto"/>
        </w:rPr>
        <w:t>6</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_Toc15547 </w:instrText>
      </w:r>
      <w:r>
        <w:rPr>
          <w:rFonts w:ascii="Times New Roman" w:hAnsi="Times New Roman"/>
          <w:color w:val="auto"/>
          <w:szCs w:val="28"/>
        </w:rPr>
        <w:fldChar w:fldCharType="separate"/>
      </w:r>
      <w:r>
        <w:rPr>
          <w:rFonts w:ascii="Times New Roman" w:hAnsi="Times New Roman"/>
          <w:color w:val="auto"/>
          <w:szCs w:val="24"/>
        </w:rPr>
        <w:t>4 设备到货计划</w:t>
      </w:r>
      <w:r>
        <w:rPr>
          <w:color w:val="auto"/>
        </w:rPr>
        <w:tab/>
      </w:r>
      <w:r>
        <w:rPr>
          <w:color w:val="auto"/>
        </w:rPr>
        <w:fldChar w:fldCharType="begin"/>
      </w:r>
      <w:r>
        <w:rPr>
          <w:color w:val="auto"/>
        </w:rPr>
        <w:instrText xml:space="preserve"> PAGEREF _Toc15547 \h </w:instrText>
      </w:r>
      <w:r>
        <w:rPr>
          <w:color w:val="auto"/>
        </w:rPr>
        <w:fldChar w:fldCharType="separate"/>
      </w:r>
      <w:r>
        <w:rPr>
          <w:color w:val="auto"/>
        </w:rPr>
        <w:t>8</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_Toc26346 </w:instrText>
      </w:r>
      <w:r>
        <w:rPr>
          <w:rFonts w:ascii="Times New Roman" w:hAnsi="Times New Roman"/>
          <w:color w:val="auto"/>
          <w:szCs w:val="28"/>
        </w:rPr>
        <w:fldChar w:fldCharType="separate"/>
      </w:r>
      <w:r>
        <w:rPr>
          <w:rFonts w:ascii="Times New Roman" w:hAnsi="Times New Roman"/>
          <w:color w:val="auto"/>
          <w:szCs w:val="24"/>
        </w:rPr>
        <w:t>5 使用条件</w:t>
      </w:r>
      <w:r>
        <w:rPr>
          <w:color w:val="auto"/>
        </w:rPr>
        <w:tab/>
      </w:r>
      <w:r>
        <w:rPr>
          <w:color w:val="auto"/>
        </w:rPr>
        <w:fldChar w:fldCharType="begin"/>
      </w:r>
      <w:r>
        <w:rPr>
          <w:color w:val="auto"/>
        </w:rPr>
        <w:instrText xml:space="preserve"> PAGEREF _Toc26346 \h </w:instrText>
      </w:r>
      <w:r>
        <w:rPr>
          <w:color w:val="auto"/>
        </w:rPr>
        <w:fldChar w:fldCharType="separate"/>
      </w:r>
      <w:r>
        <w:rPr>
          <w:color w:val="auto"/>
        </w:rPr>
        <w:t>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_Toc6690 </w:instrText>
      </w:r>
      <w:r>
        <w:rPr>
          <w:rFonts w:ascii="Times New Roman" w:hAnsi="Times New Roman"/>
          <w:color w:val="auto"/>
          <w:szCs w:val="28"/>
        </w:rPr>
        <w:fldChar w:fldCharType="separate"/>
      </w:r>
      <w:r>
        <w:rPr>
          <w:rFonts w:ascii="Times New Roman" w:hAnsi="Times New Roman"/>
          <w:bCs/>
          <w:color w:val="auto"/>
          <w:szCs w:val="24"/>
        </w:rPr>
        <w:t>5.1 正常使用条件</w:t>
      </w:r>
      <w:r>
        <w:rPr>
          <w:color w:val="auto"/>
        </w:rPr>
        <w:tab/>
      </w:r>
      <w:r>
        <w:rPr>
          <w:color w:val="auto"/>
        </w:rPr>
        <w:fldChar w:fldCharType="begin"/>
      </w:r>
      <w:r>
        <w:rPr>
          <w:color w:val="auto"/>
        </w:rPr>
        <w:instrText xml:space="preserve"> PAGEREF _Toc6690 \h </w:instrText>
      </w:r>
      <w:r>
        <w:rPr>
          <w:color w:val="auto"/>
        </w:rPr>
        <w:fldChar w:fldCharType="separate"/>
      </w:r>
      <w:r>
        <w:rPr>
          <w:color w:val="auto"/>
        </w:rPr>
        <w:t>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_Toc30878 </w:instrText>
      </w:r>
      <w:r>
        <w:rPr>
          <w:rFonts w:ascii="Times New Roman" w:hAnsi="Times New Roman"/>
          <w:color w:val="auto"/>
          <w:szCs w:val="28"/>
        </w:rPr>
        <w:fldChar w:fldCharType="separate"/>
      </w:r>
      <w:r>
        <w:rPr>
          <w:rFonts w:ascii="Times New Roman" w:hAnsi="Times New Roman"/>
          <w:bCs/>
          <w:color w:val="auto"/>
          <w:szCs w:val="24"/>
        </w:rPr>
        <w:t>5.2 特殊使用条件要求</w:t>
      </w:r>
      <w:r>
        <w:rPr>
          <w:color w:val="auto"/>
        </w:rPr>
        <w:tab/>
      </w:r>
      <w:r>
        <w:rPr>
          <w:color w:val="auto"/>
        </w:rPr>
        <w:fldChar w:fldCharType="begin"/>
      </w:r>
      <w:r>
        <w:rPr>
          <w:color w:val="auto"/>
        </w:rPr>
        <w:instrText xml:space="preserve"> PAGEREF _Toc30878 \h </w:instrText>
      </w:r>
      <w:r>
        <w:rPr>
          <w:color w:val="auto"/>
        </w:rPr>
        <w:fldChar w:fldCharType="separate"/>
      </w:r>
      <w:r>
        <w:rPr>
          <w:color w:val="auto"/>
        </w:rPr>
        <w:t>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_Toc3188 </w:instrText>
      </w:r>
      <w:r>
        <w:rPr>
          <w:rFonts w:ascii="Times New Roman" w:hAnsi="Times New Roman"/>
          <w:color w:val="auto"/>
          <w:szCs w:val="28"/>
        </w:rPr>
        <w:fldChar w:fldCharType="separate"/>
      </w:r>
      <w:r>
        <w:rPr>
          <w:rFonts w:ascii="Times New Roman" w:hAnsi="Times New Roman"/>
          <w:bCs/>
          <w:color w:val="auto"/>
          <w:szCs w:val="24"/>
        </w:rPr>
        <w:t>5.3 系统条件要求</w:t>
      </w:r>
      <w:r>
        <w:rPr>
          <w:color w:val="auto"/>
        </w:rPr>
        <w:tab/>
      </w:r>
      <w:r>
        <w:rPr>
          <w:color w:val="auto"/>
        </w:rPr>
        <w:fldChar w:fldCharType="begin"/>
      </w:r>
      <w:r>
        <w:rPr>
          <w:color w:val="auto"/>
        </w:rPr>
        <w:instrText xml:space="preserve"> PAGEREF _Toc3188 \h </w:instrText>
      </w:r>
      <w:r>
        <w:rPr>
          <w:color w:val="auto"/>
        </w:rPr>
        <w:fldChar w:fldCharType="separate"/>
      </w:r>
      <w:r>
        <w:rPr>
          <w:color w:val="auto"/>
        </w:rPr>
        <w:t>9</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_Toc15366 </w:instrText>
      </w:r>
      <w:r>
        <w:rPr>
          <w:rFonts w:ascii="Times New Roman" w:hAnsi="Times New Roman"/>
          <w:color w:val="auto"/>
          <w:szCs w:val="28"/>
        </w:rPr>
        <w:fldChar w:fldCharType="separate"/>
      </w:r>
      <w:r>
        <w:rPr>
          <w:rFonts w:ascii="Times New Roman" w:hAnsi="Times New Roman"/>
          <w:bCs/>
          <w:color w:val="auto"/>
          <w:szCs w:val="24"/>
        </w:rPr>
        <w:t>5.4 产品对环境的影响</w:t>
      </w:r>
      <w:r>
        <w:rPr>
          <w:color w:val="auto"/>
        </w:rPr>
        <w:tab/>
      </w:r>
      <w:r>
        <w:rPr>
          <w:color w:val="auto"/>
        </w:rPr>
        <w:fldChar w:fldCharType="begin"/>
      </w:r>
      <w:r>
        <w:rPr>
          <w:color w:val="auto"/>
        </w:rPr>
        <w:instrText xml:space="preserve"> PAGEREF _Toc15366 \h </w:instrText>
      </w:r>
      <w:r>
        <w:rPr>
          <w:color w:val="auto"/>
        </w:rPr>
        <w:fldChar w:fldCharType="separate"/>
      </w:r>
      <w:r>
        <w:rPr>
          <w:color w:val="auto"/>
        </w:rPr>
        <w:t>9</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_Toc16708 </w:instrText>
      </w:r>
      <w:r>
        <w:rPr>
          <w:rFonts w:ascii="Times New Roman" w:hAnsi="Times New Roman"/>
          <w:color w:val="auto"/>
          <w:szCs w:val="28"/>
        </w:rPr>
        <w:fldChar w:fldCharType="separate"/>
      </w:r>
      <w:r>
        <w:rPr>
          <w:rFonts w:ascii="Times New Roman" w:hAnsi="Times New Roman"/>
          <w:color w:val="auto"/>
          <w:szCs w:val="24"/>
        </w:rPr>
        <w:t>6 通信系统技术要求</w:t>
      </w:r>
      <w:r>
        <w:rPr>
          <w:color w:val="auto"/>
        </w:rPr>
        <w:tab/>
      </w:r>
      <w:r>
        <w:rPr>
          <w:color w:val="auto"/>
        </w:rPr>
        <w:fldChar w:fldCharType="begin"/>
      </w:r>
      <w:r>
        <w:rPr>
          <w:color w:val="auto"/>
        </w:rPr>
        <w:instrText xml:space="preserve"> PAGEREF _Toc16708 \h </w:instrText>
      </w:r>
      <w:r>
        <w:rPr>
          <w:color w:val="auto"/>
        </w:rPr>
        <w:fldChar w:fldCharType="separate"/>
      </w:r>
      <w:r>
        <w:rPr>
          <w:color w:val="auto"/>
        </w:rPr>
        <w:t>9</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_Toc13850 </w:instrText>
      </w:r>
      <w:r>
        <w:rPr>
          <w:rFonts w:ascii="Times New Roman" w:hAnsi="Times New Roman"/>
          <w:color w:val="auto"/>
          <w:szCs w:val="28"/>
        </w:rPr>
        <w:fldChar w:fldCharType="separate"/>
      </w:r>
      <w:r>
        <w:rPr>
          <w:rFonts w:ascii="Times New Roman" w:hAnsi="Times New Roman"/>
          <w:bCs/>
          <w:color w:val="auto"/>
          <w:szCs w:val="24"/>
        </w:rPr>
        <w:t>6.1 通信系统总体设计方案</w:t>
      </w:r>
      <w:r>
        <w:rPr>
          <w:color w:val="auto"/>
        </w:rPr>
        <w:tab/>
      </w:r>
      <w:r>
        <w:rPr>
          <w:color w:val="auto"/>
        </w:rPr>
        <w:fldChar w:fldCharType="begin"/>
      </w:r>
      <w:r>
        <w:rPr>
          <w:color w:val="auto"/>
        </w:rPr>
        <w:instrText xml:space="preserve"> PAGEREF _Toc13850 \h </w:instrText>
      </w:r>
      <w:r>
        <w:rPr>
          <w:color w:val="auto"/>
        </w:rPr>
        <w:fldChar w:fldCharType="separate"/>
      </w:r>
      <w:r>
        <w:rPr>
          <w:color w:val="auto"/>
        </w:rPr>
        <w:t>9</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_Toc18585 </w:instrText>
      </w:r>
      <w:r>
        <w:rPr>
          <w:rFonts w:ascii="Times New Roman" w:hAnsi="Times New Roman"/>
          <w:color w:val="auto"/>
          <w:szCs w:val="28"/>
        </w:rPr>
        <w:fldChar w:fldCharType="separate"/>
      </w:r>
      <w:r>
        <w:rPr>
          <w:rFonts w:ascii="Times New Roman" w:hAnsi="Times New Roman"/>
          <w:bCs/>
          <w:color w:val="auto"/>
          <w:szCs w:val="24"/>
        </w:rPr>
        <w:t>6.2 语音交换设备</w:t>
      </w:r>
      <w:r>
        <w:rPr>
          <w:color w:val="auto"/>
        </w:rPr>
        <w:tab/>
      </w:r>
      <w:r>
        <w:rPr>
          <w:color w:val="auto"/>
        </w:rPr>
        <w:fldChar w:fldCharType="begin"/>
      </w:r>
      <w:r>
        <w:rPr>
          <w:color w:val="auto"/>
        </w:rPr>
        <w:instrText xml:space="preserve"> PAGEREF _Toc18585 \h </w:instrText>
      </w:r>
      <w:r>
        <w:rPr>
          <w:color w:val="auto"/>
        </w:rPr>
        <w:fldChar w:fldCharType="separate"/>
      </w:r>
      <w:r>
        <w:rPr>
          <w:color w:val="auto"/>
        </w:rPr>
        <w:t>10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_Toc521 </w:instrText>
      </w:r>
      <w:r>
        <w:rPr>
          <w:rFonts w:ascii="Times New Roman" w:hAnsi="Times New Roman"/>
          <w:color w:val="auto"/>
          <w:szCs w:val="28"/>
        </w:rPr>
        <w:fldChar w:fldCharType="separate"/>
      </w:r>
      <w:r>
        <w:rPr>
          <w:rFonts w:ascii="Times New Roman" w:hAnsi="Times New Roman"/>
          <w:bCs/>
          <w:color w:val="auto"/>
          <w:szCs w:val="24"/>
        </w:rPr>
        <w:t>6.3 应急通信设备</w:t>
      </w:r>
      <w:r>
        <w:rPr>
          <w:color w:val="auto"/>
        </w:rPr>
        <w:tab/>
      </w:r>
      <w:r>
        <w:rPr>
          <w:color w:val="auto"/>
        </w:rPr>
        <w:fldChar w:fldCharType="begin"/>
      </w:r>
      <w:r>
        <w:rPr>
          <w:color w:val="auto"/>
        </w:rPr>
        <w:instrText xml:space="preserve"> PAGEREF _Toc521 \h </w:instrText>
      </w:r>
      <w:r>
        <w:rPr>
          <w:color w:val="auto"/>
        </w:rPr>
        <w:fldChar w:fldCharType="separate"/>
      </w:r>
      <w:r>
        <w:rPr>
          <w:color w:val="auto"/>
        </w:rPr>
        <w:t>32</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_Toc30493 </w:instrText>
      </w:r>
      <w:r>
        <w:rPr>
          <w:rFonts w:ascii="Times New Roman" w:hAnsi="Times New Roman"/>
          <w:color w:val="auto"/>
          <w:szCs w:val="28"/>
        </w:rPr>
        <w:fldChar w:fldCharType="separate"/>
      </w:r>
      <w:r>
        <w:rPr>
          <w:rFonts w:ascii="Times New Roman" w:hAnsi="Times New Roman"/>
          <w:bCs/>
          <w:color w:val="auto"/>
          <w:szCs w:val="24"/>
        </w:rPr>
        <w:t>6.4 电厂信通仪器仪表设备</w:t>
      </w:r>
      <w:r>
        <w:rPr>
          <w:color w:val="auto"/>
        </w:rPr>
        <w:tab/>
      </w:r>
      <w:r>
        <w:rPr>
          <w:color w:val="auto"/>
        </w:rPr>
        <w:fldChar w:fldCharType="begin"/>
      </w:r>
      <w:r>
        <w:rPr>
          <w:color w:val="auto"/>
        </w:rPr>
        <w:instrText xml:space="preserve"> PAGEREF _Toc30493 \h </w:instrText>
      </w:r>
      <w:r>
        <w:rPr>
          <w:color w:val="auto"/>
        </w:rPr>
        <w:fldChar w:fldCharType="separate"/>
      </w:r>
      <w:r>
        <w:rPr>
          <w:color w:val="auto"/>
        </w:rPr>
        <w:t>39</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_Toc5930 </w:instrText>
      </w:r>
      <w:r>
        <w:rPr>
          <w:rFonts w:ascii="Times New Roman" w:hAnsi="Times New Roman"/>
          <w:color w:val="auto"/>
          <w:szCs w:val="28"/>
        </w:rPr>
        <w:fldChar w:fldCharType="separate"/>
      </w:r>
      <w:r>
        <w:rPr>
          <w:rFonts w:ascii="Times New Roman" w:hAnsi="Times New Roman"/>
          <w:color w:val="auto"/>
          <w:szCs w:val="24"/>
        </w:rPr>
        <w:t>7 网络安全防护系统设备技术要求</w:t>
      </w:r>
      <w:r>
        <w:rPr>
          <w:color w:val="auto"/>
        </w:rPr>
        <w:tab/>
      </w:r>
      <w:r>
        <w:rPr>
          <w:color w:val="auto"/>
        </w:rPr>
        <w:fldChar w:fldCharType="begin"/>
      </w:r>
      <w:r>
        <w:rPr>
          <w:color w:val="auto"/>
        </w:rPr>
        <w:instrText xml:space="preserve"> PAGEREF _Toc5930 \h </w:instrText>
      </w:r>
      <w:r>
        <w:rPr>
          <w:color w:val="auto"/>
        </w:rPr>
        <w:fldChar w:fldCharType="separate"/>
      </w:r>
      <w:r>
        <w:rPr>
          <w:color w:val="auto"/>
        </w:rPr>
        <w:t>41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_Toc20181 </w:instrText>
      </w:r>
      <w:r>
        <w:rPr>
          <w:rFonts w:ascii="Times New Roman" w:hAnsi="Times New Roman"/>
          <w:color w:val="auto"/>
          <w:szCs w:val="28"/>
        </w:rPr>
        <w:fldChar w:fldCharType="separate"/>
      </w:r>
      <w:r>
        <w:rPr>
          <w:rFonts w:ascii="Times New Roman" w:hAnsi="Times New Roman"/>
          <w:bCs/>
          <w:color w:val="auto"/>
          <w:szCs w:val="24"/>
        </w:rPr>
        <w:t>7.1 整体要求</w:t>
      </w:r>
      <w:r>
        <w:rPr>
          <w:color w:val="auto"/>
        </w:rPr>
        <w:tab/>
      </w:r>
      <w:r>
        <w:rPr>
          <w:color w:val="auto"/>
        </w:rPr>
        <w:fldChar w:fldCharType="begin"/>
      </w:r>
      <w:r>
        <w:rPr>
          <w:color w:val="auto"/>
        </w:rPr>
        <w:instrText xml:space="preserve"> PAGEREF _Toc20181 \h </w:instrText>
      </w:r>
      <w:r>
        <w:rPr>
          <w:color w:val="auto"/>
        </w:rPr>
        <w:fldChar w:fldCharType="separate"/>
      </w:r>
      <w:r>
        <w:rPr>
          <w:color w:val="auto"/>
        </w:rPr>
        <w:t>41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_Toc24396 </w:instrText>
      </w:r>
      <w:r>
        <w:rPr>
          <w:rFonts w:ascii="Times New Roman" w:hAnsi="Times New Roman"/>
          <w:color w:val="auto"/>
          <w:szCs w:val="28"/>
        </w:rPr>
        <w:fldChar w:fldCharType="separate"/>
      </w:r>
      <w:r>
        <w:rPr>
          <w:rFonts w:ascii="Times New Roman" w:hAnsi="Times New Roman"/>
          <w:bCs/>
          <w:color w:val="auto"/>
          <w:szCs w:val="24"/>
        </w:rPr>
        <w:t>7.2 防病毒服务器</w:t>
      </w:r>
      <w:r>
        <w:rPr>
          <w:color w:val="auto"/>
        </w:rPr>
        <w:tab/>
      </w:r>
      <w:r>
        <w:rPr>
          <w:color w:val="auto"/>
        </w:rPr>
        <w:fldChar w:fldCharType="begin"/>
      </w:r>
      <w:r>
        <w:rPr>
          <w:color w:val="auto"/>
        </w:rPr>
        <w:instrText xml:space="preserve"> PAGEREF _Toc24396 \h </w:instrText>
      </w:r>
      <w:r>
        <w:rPr>
          <w:color w:val="auto"/>
        </w:rPr>
        <w:fldChar w:fldCharType="separate"/>
      </w:r>
      <w:r>
        <w:rPr>
          <w:color w:val="auto"/>
        </w:rPr>
        <w:t>41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_Toc19121 </w:instrText>
      </w:r>
      <w:r>
        <w:rPr>
          <w:rFonts w:ascii="Times New Roman" w:hAnsi="Times New Roman"/>
          <w:color w:val="auto"/>
          <w:szCs w:val="28"/>
        </w:rPr>
        <w:fldChar w:fldCharType="separate"/>
      </w:r>
      <w:r>
        <w:rPr>
          <w:rFonts w:ascii="Times New Roman" w:hAnsi="Times New Roman"/>
          <w:bCs/>
          <w:color w:val="auto"/>
          <w:szCs w:val="24"/>
        </w:rPr>
        <w:t>7.3 流量回溯分析装置</w:t>
      </w:r>
      <w:r>
        <w:rPr>
          <w:color w:val="auto"/>
        </w:rPr>
        <w:tab/>
      </w:r>
      <w:r>
        <w:rPr>
          <w:color w:val="auto"/>
        </w:rPr>
        <w:fldChar w:fldCharType="begin"/>
      </w:r>
      <w:r>
        <w:rPr>
          <w:color w:val="auto"/>
        </w:rPr>
        <w:instrText xml:space="preserve"> PAGEREF _Toc19121 \h </w:instrText>
      </w:r>
      <w:r>
        <w:rPr>
          <w:color w:val="auto"/>
        </w:rPr>
        <w:fldChar w:fldCharType="separate"/>
      </w:r>
      <w:r>
        <w:rPr>
          <w:color w:val="auto"/>
        </w:rPr>
        <w:t>43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_Toc10388 </w:instrText>
      </w:r>
      <w:r>
        <w:rPr>
          <w:rFonts w:ascii="Times New Roman" w:hAnsi="Times New Roman"/>
          <w:color w:val="auto"/>
          <w:szCs w:val="28"/>
        </w:rPr>
        <w:fldChar w:fldCharType="separate"/>
      </w:r>
      <w:r>
        <w:rPr>
          <w:rFonts w:ascii="Times New Roman" w:hAnsi="Times New Roman"/>
          <w:bCs/>
          <w:color w:val="auto"/>
          <w:szCs w:val="24"/>
        </w:rPr>
        <w:t>7.4 入侵防御装置</w:t>
      </w:r>
      <w:r>
        <w:rPr>
          <w:color w:val="auto"/>
        </w:rPr>
        <w:tab/>
      </w:r>
      <w:r>
        <w:rPr>
          <w:color w:val="auto"/>
        </w:rPr>
        <w:fldChar w:fldCharType="begin"/>
      </w:r>
      <w:r>
        <w:rPr>
          <w:color w:val="auto"/>
        </w:rPr>
        <w:instrText xml:space="preserve"> PAGEREF _Toc10388 \h </w:instrText>
      </w:r>
      <w:r>
        <w:rPr>
          <w:color w:val="auto"/>
        </w:rPr>
        <w:fldChar w:fldCharType="separate"/>
      </w:r>
      <w:r>
        <w:rPr>
          <w:color w:val="auto"/>
        </w:rPr>
        <w:t>47</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_Toc2924 </w:instrText>
      </w:r>
      <w:r>
        <w:rPr>
          <w:rFonts w:ascii="Times New Roman" w:hAnsi="Times New Roman"/>
          <w:color w:val="auto"/>
          <w:szCs w:val="28"/>
        </w:rPr>
        <w:fldChar w:fldCharType="separate"/>
      </w:r>
      <w:r>
        <w:rPr>
          <w:rFonts w:ascii="Times New Roman" w:hAnsi="Times New Roman"/>
          <w:bCs/>
          <w:color w:val="auto"/>
          <w:szCs w:val="24"/>
        </w:rPr>
        <w:t>7.5 入侵检测装置</w:t>
      </w:r>
      <w:r>
        <w:rPr>
          <w:color w:val="auto"/>
        </w:rPr>
        <w:tab/>
      </w:r>
      <w:r>
        <w:rPr>
          <w:color w:val="auto"/>
        </w:rPr>
        <w:fldChar w:fldCharType="begin"/>
      </w:r>
      <w:r>
        <w:rPr>
          <w:color w:val="auto"/>
        </w:rPr>
        <w:instrText xml:space="preserve"> PAGEREF _Toc2924 \h </w:instrText>
      </w:r>
      <w:r>
        <w:rPr>
          <w:color w:val="auto"/>
        </w:rPr>
        <w:fldChar w:fldCharType="separate"/>
      </w:r>
      <w:r>
        <w:rPr>
          <w:color w:val="auto"/>
        </w:rPr>
        <w:t>49</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_Toc5967 </w:instrText>
      </w:r>
      <w:r>
        <w:rPr>
          <w:rFonts w:ascii="Times New Roman" w:hAnsi="Times New Roman"/>
          <w:color w:val="auto"/>
          <w:szCs w:val="28"/>
        </w:rPr>
        <w:fldChar w:fldCharType="separate"/>
      </w:r>
      <w:r>
        <w:rPr>
          <w:rFonts w:ascii="Times New Roman" w:hAnsi="Times New Roman"/>
          <w:bCs/>
          <w:color w:val="auto"/>
          <w:szCs w:val="24"/>
        </w:rPr>
        <w:t>7.6 WAF</w:t>
      </w:r>
      <w:r>
        <w:rPr>
          <w:color w:val="auto"/>
        </w:rPr>
        <w:tab/>
      </w:r>
      <w:r>
        <w:rPr>
          <w:color w:val="auto"/>
        </w:rPr>
        <w:fldChar w:fldCharType="begin"/>
      </w:r>
      <w:r>
        <w:rPr>
          <w:color w:val="auto"/>
        </w:rPr>
        <w:instrText xml:space="preserve"> PAGEREF _Toc5967 \h </w:instrText>
      </w:r>
      <w:r>
        <w:rPr>
          <w:color w:val="auto"/>
        </w:rPr>
        <w:fldChar w:fldCharType="separate"/>
      </w:r>
      <w:r>
        <w:rPr>
          <w:color w:val="auto"/>
        </w:rPr>
        <w:t>50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_Toc8041 </w:instrText>
      </w:r>
      <w:r>
        <w:rPr>
          <w:rFonts w:ascii="Times New Roman" w:hAnsi="Times New Roman"/>
          <w:color w:val="auto"/>
          <w:szCs w:val="28"/>
        </w:rPr>
        <w:fldChar w:fldCharType="separate"/>
      </w:r>
      <w:r>
        <w:rPr>
          <w:rFonts w:ascii="Times New Roman" w:hAnsi="Times New Roman"/>
          <w:bCs/>
          <w:color w:val="auto"/>
          <w:szCs w:val="24"/>
        </w:rPr>
        <w:t>7.7 网络准入装置</w:t>
      </w:r>
      <w:r>
        <w:rPr>
          <w:color w:val="auto"/>
        </w:rPr>
        <w:tab/>
      </w:r>
      <w:r>
        <w:rPr>
          <w:color w:val="auto"/>
        </w:rPr>
        <w:fldChar w:fldCharType="begin"/>
      </w:r>
      <w:r>
        <w:rPr>
          <w:color w:val="auto"/>
        </w:rPr>
        <w:instrText xml:space="preserve"> PAGEREF _Toc8041 \h </w:instrText>
      </w:r>
      <w:r>
        <w:rPr>
          <w:color w:val="auto"/>
        </w:rPr>
        <w:fldChar w:fldCharType="separate"/>
      </w:r>
      <w:r>
        <w:rPr>
          <w:color w:val="auto"/>
        </w:rPr>
        <w:t>51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_Toc16053 </w:instrText>
      </w:r>
      <w:r>
        <w:rPr>
          <w:rFonts w:ascii="Times New Roman" w:hAnsi="Times New Roman"/>
          <w:color w:val="auto"/>
          <w:szCs w:val="28"/>
        </w:rPr>
        <w:fldChar w:fldCharType="separate"/>
      </w:r>
      <w:r>
        <w:rPr>
          <w:rFonts w:ascii="Times New Roman" w:hAnsi="Times New Roman"/>
          <w:bCs/>
          <w:color w:val="auto"/>
          <w:szCs w:val="24"/>
        </w:rPr>
        <w:t>7.8 堡垒机</w:t>
      </w:r>
      <w:r>
        <w:rPr>
          <w:color w:val="auto"/>
        </w:rPr>
        <w:tab/>
      </w:r>
      <w:r>
        <w:rPr>
          <w:color w:val="auto"/>
        </w:rPr>
        <w:fldChar w:fldCharType="begin"/>
      </w:r>
      <w:r>
        <w:rPr>
          <w:color w:val="auto"/>
        </w:rPr>
        <w:instrText xml:space="preserve"> PAGEREF _Toc16053 \h </w:instrText>
      </w:r>
      <w:r>
        <w:rPr>
          <w:color w:val="auto"/>
        </w:rPr>
        <w:fldChar w:fldCharType="separate"/>
      </w:r>
      <w:r>
        <w:rPr>
          <w:color w:val="auto"/>
        </w:rPr>
        <w:t>57</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_Toc2649 </w:instrText>
      </w:r>
      <w:r>
        <w:rPr>
          <w:rFonts w:ascii="Times New Roman" w:hAnsi="Times New Roman"/>
          <w:color w:val="auto"/>
          <w:szCs w:val="28"/>
        </w:rPr>
        <w:fldChar w:fldCharType="separate"/>
      </w:r>
      <w:r>
        <w:rPr>
          <w:rFonts w:ascii="Times New Roman" w:hAnsi="Times New Roman"/>
          <w:color w:val="auto"/>
          <w:szCs w:val="24"/>
        </w:rPr>
        <w:t>8 通信电源系统技术要求</w:t>
      </w:r>
      <w:r>
        <w:rPr>
          <w:color w:val="auto"/>
        </w:rPr>
        <w:tab/>
      </w:r>
      <w:r>
        <w:rPr>
          <w:color w:val="auto"/>
        </w:rPr>
        <w:fldChar w:fldCharType="begin"/>
      </w:r>
      <w:r>
        <w:rPr>
          <w:color w:val="auto"/>
        </w:rPr>
        <w:instrText xml:space="preserve"> PAGEREF _Toc2649 \h </w:instrText>
      </w:r>
      <w:r>
        <w:rPr>
          <w:color w:val="auto"/>
        </w:rPr>
        <w:fldChar w:fldCharType="separate"/>
      </w:r>
      <w:r>
        <w:rPr>
          <w:color w:val="auto"/>
        </w:rPr>
        <w:t>60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_Toc7166 </w:instrText>
      </w:r>
      <w:r>
        <w:rPr>
          <w:rFonts w:ascii="Times New Roman" w:hAnsi="Times New Roman"/>
          <w:color w:val="auto"/>
          <w:szCs w:val="28"/>
        </w:rPr>
        <w:fldChar w:fldCharType="separate"/>
      </w:r>
      <w:r>
        <w:rPr>
          <w:rFonts w:ascii="Times New Roman" w:hAnsi="Times New Roman"/>
          <w:bCs/>
          <w:color w:val="auto"/>
          <w:szCs w:val="24"/>
        </w:rPr>
        <w:t>8.1 交流配电柜技术要求</w:t>
      </w:r>
      <w:r>
        <w:rPr>
          <w:color w:val="auto"/>
        </w:rPr>
        <w:tab/>
      </w:r>
      <w:r>
        <w:rPr>
          <w:color w:val="auto"/>
        </w:rPr>
        <w:fldChar w:fldCharType="begin"/>
      </w:r>
      <w:r>
        <w:rPr>
          <w:color w:val="auto"/>
        </w:rPr>
        <w:instrText xml:space="preserve"> PAGEREF _Toc7166 \h </w:instrText>
      </w:r>
      <w:r>
        <w:rPr>
          <w:color w:val="auto"/>
        </w:rPr>
        <w:fldChar w:fldCharType="separate"/>
      </w:r>
      <w:r>
        <w:rPr>
          <w:color w:val="auto"/>
        </w:rPr>
        <w:t>60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_Toc14033 </w:instrText>
      </w:r>
      <w:r>
        <w:rPr>
          <w:rFonts w:ascii="Times New Roman" w:hAnsi="Times New Roman"/>
          <w:color w:val="auto"/>
          <w:szCs w:val="28"/>
        </w:rPr>
        <w:fldChar w:fldCharType="separate"/>
      </w:r>
      <w:r>
        <w:rPr>
          <w:rFonts w:ascii="Times New Roman" w:hAnsi="Times New Roman"/>
          <w:bCs/>
          <w:color w:val="auto"/>
          <w:szCs w:val="24"/>
        </w:rPr>
        <w:t>8.2 通信交流不间断电源系统技术要求</w:t>
      </w:r>
      <w:r>
        <w:rPr>
          <w:color w:val="auto"/>
        </w:rPr>
        <w:tab/>
      </w:r>
      <w:r>
        <w:rPr>
          <w:color w:val="auto"/>
        </w:rPr>
        <w:fldChar w:fldCharType="begin"/>
      </w:r>
      <w:r>
        <w:rPr>
          <w:color w:val="auto"/>
        </w:rPr>
        <w:instrText xml:space="preserve"> PAGEREF _Toc14033 \h </w:instrText>
      </w:r>
      <w:r>
        <w:rPr>
          <w:color w:val="auto"/>
        </w:rPr>
        <w:fldChar w:fldCharType="separate"/>
      </w:r>
      <w:r>
        <w:rPr>
          <w:color w:val="auto"/>
        </w:rPr>
        <w:t>73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_Toc22623 </w:instrText>
      </w:r>
      <w:r>
        <w:rPr>
          <w:rFonts w:ascii="Times New Roman" w:hAnsi="Times New Roman"/>
          <w:color w:val="auto"/>
          <w:szCs w:val="28"/>
        </w:rPr>
        <w:fldChar w:fldCharType="separate"/>
      </w:r>
      <w:r>
        <w:rPr>
          <w:rFonts w:ascii="Times New Roman" w:hAnsi="Times New Roman"/>
          <w:bCs/>
          <w:color w:val="auto"/>
          <w:szCs w:val="24"/>
        </w:rPr>
        <w:t>8.3 通信直流供电系统技术要求</w:t>
      </w:r>
      <w:r>
        <w:rPr>
          <w:color w:val="auto"/>
        </w:rPr>
        <w:tab/>
      </w:r>
      <w:r>
        <w:rPr>
          <w:color w:val="auto"/>
        </w:rPr>
        <w:fldChar w:fldCharType="begin"/>
      </w:r>
      <w:r>
        <w:rPr>
          <w:color w:val="auto"/>
        </w:rPr>
        <w:instrText xml:space="preserve"> PAGEREF _Toc22623 \h </w:instrText>
      </w:r>
      <w:r>
        <w:rPr>
          <w:color w:val="auto"/>
        </w:rPr>
        <w:fldChar w:fldCharType="separate"/>
      </w:r>
      <w:r>
        <w:rPr>
          <w:color w:val="auto"/>
        </w:rPr>
        <w:t>80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_Toc5666 </w:instrText>
      </w:r>
      <w:r>
        <w:rPr>
          <w:rFonts w:ascii="Times New Roman" w:hAnsi="Times New Roman"/>
          <w:color w:val="auto"/>
          <w:szCs w:val="28"/>
        </w:rPr>
        <w:fldChar w:fldCharType="separate"/>
      </w:r>
      <w:r>
        <w:rPr>
          <w:rFonts w:ascii="Times New Roman" w:hAnsi="Times New Roman"/>
          <w:bCs/>
          <w:color w:val="auto"/>
          <w:szCs w:val="24"/>
        </w:rPr>
        <w:t>8.4 蓄电池技术要求</w:t>
      </w:r>
      <w:r>
        <w:rPr>
          <w:color w:val="auto"/>
        </w:rPr>
        <w:tab/>
      </w:r>
      <w:r>
        <w:rPr>
          <w:color w:val="auto"/>
        </w:rPr>
        <w:fldChar w:fldCharType="begin"/>
      </w:r>
      <w:r>
        <w:rPr>
          <w:color w:val="auto"/>
        </w:rPr>
        <w:instrText xml:space="preserve"> PAGEREF _Toc5666 \h </w:instrText>
      </w:r>
      <w:r>
        <w:rPr>
          <w:color w:val="auto"/>
        </w:rPr>
        <w:fldChar w:fldCharType="separate"/>
      </w:r>
      <w:r>
        <w:rPr>
          <w:color w:val="auto"/>
        </w:rPr>
        <w:t>113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_Toc17666 </w:instrText>
      </w:r>
      <w:r>
        <w:rPr>
          <w:rFonts w:ascii="Times New Roman" w:hAnsi="Times New Roman"/>
          <w:color w:val="auto"/>
          <w:szCs w:val="28"/>
        </w:rPr>
        <w:fldChar w:fldCharType="separate"/>
      </w:r>
      <w:r>
        <w:rPr>
          <w:rFonts w:ascii="Times New Roman" w:hAnsi="Times New Roman"/>
          <w:bCs/>
          <w:color w:val="auto"/>
          <w:kern w:val="0"/>
          <w:szCs w:val="24"/>
        </w:rPr>
        <w:t>8.5 安全和接地</w:t>
      </w:r>
      <w:r>
        <w:rPr>
          <w:color w:val="auto"/>
        </w:rPr>
        <w:tab/>
      </w:r>
      <w:r>
        <w:rPr>
          <w:color w:val="auto"/>
        </w:rPr>
        <w:fldChar w:fldCharType="begin"/>
      </w:r>
      <w:r>
        <w:rPr>
          <w:color w:val="auto"/>
        </w:rPr>
        <w:instrText xml:space="preserve"> PAGEREF _Toc17666 \h </w:instrText>
      </w:r>
      <w:r>
        <w:rPr>
          <w:color w:val="auto"/>
        </w:rPr>
        <w:fldChar w:fldCharType="separate"/>
      </w:r>
      <w:r>
        <w:rPr>
          <w:color w:val="auto"/>
        </w:rPr>
        <w:t>126</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_Toc20887 </w:instrText>
      </w:r>
      <w:r>
        <w:rPr>
          <w:rFonts w:ascii="Times New Roman" w:hAnsi="Times New Roman"/>
          <w:color w:val="auto"/>
          <w:szCs w:val="28"/>
        </w:rPr>
        <w:fldChar w:fldCharType="separate"/>
      </w:r>
      <w:r>
        <w:rPr>
          <w:rFonts w:ascii="Times New Roman" w:hAnsi="Times New Roman"/>
          <w:bCs/>
          <w:color w:val="auto"/>
          <w:szCs w:val="24"/>
        </w:rPr>
        <w:t>8.6 制造工艺要求</w:t>
      </w:r>
      <w:r>
        <w:rPr>
          <w:color w:val="auto"/>
        </w:rPr>
        <w:tab/>
      </w:r>
      <w:r>
        <w:rPr>
          <w:color w:val="auto"/>
        </w:rPr>
        <w:fldChar w:fldCharType="begin"/>
      </w:r>
      <w:r>
        <w:rPr>
          <w:color w:val="auto"/>
        </w:rPr>
        <w:instrText xml:space="preserve"> PAGEREF _Toc20887 \h </w:instrText>
      </w:r>
      <w:r>
        <w:rPr>
          <w:color w:val="auto"/>
        </w:rPr>
        <w:fldChar w:fldCharType="separate"/>
      </w:r>
      <w:r>
        <w:rPr>
          <w:color w:val="auto"/>
        </w:rPr>
        <w:t>127</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_Toc11047 </w:instrText>
      </w:r>
      <w:r>
        <w:rPr>
          <w:rFonts w:ascii="Times New Roman" w:hAnsi="Times New Roman"/>
          <w:color w:val="auto"/>
          <w:szCs w:val="28"/>
        </w:rPr>
        <w:fldChar w:fldCharType="separate"/>
      </w:r>
      <w:r>
        <w:rPr>
          <w:rFonts w:ascii="Times New Roman" w:hAnsi="Times New Roman"/>
          <w:color w:val="auto"/>
          <w:szCs w:val="24"/>
        </w:rPr>
        <w:t>9 视频会议系统</w:t>
      </w:r>
      <w:r>
        <w:rPr>
          <w:color w:val="auto"/>
        </w:rPr>
        <w:tab/>
      </w:r>
      <w:r>
        <w:rPr>
          <w:color w:val="auto"/>
        </w:rPr>
        <w:fldChar w:fldCharType="begin"/>
      </w:r>
      <w:r>
        <w:rPr>
          <w:color w:val="auto"/>
        </w:rPr>
        <w:instrText xml:space="preserve"> PAGEREF _Toc11047 \h </w:instrText>
      </w:r>
      <w:r>
        <w:rPr>
          <w:color w:val="auto"/>
        </w:rPr>
        <w:fldChar w:fldCharType="separate"/>
      </w:r>
      <w:r>
        <w:rPr>
          <w:color w:val="auto"/>
        </w:rPr>
        <w:t>128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_Toc32700 </w:instrText>
      </w:r>
      <w:r>
        <w:rPr>
          <w:rFonts w:ascii="Times New Roman" w:hAnsi="Times New Roman"/>
          <w:color w:val="auto"/>
          <w:szCs w:val="28"/>
        </w:rPr>
        <w:fldChar w:fldCharType="separate"/>
      </w:r>
      <w:r>
        <w:rPr>
          <w:rFonts w:ascii="Times New Roman" w:hAnsi="Times New Roman"/>
          <w:bCs/>
          <w:color w:val="auto"/>
          <w:szCs w:val="24"/>
          <w:lang w:bidi="ar"/>
        </w:rPr>
        <w:t>9.1 概述</w:t>
      </w:r>
      <w:r>
        <w:rPr>
          <w:color w:val="auto"/>
        </w:rPr>
        <w:tab/>
      </w:r>
      <w:r>
        <w:rPr>
          <w:color w:val="auto"/>
        </w:rPr>
        <w:fldChar w:fldCharType="begin"/>
      </w:r>
      <w:r>
        <w:rPr>
          <w:color w:val="auto"/>
        </w:rPr>
        <w:instrText xml:space="preserve"> PAGEREF _Toc32700 \h </w:instrText>
      </w:r>
      <w:r>
        <w:rPr>
          <w:color w:val="auto"/>
        </w:rPr>
        <w:fldChar w:fldCharType="separate"/>
      </w:r>
      <w:r>
        <w:rPr>
          <w:color w:val="auto"/>
        </w:rPr>
        <w:t>128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_Toc157 </w:instrText>
      </w:r>
      <w:r>
        <w:rPr>
          <w:rFonts w:ascii="Times New Roman" w:hAnsi="Times New Roman"/>
          <w:color w:val="auto"/>
          <w:szCs w:val="28"/>
        </w:rPr>
        <w:fldChar w:fldCharType="separate"/>
      </w:r>
      <w:r>
        <w:rPr>
          <w:rFonts w:ascii="Times New Roman" w:hAnsi="Times New Roman"/>
          <w:bCs/>
          <w:color w:val="auto"/>
          <w:szCs w:val="24"/>
        </w:rPr>
        <w:t>9.2 一层大会议室</w:t>
      </w:r>
      <w:r>
        <w:rPr>
          <w:color w:val="auto"/>
        </w:rPr>
        <w:tab/>
      </w:r>
      <w:r>
        <w:rPr>
          <w:color w:val="auto"/>
        </w:rPr>
        <w:fldChar w:fldCharType="begin"/>
      </w:r>
      <w:r>
        <w:rPr>
          <w:color w:val="auto"/>
        </w:rPr>
        <w:instrText xml:space="preserve"> PAGEREF _Toc157 \h </w:instrText>
      </w:r>
      <w:r>
        <w:rPr>
          <w:color w:val="auto"/>
        </w:rPr>
        <w:fldChar w:fldCharType="separate"/>
      </w:r>
      <w:r>
        <w:rPr>
          <w:color w:val="auto"/>
        </w:rPr>
        <w:t>129</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_Toc23246 </w:instrText>
      </w:r>
      <w:r>
        <w:rPr>
          <w:rFonts w:ascii="Times New Roman" w:hAnsi="Times New Roman"/>
          <w:color w:val="auto"/>
          <w:szCs w:val="28"/>
        </w:rPr>
        <w:fldChar w:fldCharType="separate"/>
      </w:r>
      <w:r>
        <w:rPr>
          <w:rFonts w:ascii="Times New Roman" w:hAnsi="Times New Roman"/>
          <w:bCs/>
          <w:color w:val="auto"/>
          <w:szCs w:val="24"/>
        </w:rPr>
        <w:t>9.3 四层应急指挥中心</w:t>
      </w:r>
      <w:r>
        <w:rPr>
          <w:color w:val="auto"/>
        </w:rPr>
        <w:tab/>
      </w:r>
      <w:r>
        <w:rPr>
          <w:color w:val="auto"/>
        </w:rPr>
        <w:fldChar w:fldCharType="begin"/>
      </w:r>
      <w:r>
        <w:rPr>
          <w:color w:val="auto"/>
        </w:rPr>
        <w:instrText xml:space="preserve"> PAGEREF _Toc23246 \h </w:instrText>
      </w:r>
      <w:r>
        <w:rPr>
          <w:color w:val="auto"/>
        </w:rPr>
        <w:fldChar w:fldCharType="separate"/>
      </w:r>
      <w:r>
        <w:rPr>
          <w:color w:val="auto"/>
        </w:rPr>
        <w:t>131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_Toc27566 </w:instrText>
      </w:r>
      <w:r>
        <w:rPr>
          <w:rFonts w:ascii="Times New Roman" w:hAnsi="Times New Roman"/>
          <w:color w:val="auto"/>
          <w:szCs w:val="28"/>
        </w:rPr>
        <w:fldChar w:fldCharType="separate"/>
      </w:r>
      <w:r>
        <w:rPr>
          <w:rFonts w:ascii="Times New Roman" w:hAnsi="Times New Roman"/>
          <w:bCs/>
          <w:color w:val="auto"/>
          <w:szCs w:val="24"/>
          <w:lang w:bidi="ar"/>
        </w:rPr>
        <w:t>9.4 四层小型会议室</w:t>
      </w:r>
      <w:r>
        <w:rPr>
          <w:color w:val="auto"/>
        </w:rPr>
        <w:tab/>
      </w:r>
      <w:r>
        <w:rPr>
          <w:color w:val="auto"/>
        </w:rPr>
        <w:fldChar w:fldCharType="begin"/>
      </w:r>
      <w:r>
        <w:rPr>
          <w:color w:val="auto"/>
        </w:rPr>
        <w:instrText xml:space="preserve"> PAGEREF _Toc27566 \h </w:instrText>
      </w:r>
      <w:r>
        <w:rPr>
          <w:color w:val="auto"/>
        </w:rPr>
        <w:fldChar w:fldCharType="separate"/>
      </w:r>
      <w:r>
        <w:rPr>
          <w:color w:val="auto"/>
        </w:rPr>
        <w:t>133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_Toc30953 </w:instrText>
      </w:r>
      <w:r>
        <w:rPr>
          <w:rFonts w:ascii="Times New Roman" w:hAnsi="Times New Roman"/>
          <w:color w:val="auto"/>
          <w:szCs w:val="28"/>
        </w:rPr>
        <w:fldChar w:fldCharType="separate"/>
      </w:r>
      <w:r>
        <w:rPr>
          <w:rFonts w:ascii="Times New Roman" w:hAnsi="Times New Roman"/>
          <w:bCs/>
          <w:color w:val="auto"/>
          <w:szCs w:val="24"/>
          <w:lang w:bidi="ar"/>
        </w:rPr>
        <w:t>9.5 地下厂房会议室</w:t>
      </w:r>
      <w:r>
        <w:rPr>
          <w:color w:val="auto"/>
        </w:rPr>
        <w:tab/>
      </w:r>
      <w:r>
        <w:rPr>
          <w:color w:val="auto"/>
        </w:rPr>
        <w:fldChar w:fldCharType="begin"/>
      </w:r>
      <w:r>
        <w:rPr>
          <w:color w:val="auto"/>
        </w:rPr>
        <w:instrText xml:space="preserve"> PAGEREF _Toc30953 \h </w:instrText>
      </w:r>
      <w:r>
        <w:rPr>
          <w:color w:val="auto"/>
        </w:rPr>
        <w:fldChar w:fldCharType="separate"/>
      </w:r>
      <w:r>
        <w:rPr>
          <w:color w:val="auto"/>
        </w:rPr>
        <w:t>133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_Toc30486 </w:instrText>
      </w:r>
      <w:r>
        <w:rPr>
          <w:rFonts w:ascii="Times New Roman" w:hAnsi="Times New Roman"/>
          <w:color w:val="auto"/>
          <w:szCs w:val="28"/>
        </w:rPr>
        <w:fldChar w:fldCharType="separate"/>
      </w:r>
      <w:r>
        <w:rPr>
          <w:rFonts w:ascii="Times New Roman" w:hAnsi="Times New Roman"/>
          <w:bCs/>
          <w:color w:val="auto"/>
          <w:szCs w:val="24"/>
          <w:lang w:bidi="ar"/>
        </w:rPr>
        <w:t>9.6 主要设备技术要求</w:t>
      </w:r>
      <w:r>
        <w:rPr>
          <w:color w:val="auto"/>
        </w:rPr>
        <w:tab/>
      </w:r>
      <w:r>
        <w:rPr>
          <w:color w:val="auto"/>
        </w:rPr>
        <w:fldChar w:fldCharType="begin"/>
      </w:r>
      <w:r>
        <w:rPr>
          <w:color w:val="auto"/>
        </w:rPr>
        <w:instrText xml:space="preserve"> PAGEREF _Toc30486 \h </w:instrText>
      </w:r>
      <w:r>
        <w:rPr>
          <w:color w:val="auto"/>
        </w:rPr>
        <w:fldChar w:fldCharType="separate"/>
      </w:r>
      <w:r>
        <w:rPr>
          <w:color w:val="auto"/>
        </w:rPr>
        <w:t>134</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_Toc6815 </w:instrText>
      </w:r>
      <w:r>
        <w:rPr>
          <w:rFonts w:ascii="Times New Roman" w:hAnsi="Times New Roman"/>
          <w:color w:val="auto"/>
          <w:szCs w:val="28"/>
        </w:rPr>
        <w:fldChar w:fldCharType="separate"/>
      </w:r>
      <w:r>
        <w:rPr>
          <w:rFonts w:ascii="Times New Roman" w:hAnsi="Times New Roman"/>
          <w:bCs/>
          <w:color w:val="auto"/>
          <w:kern w:val="44"/>
          <w:szCs w:val="24"/>
        </w:rPr>
        <w:t>10 关键出入口控制系统</w:t>
      </w:r>
      <w:r>
        <w:rPr>
          <w:color w:val="auto"/>
        </w:rPr>
        <w:tab/>
      </w:r>
      <w:r>
        <w:rPr>
          <w:color w:val="auto"/>
        </w:rPr>
        <w:fldChar w:fldCharType="begin"/>
      </w:r>
      <w:r>
        <w:rPr>
          <w:color w:val="auto"/>
        </w:rPr>
        <w:instrText xml:space="preserve"> PAGEREF _Toc6815 \h </w:instrText>
      </w:r>
      <w:r>
        <w:rPr>
          <w:color w:val="auto"/>
        </w:rPr>
        <w:fldChar w:fldCharType="separate"/>
      </w:r>
      <w:r>
        <w:rPr>
          <w:color w:val="auto"/>
        </w:rPr>
        <w:t>145</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_Toc26310 </w:instrText>
      </w:r>
      <w:r>
        <w:rPr>
          <w:rFonts w:ascii="Times New Roman" w:hAnsi="Times New Roman"/>
          <w:color w:val="auto"/>
          <w:szCs w:val="28"/>
        </w:rPr>
        <w:fldChar w:fldCharType="separate"/>
      </w:r>
      <w:r>
        <w:rPr>
          <w:rFonts w:ascii="Times New Roman" w:hAnsi="Times New Roman"/>
          <w:bCs/>
          <w:color w:val="auto"/>
          <w:kern w:val="44"/>
          <w:szCs w:val="24"/>
          <w:lang w:bidi="ar"/>
        </w:rPr>
        <w:t>10.1 设计点位要求</w:t>
      </w:r>
      <w:r>
        <w:rPr>
          <w:color w:val="auto"/>
        </w:rPr>
        <w:tab/>
      </w:r>
      <w:r>
        <w:rPr>
          <w:color w:val="auto"/>
        </w:rPr>
        <w:fldChar w:fldCharType="begin"/>
      </w:r>
      <w:r>
        <w:rPr>
          <w:color w:val="auto"/>
        </w:rPr>
        <w:instrText xml:space="preserve"> PAGEREF _Toc26310 \h </w:instrText>
      </w:r>
      <w:r>
        <w:rPr>
          <w:color w:val="auto"/>
        </w:rPr>
        <w:fldChar w:fldCharType="separate"/>
      </w:r>
      <w:r>
        <w:rPr>
          <w:color w:val="auto"/>
        </w:rPr>
        <w:t>145</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_Toc27452 </w:instrText>
      </w:r>
      <w:r>
        <w:rPr>
          <w:rFonts w:ascii="Times New Roman" w:hAnsi="Times New Roman"/>
          <w:color w:val="auto"/>
          <w:szCs w:val="28"/>
        </w:rPr>
        <w:fldChar w:fldCharType="separate"/>
      </w:r>
      <w:r>
        <w:rPr>
          <w:rFonts w:ascii="Times New Roman" w:hAnsi="Times New Roman"/>
          <w:bCs/>
          <w:color w:val="auto"/>
          <w:kern w:val="44"/>
          <w:szCs w:val="24"/>
          <w:lang w:bidi="ar"/>
        </w:rPr>
        <w:t>10.2 系统设备要求</w:t>
      </w:r>
      <w:r>
        <w:rPr>
          <w:color w:val="auto"/>
        </w:rPr>
        <w:tab/>
      </w:r>
      <w:r>
        <w:rPr>
          <w:color w:val="auto"/>
        </w:rPr>
        <w:fldChar w:fldCharType="begin"/>
      </w:r>
      <w:r>
        <w:rPr>
          <w:color w:val="auto"/>
        </w:rPr>
        <w:instrText xml:space="preserve"> PAGEREF _Toc27452 \h </w:instrText>
      </w:r>
      <w:r>
        <w:rPr>
          <w:color w:val="auto"/>
        </w:rPr>
        <w:fldChar w:fldCharType="separate"/>
      </w:r>
      <w:r>
        <w:rPr>
          <w:color w:val="auto"/>
        </w:rPr>
        <w:t>146</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_Toc15240 </w:instrText>
      </w:r>
      <w:r>
        <w:rPr>
          <w:rFonts w:ascii="Times New Roman" w:hAnsi="Times New Roman"/>
          <w:color w:val="auto"/>
          <w:szCs w:val="28"/>
        </w:rPr>
        <w:fldChar w:fldCharType="separate"/>
      </w:r>
      <w:r>
        <w:rPr>
          <w:rFonts w:cs="宋体"/>
          <w:bCs/>
          <w:color w:val="auto"/>
          <w:szCs w:val="24"/>
          <w:lang w:bidi="ar"/>
        </w:rPr>
        <w:t xml:space="preserve">10.3 </w:t>
      </w:r>
      <w:r>
        <w:rPr>
          <w:rFonts w:hint="eastAsia" w:cs="宋体"/>
          <w:bCs/>
          <w:color w:val="auto"/>
          <w:szCs w:val="24"/>
          <w:lang w:bidi="ar"/>
        </w:rPr>
        <w:t>系统功能</w:t>
      </w:r>
      <w:r>
        <w:rPr>
          <w:color w:val="auto"/>
        </w:rPr>
        <w:tab/>
      </w:r>
      <w:r>
        <w:rPr>
          <w:color w:val="auto"/>
        </w:rPr>
        <w:fldChar w:fldCharType="begin"/>
      </w:r>
      <w:r>
        <w:rPr>
          <w:color w:val="auto"/>
        </w:rPr>
        <w:instrText xml:space="preserve"> PAGEREF _Toc15240 \h </w:instrText>
      </w:r>
      <w:r>
        <w:rPr>
          <w:color w:val="auto"/>
        </w:rPr>
        <w:fldChar w:fldCharType="separate"/>
      </w:r>
      <w:r>
        <w:rPr>
          <w:color w:val="auto"/>
        </w:rPr>
        <w:t>148</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_Toc10313 </w:instrText>
      </w:r>
      <w:r>
        <w:rPr>
          <w:rFonts w:ascii="Times New Roman" w:hAnsi="Times New Roman"/>
          <w:color w:val="auto"/>
          <w:szCs w:val="28"/>
        </w:rPr>
        <w:fldChar w:fldCharType="separate"/>
      </w:r>
      <w:r>
        <w:rPr>
          <w:rFonts w:ascii="Times New Roman" w:hAnsi="Times New Roman"/>
          <w:bCs/>
          <w:color w:val="auto"/>
          <w:kern w:val="44"/>
          <w:szCs w:val="24"/>
          <w:lang w:bidi="ar"/>
        </w:rPr>
        <w:t>10.4 系统控制要求</w:t>
      </w:r>
      <w:r>
        <w:rPr>
          <w:color w:val="auto"/>
        </w:rPr>
        <w:tab/>
      </w:r>
      <w:r>
        <w:rPr>
          <w:color w:val="auto"/>
        </w:rPr>
        <w:fldChar w:fldCharType="begin"/>
      </w:r>
      <w:r>
        <w:rPr>
          <w:color w:val="auto"/>
        </w:rPr>
        <w:instrText xml:space="preserve"> PAGEREF _Toc10313 \h </w:instrText>
      </w:r>
      <w:r>
        <w:rPr>
          <w:color w:val="auto"/>
        </w:rPr>
        <w:fldChar w:fldCharType="separate"/>
      </w:r>
      <w:r>
        <w:rPr>
          <w:color w:val="auto"/>
        </w:rPr>
        <w:t>150</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_Toc9475 </w:instrText>
      </w:r>
      <w:r>
        <w:rPr>
          <w:rFonts w:ascii="Times New Roman" w:hAnsi="Times New Roman"/>
          <w:color w:val="auto"/>
          <w:szCs w:val="28"/>
        </w:rPr>
        <w:fldChar w:fldCharType="separate"/>
      </w:r>
      <w:r>
        <w:rPr>
          <w:rFonts w:ascii="Times New Roman" w:hAnsi="Times New Roman"/>
          <w:color w:val="auto"/>
          <w:szCs w:val="24"/>
        </w:rPr>
        <w:t>11 试验</w:t>
      </w:r>
      <w:r>
        <w:rPr>
          <w:color w:val="auto"/>
        </w:rPr>
        <w:tab/>
      </w:r>
      <w:r>
        <w:rPr>
          <w:color w:val="auto"/>
        </w:rPr>
        <w:fldChar w:fldCharType="begin"/>
      </w:r>
      <w:r>
        <w:rPr>
          <w:color w:val="auto"/>
        </w:rPr>
        <w:instrText xml:space="preserve"> PAGEREF _Toc9475 \h </w:instrText>
      </w:r>
      <w:r>
        <w:rPr>
          <w:color w:val="auto"/>
        </w:rPr>
        <w:fldChar w:fldCharType="separate"/>
      </w:r>
      <w:r>
        <w:rPr>
          <w:color w:val="auto"/>
        </w:rPr>
        <w:t>150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_Toc4622 </w:instrText>
      </w:r>
      <w:r>
        <w:rPr>
          <w:rFonts w:ascii="Times New Roman" w:hAnsi="Times New Roman"/>
          <w:color w:val="auto"/>
          <w:szCs w:val="28"/>
        </w:rPr>
        <w:fldChar w:fldCharType="separate"/>
      </w:r>
      <w:r>
        <w:rPr>
          <w:rFonts w:ascii="Times New Roman" w:hAnsi="Times New Roman"/>
          <w:bCs/>
          <w:color w:val="auto"/>
          <w:szCs w:val="24"/>
        </w:rPr>
        <w:t>11.1 概述</w:t>
      </w:r>
      <w:r>
        <w:rPr>
          <w:color w:val="auto"/>
        </w:rPr>
        <w:tab/>
      </w:r>
      <w:r>
        <w:rPr>
          <w:color w:val="auto"/>
        </w:rPr>
        <w:fldChar w:fldCharType="begin"/>
      </w:r>
      <w:r>
        <w:rPr>
          <w:color w:val="auto"/>
        </w:rPr>
        <w:instrText xml:space="preserve"> PAGEREF _Toc4622 \h </w:instrText>
      </w:r>
      <w:r>
        <w:rPr>
          <w:color w:val="auto"/>
        </w:rPr>
        <w:fldChar w:fldCharType="separate"/>
      </w:r>
      <w:r>
        <w:rPr>
          <w:color w:val="auto"/>
        </w:rPr>
        <w:t>150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_Toc23734 </w:instrText>
      </w:r>
      <w:r>
        <w:rPr>
          <w:rFonts w:ascii="Times New Roman" w:hAnsi="Times New Roman"/>
          <w:color w:val="auto"/>
          <w:szCs w:val="28"/>
        </w:rPr>
        <w:fldChar w:fldCharType="separate"/>
      </w:r>
      <w:r>
        <w:rPr>
          <w:rFonts w:ascii="Times New Roman" w:hAnsi="Times New Roman"/>
          <w:bCs/>
          <w:color w:val="auto"/>
          <w:szCs w:val="24"/>
        </w:rPr>
        <w:t>11.2 工厂验收</w:t>
      </w:r>
      <w:r>
        <w:rPr>
          <w:color w:val="auto"/>
        </w:rPr>
        <w:tab/>
      </w:r>
      <w:r>
        <w:rPr>
          <w:color w:val="auto"/>
        </w:rPr>
        <w:fldChar w:fldCharType="begin"/>
      </w:r>
      <w:r>
        <w:rPr>
          <w:color w:val="auto"/>
        </w:rPr>
        <w:instrText xml:space="preserve"> PAGEREF _Toc23734 \h </w:instrText>
      </w:r>
      <w:r>
        <w:rPr>
          <w:color w:val="auto"/>
        </w:rPr>
        <w:fldChar w:fldCharType="separate"/>
      </w:r>
      <w:r>
        <w:rPr>
          <w:color w:val="auto"/>
        </w:rPr>
        <w:t>150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_Toc21783 </w:instrText>
      </w:r>
      <w:r>
        <w:rPr>
          <w:rFonts w:ascii="Times New Roman" w:hAnsi="Times New Roman"/>
          <w:color w:val="auto"/>
          <w:szCs w:val="28"/>
        </w:rPr>
        <w:fldChar w:fldCharType="separate"/>
      </w:r>
      <w:r>
        <w:rPr>
          <w:rFonts w:ascii="Times New Roman" w:hAnsi="Times New Roman"/>
          <w:bCs/>
          <w:color w:val="auto"/>
          <w:szCs w:val="24"/>
        </w:rPr>
        <w:t>11.3 随工验收</w:t>
      </w:r>
      <w:r>
        <w:rPr>
          <w:color w:val="auto"/>
        </w:rPr>
        <w:tab/>
      </w:r>
      <w:r>
        <w:rPr>
          <w:color w:val="auto"/>
        </w:rPr>
        <w:fldChar w:fldCharType="begin"/>
      </w:r>
      <w:r>
        <w:rPr>
          <w:color w:val="auto"/>
        </w:rPr>
        <w:instrText xml:space="preserve"> PAGEREF _Toc21783 \h </w:instrText>
      </w:r>
      <w:r>
        <w:rPr>
          <w:color w:val="auto"/>
        </w:rPr>
        <w:fldChar w:fldCharType="separate"/>
      </w:r>
      <w:r>
        <w:rPr>
          <w:color w:val="auto"/>
        </w:rPr>
        <w:t>150</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_Toc31192 </w:instrText>
      </w:r>
      <w:r>
        <w:rPr>
          <w:rFonts w:ascii="Times New Roman" w:hAnsi="Times New Roman"/>
          <w:color w:val="auto"/>
          <w:szCs w:val="28"/>
        </w:rPr>
        <w:fldChar w:fldCharType="separate"/>
      </w:r>
      <w:r>
        <w:rPr>
          <w:rFonts w:ascii="Times New Roman" w:hAnsi="Times New Roman"/>
          <w:bCs/>
          <w:color w:val="auto"/>
          <w:szCs w:val="24"/>
        </w:rPr>
        <w:t>11.4 阶段性（预）验收</w:t>
      </w:r>
      <w:r>
        <w:rPr>
          <w:color w:val="auto"/>
        </w:rPr>
        <w:tab/>
      </w:r>
      <w:r>
        <w:rPr>
          <w:color w:val="auto"/>
        </w:rPr>
        <w:fldChar w:fldCharType="begin"/>
      </w:r>
      <w:r>
        <w:rPr>
          <w:color w:val="auto"/>
        </w:rPr>
        <w:instrText xml:space="preserve"> PAGEREF _Toc31192 \h </w:instrText>
      </w:r>
      <w:r>
        <w:rPr>
          <w:color w:val="auto"/>
        </w:rPr>
        <w:fldChar w:fldCharType="separate"/>
      </w:r>
      <w:r>
        <w:rPr>
          <w:color w:val="auto"/>
        </w:rPr>
        <w:t>151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_Toc23829 </w:instrText>
      </w:r>
      <w:r>
        <w:rPr>
          <w:rFonts w:ascii="Times New Roman" w:hAnsi="Times New Roman"/>
          <w:color w:val="auto"/>
          <w:szCs w:val="28"/>
        </w:rPr>
        <w:fldChar w:fldCharType="separate"/>
      </w:r>
      <w:r>
        <w:rPr>
          <w:rFonts w:ascii="Times New Roman" w:hAnsi="Times New Roman"/>
          <w:bCs/>
          <w:color w:val="auto"/>
          <w:szCs w:val="24"/>
        </w:rPr>
        <w:t>11.5 竣工验收</w:t>
      </w:r>
      <w:r>
        <w:rPr>
          <w:color w:val="auto"/>
        </w:rPr>
        <w:tab/>
      </w:r>
      <w:r>
        <w:rPr>
          <w:color w:val="auto"/>
        </w:rPr>
        <w:fldChar w:fldCharType="begin"/>
      </w:r>
      <w:r>
        <w:rPr>
          <w:color w:val="auto"/>
        </w:rPr>
        <w:instrText xml:space="preserve"> PAGEREF _Toc23829 \h </w:instrText>
      </w:r>
      <w:r>
        <w:rPr>
          <w:color w:val="auto"/>
        </w:rPr>
        <w:fldChar w:fldCharType="separate"/>
      </w:r>
      <w:r>
        <w:rPr>
          <w:color w:val="auto"/>
        </w:rPr>
        <w:t>151</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_Toc3404 </w:instrText>
      </w:r>
      <w:r>
        <w:rPr>
          <w:rFonts w:ascii="Times New Roman" w:hAnsi="Times New Roman"/>
          <w:color w:val="auto"/>
          <w:szCs w:val="28"/>
        </w:rPr>
        <w:fldChar w:fldCharType="separate"/>
      </w:r>
      <w:r>
        <w:rPr>
          <w:rFonts w:ascii="Times New Roman" w:hAnsi="Times New Roman"/>
          <w:color w:val="auto"/>
          <w:szCs w:val="24"/>
        </w:rPr>
        <w:t>12 企业VI标识</w:t>
      </w:r>
      <w:r>
        <w:rPr>
          <w:color w:val="auto"/>
        </w:rPr>
        <w:tab/>
      </w:r>
      <w:r>
        <w:rPr>
          <w:color w:val="auto"/>
        </w:rPr>
        <w:fldChar w:fldCharType="begin"/>
      </w:r>
      <w:r>
        <w:rPr>
          <w:color w:val="auto"/>
        </w:rPr>
        <w:instrText xml:space="preserve"> PAGEREF _Toc3404 \h </w:instrText>
      </w:r>
      <w:r>
        <w:rPr>
          <w:color w:val="auto"/>
        </w:rPr>
        <w:fldChar w:fldCharType="separate"/>
      </w:r>
      <w:r>
        <w:rPr>
          <w:color w:val="auto"/>
        </w:rPr>
        <w:t>151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_Toc17296 </w:instrText>
      </w:r>
      <w:r>
        <w:rPr>
          <w:rFonts w:ascii="Times New Roman" w:hAnsi="Times New Roman"/>
          <w:color w:val="auto"/>
          <w:szCs w:val="28"/>
        </w:rPr>
        <w:fldChar w:fldCharType="separate"/>
      </w:r>
      <w:r>
        <w:rPr>
          <w:rFonts w:ascii="Times New Roman" w:hAnsi="Times New Roman"/>
          <w:bCs/>
          <w:color w:val="auto"/>
          <w:szCs w:val="24"/>
        </w:rPr>
        <w:t>12.1 VI标识</w:t>
      </w:r>
      <w:r>
        <w:rPr>
          <w:color w:val="auto"/>
        </w:rPr>
        <w:tab/>
      </w:r>
      <w:r>
        <w:rPr>
          <w:color w:val="auto"/>
        </w:rPr>
        <w:fldChar w:fldCharType="begin"/>
      </w:r>
      <w:r>
        <w:rPr>
          <w:color w:val="auto"/>
        </w:rPr>
        <w:instrText xml:space="preserve"> PAGEREF _Toc17296 \h </w:instrText>
      </w:r>
      <w:r>
        <w:rPr>
          <w:color w:val="auto"/>
        </w:rPr>
        <w:fldChar w:fldCharType="separate"/>
      </w:r>
      <w:r>
        <w:rPr>
          <w:color w:val="auto"/>
        </w:rPr>
        <w:t>151</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_Toc3582 </w:instrText>
      </w:r>
      <w:r>
        <w:rPr>
          <w:rFonts w:ascii="Times New Roman" w:hAnsi="Times New Roman"/>
          <w:color w:val="auto"/>
          <w:szCs w:val="28"/>
        </w:rPr>
        <w:fldChar w:fldCharType="separate"/>
      </w:r>
      <w:r>
        <w:rPr>
          <w:rFonts w:ascii="Times New Roman" w:hAnsi="Times New Roman"/>
          <w:bCs/>
          <w:color w:val="auto"/>
          <w:szCs w:val="24"/>
        </w:rPr>
        <w:t>12.2 标识地点</w:t>
      </w:r>
      <w:r>
        <w:rPr>
          <w:color w:val="auto"/>
        </w:rPr>
        <w:tab/>
      </w:r>
      <w:r>
        <w:rPr>
          <w:color w:val="auto"/>
        </w:rPr>
        <w:fldChar w:fldCharType="begin"/>
      </w:r>
      <w:r>
        <w:rPr>
          <w:color w:val="auto"/>
        </w:rPr>
        <w:instrText xml:space="preserve"> PAGEREF _Toc3582 \h </w:instrText>
      </w:r>
      <w:r>
        <w:rPr>
          <w:color w:val="auto"/>
        </w:rPr>
        <w:fldChar w:fldCharType="separate"/>
      </w:r>
      <w:r>
        <w:rPr>
          <w:color w:val="auto"/>
        </w:rPr>
        <w:t>152</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_Toc24889 </w:instrText>
      </w:r>
      <w:r>
        <w:rPr>
          <w:rFonts w:ascii="Times New Roman" w:hAnsi="Times New Roman"/>
          <w:color w:val="auto"/>
          <w:szCs w:val="28"/>
        </w:rPr>
        <w:fldChar w:fldCharType="separate"/>
      </w:r>
      <w:r>
        <w:rPr>
          <w:rFonts w:ascii="Times New Roman" w:hAnsi="Times New Roman"/>
          <w:color w:val="auto"/>
          <w:szCs w:val="24"/>
        </w:rPr>
        <w:t>13 电气及土建接口要求</w:t>
      </w:r>
      <w:r>
        <w:rPr>
          <w:color w:val="auto"/>
        </w:rPr>
        <w:tab/>
      </w:r>
      <w:r>
        <w:rPr>
          <w:color w:val="auto"/>
        </w:rPr>
        <w:fldChar w:fldCharType="begin"/>
      </w:r>
      <w:r>
        <w:rPr>
          <w:color w:val="auto"/>
        </w:rPr>
        <w:instrText xml:space="preserve"> PAGEREF _Toc24889 \h </w:instrText>
      </w:r>
      <w:r>
        <w:rPr>
          <w:color w:val="auto"/>
        </w:rPr>
        <w:fldChar w:fldCharType="separate"/>
      </w:r>
      <w:r>
        <w:rPr>
          <w:color w:val="auto"/>
        </w:rPr>
        <w:t>153</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_Toc8552 </w:instrText>
      </w:r>
      <w:r>
        <w:rPr>
          <w:rFonts w:ascii="Times New Roman" w:hAnsi="Times New Roman"/>
          <w:color w:val="auto"/>
          <w:szCs w:val="28"/>
        </w:rPr>
        <w:fldChar w:fldCharType="separate"/>
      </w:r>
      <w:r>
        <w:rPr>
          <w:rFonts w:ascii="Times New Roman" w:hAnsi="Times New Roman"/>
          <w:color w:val="auto"/>
          <w:szCs w:val="24"/>
        </w:rPr>
        <w:t>14 包装、储存、运输及质量保证</w:t>
      </w:r>
      <w:r>
        <w:rPr>
          <w:color w:val="auto"/>
        </w:rPr>
        <w:tab/>
      </w:r>
      <w:r>
        <w:rPr>
          <w:color w:val="auto"/>
        </w:rPr>
        <w:fldChar w:fldCharType="begin"/>
      </w:r>
      <w:r>
        <w:rPr>
          <w:color w:val="auto"/>
        </w:rPr>
        <w:instrText xml:space="preserve"> PAGEREF _Toc8552 \h </w:instrText>
      </w:r>
      <w:r>
        <w:rPr>
          <w:color w:val="auto"/>
        </w:rPr>
        <w:fldChar w:fldCharType="separate"/>
      </w:r>
      <w:r>
        <w:rPr>
          <w:color w:val="auto"/>
        </w:rPr>
        <w:t>153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_Toc32493 </w:instrText>
      </w:r>
      <w:r>
        <w:rPr>
          <w:rFonts w:ascii="Times New Roman" w:hAnsi="Times New Roman"/>
          <w:color w:val="auto"/>
          <w:szCs w:val="28"/>
        </w:rPr>
        <w:fldChar w:fldCharType="separate"/>
      </w:r>
      <w:r>
        <w:rPr>
          <w:rFonts w:ascii="Times New Roman" w:hAnsi="Times New Roman"/>
          <w:bCs/>
          <w:color w:val="auto"/>
          <w:szCs w:val="24"/>
        </w:rPr>
        <w:t>14.1 包装、储存和运输</w:t>
      </w:r>
      <w:r>
        <w:rPr>
          <w:color w:val="auto"/>
        </w:rPr>
        <w:tab/>
      </w:r>
      <w:r>
        <w:rPr>
          <w:color w:val="auto"/>
        </w:rPr>
        <w:fldChar w:fldCharType="begin"/>
      </w:r>
      <w:r>
        <w:rPr>
          <w:color w:val="auto"/>
        </w:rPr>
        <w:instrText xml:space="preserve"> PAGEREF _Toc32493 \h </w:instrText>
      </w:r>
      <w:r>
        <w:rPr>
          <w:color w:val="auto"/>
        </w:rPr>
        <w:fldChar w:fldCharType="separate"/>
      </w:r>
      <w:r>
        <w:rPr>
          <w:color w:val="auto"/>
        </w:rPr>
        <w:t>153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_Toc19362 </w:instrText>
      </w:r>
      <w:r>
        <w:rPr>
          <w:rFonts w:ascii="Times New Roman" w:hAnsi="Times New Roman"/>
          <w:color w:val="auto"/>
          <w:szCs w:val="28"/>
        </w:rPr>
        <w:fldChar w:fldCharType="separate"/>
      </w:r>
      <w:r>
        <w:rPr>
          <w:rFonts w:ascii="Times New Roman" w:hAnsi="Times New Roman"/>
          <w:bCs/>
          <w:color w:val="auto"/>
          <w:szCs w:val="24"/>
        </w:rPr>
        <w:t>14.2 现场查勘辅助</w:t>
      </w:r>
      <w:r>
        <w:rPr>
          <w:color w:val="auto"/>
        </w:rPr>
        <w:tab/>
      </w:r>
      <w:r>
        <w:rPr>
          <w:color w:val="auto"/>
        </w:rPr>
        <w:fldChar w:fldCharType="begin"/>
      </w:r>
      <w:r>
        <w:rPr>
          <w:color w:val="auto"/>
        </w:rPr>
        <w:instrText xml:space="preserve"> PAGEREF _Toc19362 \h </w:instrText>
      </w:r>
      <w:r>
        <w:rPr>
          <w:color w:val="auto"/>
        </w:rPr>
        <w:fldChar w:fldCharType="separate"/>
      </w:r>
      <w:r>
        <w:rPr>
          <w:color w:val="auto"/>
        </w:rPr>
        <w:t>153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_Toc1368 </w:instrText>
      </w:r>
      <w:r>
        <w:rPr>
          <w:rFonts w:ascii="Times New Roman" w:hAnsi="Times New Roman"/>
          <w:color w:val="auto"/>
          <w:szCs w:val="28"/>
        </w:rPr>
        <w:fldChar w:fldCharType="separate"/>
      </w:r>
      <w:r>
        <w:rPr>
          <w:rFonts w:ascii="Times New Roman" w:hAnsi="Times New Roman"/>
          <w:bCs/>
          <w:color w:val="auto"/>
          <w:szCs w:val="24"/>
        </w:rPr>
        <w:t>14.3 调试督导</w:t>
      </w:r>
      <w:r>
        <w:rPr>
          <w:color w:val="auto"/>
        </w:rPr>
        <w:tab/>
      </w:r>
      <w:r>
        <w:rPr>
          <w:color w:val="auto"/>
        </w:rPr>
        <w:fldChar w:fldCharType="begin"/>
      </w:r>
      <w:r>
        <w:rPr>
          <w:color w:val="auto"/>
        </w:rPr>
        <w:instrText xml:space="preserve"> PAGEREF _Toc1368 \h </w:instrText>
      </w:r>
      <w:r>
        <w:rPr>
          <w:color w:val="auto"/>
        </w:rPr>
        <w:fldChar w:fldCharType="separate"/>
      </w:r>
      <w:r>
        <w:rPr>
          <w:color w:val="auto"/>
        </w:rPr>
        <w:t>153</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_Toc9936 </w:instrText>
      </w:r>
      <w:r>
        <w:rPr>
          <w:rFonts w:ascii="Times New Roman" w:hAnsi="Times New Roman"/>
          <w:color w:val="auto"/>
          <w:szCs w:val="28"/>
        </w:rPr>
        <w:fldChar w:fldCharType="separate"/>
      </w:r>
      <w:r>
        <w:rPr>
          <w:rFonts w:ascii="Times New Roman" w:hAnsi="Times New Roman"/>
          <w:bCs/>
          <w:color w:val="auto"/>
          <w:szCs w:val="24"/>
        </w:rPr>
        <w:t>14.4 质量保证</w:t>
      </w:r>
      <w:r>
        <w:rPr>
          <w:color w:val="auto"/>
        </w:rPr>
        <w:tab/>
      </w:r>
      <w:r>
        <w:rPr>
          <w:color w:val="auto"/>
        </w:rPr>
        <w:fldChar w:fldCharType="begin"/>
      </w:r>
      <w:r>
        <w:rPr>
          <w:color w:val="auto"/>
        </w:rPr>
        <w:instrText xml:space="preserve"> PAGEREF _Toc9936 \h </w:instrText>
      </w:r>
      <w:r>
        <w:rPr>
          <w:color w:val="auto"/>
        </w:rPr>
        <w:fldChar w:fldCharType="separate"/>
      </w:r>
      <w:r>
        <w:rPr>
          <w:color w:val="auto"/>
        </w:rPr>
        <w:t>154</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_Toc16014 </w:instrText>
      </w:r>
      <w:r>
        <w:rPr>
          <w:rFonts w:ascii="Times New Roman" w:hAnsi="Times New Roman"/>
          <w:color w:val="auto"/>
          <w:szCs w:val="28"/>
        </w:rPr>
        <w:fldChar w:fldCharType="separate"/>
      </w:r>
      <w:r>
        <w:rPr>
          <w:rFonts w:ascii="Times New Roman" w:hAnsi="Times New Roman"/>
          <w:bCs/>
          <w:color w:val="auto"/>
          <w:szCs w:val="24"/>
        </w:rPr>
        <w:t>14.5 售后服务</w:t>
      </w:r>
      <w:r>
        <w:rPr>
          <w:color w:val="auto"/>
        </w:rPr>
        <w:tab/>
      </w:r>
      <w:r>
        <w:rPr>
          <w:color w:val="auto"/>
        </w:rPr>
        <w:fldChar w:fldCharType="begin"/>
      </w:r>
      <w:r>
        <w:rPr>
          <w:color w:val="auto"/>
        </w:rPr>
        <w:instrText xml:space="preserve"> PAGEREF _Toc16014 \h </w:instrText>
      </w:r>
      <w:r>
        <w:rPr>
          <w:color w:val="auto"/>
        </w:rPr>
        <w:fldChar w:fldCharType="separate"/>
      </w:r>
      <w:r>
        <w:rPr>
          <w:color w:val="auto"/>
        </w:rPr>
        <w:t>154</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_Toc2838 </w:instrText>
      </w:r>
      <w:r>
        <w:rPr>
          <w:rFonts w:ascii="Times New Roman" w:hAnsi="Times New Roman"/>
          <w:color w:val="auto"/>
          <w:szCs w:val="28"/>
        </w:rPr>
        <w:fldChar w:fldCharType="separate"/>
      </w:r>
      <w:r>
        <w:rPr>
          <w:rFonts w:ascii="Times New Roman" w:hAnsi="Times New Roman"/>
          <w:color w:val="auto"/>
          <w:szCs w:val="24"/>
        </w:rPr>
        <w:t>15 其他</w:t>
      </w:r>
      <w:r>
        <w:rPr>
          <w:color w:val="auto"/>
        </w:rPr>
        <w:tab/>
      </w:r>
      <w:r>
        <w:rPr>
          <w:color w:val="auto"/>
        </w:rPr>
        <w:fldChar w:fldCharType="begin"/>
      </w:r>
      <w:r>
        <w:rPr>
          <w:color w:val="auto"/>
        </w:rPr>
        <w:instrText xml:space="preserve"> PAGEREF _Toc2838 \h </w:instrText>
      </w:r>
      <w:r>
        <w:rPr>
          <w:color w:val="auto"/>
        </w:rPr>
        <w:fldChar w:fldCharType="separate"/>
      </w:r>
      <w:r>
        <w:rPr>
          <w:color w:val="auto"/>
        </w:rPr>
        <w:t>155</w:t>
      </w:r>
      <w:r>
        <w:rPr>
          <w:color w:val="auto"/>
        </w:rPr>
        <w:fldChar w:fldCharType="end"/>
      </w:r>
      <w:r>
        <w:rPr>
          <w:rFonts w:ascii="Times New Roman" w:hAnsi="Times New Roman"/>
          <w:color w:val="auto"/>
          <w:szCs w:val="28"/>
        </w:rPr>
        <w:fldChar w:fldCharType="end"/>
      </w:r>
    </w:p>
    <w:p>
      <w:pPr>
        <w:pStyle w:val="46"/>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_Toc4518 </w:instrText>
      </w:r>
      <w:r>
        <w:rPr>
          <w:rFonts w:ascii="Times New Roman" w:hAnsi="Times New Roman"/>
          <w:color w:val="auto"/>
          <w:szCs w:val="28"/>
        </w:rPr>
        <w:fldChar w:fldCharType="separate"/>
      </w:r>
      <w:r>
        <w:rPr>
          <w:rFonts w:ascii="Times New Roman" w:hAnsi="Times New Roman"/>
          <w:bCs/>
          <w:color w:val="auto"/>
          <w:szCs w:val="24"/>
        </w:rPr>
        <w:t>15.1 上架标签治理</w:t>
      </w:r>
      <w:r>
        <w:rPr>
          <w:color w:val="auto"/>
        </w:rPr>
        <w:tab/>
      </w:r>
      <w:r>
        <w:rPr>
          <w:color w:val="auto"/>
        </w:rPr>
        <w:fldChar w:fldCharType="begin"/>
      </w:r>
      <w:r>
        <w:rPr>
          <w:color w:val="auto"/>
        </w:rPr>
        <w:instrText xml:space="preserve"> PAGEREF _Toc4518 \h </w:instrText>
      </w:r>
      <w:r>
        <w:rPr>
          <w:color w:val="auto"/>
        </w:rPr>
        <w:fldChar w:fldCharType="separate"/>
      </w:r>
      <w:r>
        <w:rPr>
          <w:color w:val="auto"/>
        </w:rPr>
        <w:t>155</w:t>
      </w:r>
      <w:r>
        <w:rPr>
          <w:color w:val="auto"/>
        </w:rPr>
        <w:fldChar w:fldCharType="end"/>
      </w:r>
      <w:r>
        <w:rPr>
          <w:rFonts w:ascii="Times New Roman" w:hAnsi="Times New Roman"/>
          <w:color w:val="auto"/>
          <w:szCs w:val="28"/>
        </w:rPr>
        <w:fldChar w:fldCharType="end"/>
      </w:r>
    </w:p>
    <w:p>
      <w:pPr>
        <w:pStyle w:val="39"/>
        <w:tabs>
          <w:tab w:val="right" w:leader="dot" w:pos="8660"/>
        </w:tabs>
        <w:rPr>
          <w:color w:val="auto"/>
        </w:rPr>
      </w:pPr>
      <w:r>
        <w:rPr>
          <w:rFonts w:ascii="Times New Roman" w:hAnsi="Times New Roman"/>
          <w:color w:val="auto"/>
          <w:szCs w:val="28"/>
        </w:rPr>
        <w:fldChar w:fldCharType="begin"/>
      </w:r>
      <w:r>
        <w:rPr>
          <w:rFonts w:ascii="Times New Roman" w:hAnsi="Times New Roman"/>
          <w:color w:val="auto"/>
          <w:szCs w:val="28"/>
        </w:rPr>
        <w:instrText xml:space="preserve"> HYPERLINK \l _Toc818 </w:instrText>
      </w:r>
      <w:r>
        <w:rPr>
          <w:rFonts w:ascii="Times New Roman" w:hAnsi="Times New Roman"/>
          <w:color w:val="auto"/>
          <w:szCs w:val="28"/>
        </w:rPr>
        <w:fldChar w:fldCharType="separate"/>
      </w:r>
      <w:r>
        <w:rPr>
          <w:rFonts w:ascii="Times New Roman" w:hAnsi="Times New Roman"/>
          <w:color w:val="auto"/>
          <w:szCs w:val="24"/>
        </w:rPr>
        <w:t>附件一：南网储能数字化标签技术规范</w:t>
      </w:r>
      <w:r>
        <w:rPr>
          <w:color w:val="auto"/>
        </w:rPr>
        <w:tab/>
      </w:r>
      <w:r>
        <w:rPr>
          <w:color w:val="auto"/>
        </w:rPr>
        <w:fldChar w:fldCharType="begin"/>
      </w:r>
      <w:r>
        <w:rPr>
          <w:color w:val="auto"/>
        </w:rPr>
        <w:instrText xml:space="preserve"> PAGEREF _Toc818 \h </w:instrText>
      </w:r>
      <w:r>
        <w:rPr>
          <w:color w:val="auto"/>
        </w:rPr>
        <w:fldChar w:fldCharType="separate"/>
      </w:r>
      <w:r>
        <w:rPr>
          <w:color w:val="auto"/>
        </w:rPr>
        <w:t>155</w:t>
      </w:r>
      <w:r>
        <w:rPr>
          <w:color w:val="auto"/>
        </w:rPr>
        <w:fldChar w:fldCharType="end"/>
      </w:r>
      <w:r>
        <w:rPr>
          <w:rFonts w:ascii="Times New Roman" w:hAnsi="Times New Roman"/>
          <w:color w:val="auto"/>
          <w:szCs w:val="28"/>
        </w:rPr>
        <w:fldChar w:fldCharType="end"/>
      </w:r>
    </w:p>
    <w:p>
      <w:pPr>
        <w:spacing w:line="360" w:lineRule="auto"/>
        <w:ind w:firstLine="420" w:firstLineChars="200"/>
        <w:rPr>
          <w:rFonts w:ascii="Times New Roman" w:hAnsi="Times New Roman"/>
          <w:color w:val="auto"/>
          <w:sz w:val="24"/>
          <w:szCs w:val="24"/>
        </w:rPr>
        <w:sectPr>
          <w:footerReference r:id="rId6" w:type="first"/>
          <w:headerReference r:id="rId3" w:type="default"/>
          <w:footerReference r:id="rId4" w:type="default"/>
          <w:footerReference r:id="rId5" w:type="even"/>
          <w:pgSz w:w="11900" w:h="16840"/>
          <w:pgMar w:top="1440" w:right="1440" w:bottom="1440" w:left="1800" w:header="720" w:footer="403" w:gutter="0"/>
          <w:cols w:space="720" w:num="1"/>
        </w:sectPr>
      </w:pPr>
      <w:r>
        <w:rPr>
          <w:rFonts w:ascii="Times New Roman" w:hAnsi="Times New Roman"/>
          <w:color w:val="auto"/>
          <w:szCs w:val="28"/>
        </w:rPr>
        <w:fldChar w:fldCharType="end"/>
      </w:r>
    </w:p>
    <w:p>
      <w:pPr>
        <w:pStyle w:val="3"/>
        <w:numPr>
          <w:ilvl w:val="0"/>
          <w:numId w:val="25"/>
        </w:numPr>
        <w:spacing w:line="360" w:lineRule="auto"/>
        <w:rPr>
          <w:rFonts w:ascii="Times New Roman" w:hAnsi="Times New Roman"/>
          <w:color w:val="auto"/>
          <w:sz w:val="24"/>
          <w:szCs w:val="24"/>
        </w:rPr>
      </w:pPr>
      <w:bookmarkStart w:id="0" w:name="_Toc25710"/>
      <w:bookmarkStart w:id="1" w:name="_Toc3718"/>
      <w:bookmarkStart w:id="2" w:name="_Toc30801"/>
      <w:bookmarkStart w:id="3" w:name="_Toc28921"/>
      <w:bookmarkStart w:id="4" w:name="_Toc29185"/>
      <w:bookmarkStart w:id="5" w:name="_Toc14863"/>
      <w:bookmarkStart w:id="6" w:name="_Toc7279"/>
      <w:bookmarkStart w:id="7" w:name="_Toc15893"/>
      <w:bookmarkStart w:id="8" w:name="_Toc32612"/>
      <w:bookmarkStart w:id="9" w:name="_Toc25110"/>
      <w:bookmarkStart w:id="10" w:name="_Toc22894"/>
      <w:bookmarkStart w:id="11" w:name="_Toc11110"/>
      <w:bookmarkStart w:id="12" w:name="_Toc4807"/>
      <w:bookmarkStart w:id="13" w:name="_Toc4919"/>
      <w:r>
        <w:rPr>
          <w:rFonts w:ascii="Times New Roman" w:hAnsi="Times New Roman"/>
          <w:color w:val="auto"/>
          <w:sz w:val="24"/>
          <w:szCs w:val="24"/>
        </w:rPr>
        <w:t>总则</w:t>
      </w:r>
      <w:bookmarkEnd w:id="0"/>
      <w:bookmarkEnd w:id="1"/>
      <w:bookmarkEnd w:id="2"/>
      <w:bookmarkEnd w:id="3"/>
      <w:bookmarkEnd w:id="4"/>
      <w:bookmarkEnd w:id="5"/>
      <w:bookmarkEnd w:id="6"/>
      <w:bookmarkEnd w:id="7"/>
      <w:bookmarkEnd w:id="8"/>
      <w:bookmarkEnd w:id="9"/>
      <w:bookmarkEnd w:id="10"/>
      <w:bookmarkEnd w:id="11"/>
      <w:bookmarkEnd w:id="12"/>
      <w:bookmarkEnd w:id="13"/>
    </w:p>
    <w:p>
      <w:pPr>
        <w:pStyle w:val="31"/>
        <w:numPr>
          <w:ilvl w:val="1"/>
          <w:numId w:val="26"/>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kern w:val="0"/>
          <w:sz w:val="24"/>
          <w:szCs w:val="24"/>
          <w:lang w:bidi="en-US"/>
        </w:rPr>
        <w:t>本技术规范书分为技术规范书通用部分和技术规范书专用部分，本文件为广东电白抽水蓄能电站信通工程设备</w:t>
      </w:r>
      <w:r>
        <w:rPr>
          <w:rFonts w:ascii="Times New Roman" w:hAnsi="Times New Roman"/>
          <w:color w:val="auto"/>
          <w:kern w:val="0"/>
          <w:sz w:val="24"/>
          <w:szCs w:val="24"/>
          <w:lang w:bidi="en-US"/>
        </w:rPr>
        <w:t>采购</w:t>
      </w:r>
      <w:r>
        <w:rPr>
          <w:rFonts w:hint="default" w:ascii="Times New Roman" w:hAnsi="Times New Roman"/>
          <w:color w:val="auto"/>
          <w:kern w:val="0"/>
          <w:sz w:val="24"/>
          <w:szCs w:val="24"/>
          <w:lang w:bidi="en-US"/>
        </w:rPr>
        <w:t>技术规范书通用部分。</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sz w:val="24"/>
          <w:szCs w:val="24"/>
        </w:rPr>
        <w:t>本技术规范书适</w:t>
      </w:r>
      <w:r>
        <w:rPr>
          <w:rFonts w:ascii="Times New Roman" w:hAnsi="Times New Roman"/>
          <w:color w:val="auto"/>
          <w:sz w:val="24"/>
          <w:szCs w:val="24"/>
        </w:rPr>
        <w:t>用</w:t>
      </w:r>
      <w:r>
        <w:rPr>
          <w:rFonts w:hint="default" w:ascii="Times New Roman" w:hAnsi="Times New Roman"/>
          <w:color w:val="auto"/>
          <w:sz w:val="24"/>
          <w:szCs w:val="24"/>
        </w:rPr>
        <w:t>于</w:t>
      </w:r>
      <w:r>
        <w:rPr>
          <w:rFonts w:hint="default" w:ascii="Times New Roman" w:hAnsi="Times New Roman"/>
          <w:color w:val="auto"/>
          <w:kern w:val="0"/>
          <w:sz w:val="24"/>
          <w:szCs w:val="24"/>
          <w:lang w:bidi="en-US"/>
        </w:rPr>
        <w:t>广东电白抽水蓄能电站信通工程项目</w:t>
      </w:r>
      <w:r>
        <w:rPr>
          <w:rFonts w:hint="default" w:ascii="Times New Roman" w:hAnsi="Times New Roman"/>
          <w:color w:val="auto"/>
          <w:sz w:val="24"/>
          <w:szCs w:val="24"/>
        </w:rPr>
        <w:t>语音交换系统、应急通信系统、仪器仪表、网络安全防护系统、通信电源、视频会议系统</w:t>
      </w:r>
      <w:r>
        <w:rPr>
          <w:rFonts w:ascii="Times New Roman" w:hAnsi="Times New Roman"/>
          <w:color w:val="auto"/>
          <w:sz w:val="24"/>
          <w:szCs w:val="24"/>
        </w:rPr>
        <w:t>、关键出入口控制系统</w:t>
      </w:r>
      <w:r>
        <w:rPr>
          <w:rFonts w:hint="default" w:ascii="Times New Roman" w:hAnsi="Times New Roman"/>
          <w:color w:val="auto"/>
          <w:sz w:val="24"/>
          <w:szCs w:val="24"/>
        </w:rPr>
        <w:t>等系统及其附属设备的制造，装配，工厂试验，交付</w:t>
      </w:r>
      <w:r>
        <w:rPr>
          <w:rFonts w:ascii="Times New Roman" w:hAnsi="Times New Roman"/>
          <w:color w:val="auto"/>
          <w:sz w:val="24"/>
          <w:szCs w:val="24"/>
        </w:rPr>
        <w:t>。</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应按照本招标文件的要求提供详细、完整的技术方案，该方案应完全满足或高于本招标文件要求，对于本招标文件中的某些部分，投标方如不能满足要求，或有其它替代方案，或有其它修改建议，应在技术方案中指出其必须进行修改的理由以及与原要求的差别。否则，招标方即认为投标方不能满足本招标文件的要求。对于本文件未规定的有关系统性能和功能，投标方应提出补充要求或建议，并陈述其理由。</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所投设备与本技术规范书的要求有差异时，应在投标技术规范书“技术偏差表”中加以详细描述。如投标方未在投标技术规范书中提出说明，招标方即认为投标方所投设备可以满足本技术规范书的要求且没有偏差；若在执行合同的过程中，招标方发现投标方提供的产品与其应标技术文件的条文存在差异，招标方有权利要求退货。</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投标方必须保证所投设备与现状网络组网的兼容性，实现设备的统一网管，满足网络整体运行的功能及性能需求，否则应予否决投标。</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除本招标文件另有说明外，投标方提供的所有设备均应按照国际标准、国家标准进行设计、制造、检验和安装。所用的标准必须是最新版本，如果这些标准的内容有矛盾时，应按照最高标准的条款执行或按双方协商同意的标准或条款执行。</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投标方应保证所提供的所有资料真实、完整、准确无误，否则招标方将有权取消投标方的中标资格，由此产生的一切后果由投标方承担。</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规范书的名词定义可参考合同范本的名词定义。招标方在任何时候保留和拥有对本文件的解释权。招标方有权在签定合同前，根据需要修改和补充本技术规范书，修改补充后的最终技术规范书将作为合同的附件。</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投标方负责招标范围内所涉及所有内容的深化设计、供货、系统集成、现场安装调试指导以及售后、培训等工作。</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投标方应负责相关设备及相关（大件）运输及所有相关工作（如保险、吊车等）。如由于运输、施工造成设备损坏，投标方应自行负责。</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本技术规范书中所有标注“★”的条款均为关键条款，投标方必须针对标注“★”的条款进行实质性响应，若投标方未响应或响应情况不满足要求，则应予</w:t>
      </w:r>
      <w:r>
        <w:rPr>
          <w:rFonts w:ascii="Times New Roman" w:hAnsi="Times New Roman"/>
          <w:color w:val="auto"/>
          <w:kern w:val="0"/>
          <w:sz w:val="24"/>
          <w:szCs w:val="24"/>
          <w:lang w:bidi="en-US"/>
        </w:rPr>
        <w:t>否决投标</w:t>
      </w:r>
      <w:r>
        <w:rPr>
          <w:rFonts w:hint="default" w:ascii="Times New Roman" w:hAnsi="Times New Roman"/>
          <w:color w:val="auto"/>
          <w:kern w:val="0"/>
          <w:sz w:val="24"/>
          <w:szCs w:val="24"/>
          <w:lang w:bidi="en-US"/>
        </w:rPr>
        <w:t>。所有标注“</w:t>
      </w:r>
      <w:r>
        <w:rPr>
          <w:rFonts w:hint="default" w:ascii="Times New Roman" w:hAnsi="Times New Roman"/>
          <w:color w:val="auto"/>
          <w:sz w:val="24"/>
          <w:szCs w:val="24"/>
        </w:rPr>
        <w:t>▲</w:t>
      </w:r>
      <w:r>
        <w:rPr>
          <w:rFonts w:hint="default" w:ascii="Times New Roman" w:hAnsi="Times New Roman"/>
          <w:color w:val="auto"/>
          <w:kern w:val="0"/>
          <w:sz w:val="24"/>
          <w:szCs w:val="24"/>
          <w:lang w:bidi="en-US"/>
        </w:rPr>
        <w:t>”的条款均为重要技术参数，</w:t>
      </w:r>
      <w:r>
        <w:rPr>
          <w:rFonts w:hint="default" w:ascii="Times New Roman" w:hAnsi="Times New Roman"/>
          <w:color w:val="auto"/>
          <w:sz w:val="24"/>
          <w:szCs w:val="24"/>
        </w:rPr>
        <w:t>不作为</w:t>
      </w:r>
      <w:r>
        <w:rPr>
          <w:rFonts w:ascii="Times New Roman" w:hAnsi="Times New Roman"/>
          <w:color w:val="auto"/>
          <w:sz w:val="24"/>
          <w:szCs w:val="24"/>
        </w:rPr>
        <w:t>否决投标</w:t>
      </w:r>
      <w:r>
        <w:rPr>
          <w:rFonts w:hint="default" w:ascii="Times New Roman" w:hAnsi="Times New Roman"/>
          <w:color w:val="auto"/>
          <w:sz w:val="24"/>
          <w:szCs w:val="24"/>
        </w:rPr>
        <w:t>项，投标方须逐项回应。</w:t>
      </w:r>
      <w:r>
        <w:rPr>
          <w:rFonts w:hint="default" w:ascii="Times New Roman" w:hAnsi="Times New Roman"/>
          <w:color w:val="auto"/>
          <w:kern w:val="0"/>
          <w:sz w:val="24"/>
          <w:szCs w:val="24"/>
          <w:lang w:bidi="en-US"/>
        </w:rPr>
        <w:t>其他均为一般技术参数。投标方在响应重要技术参数条款时，应附上具有国家认可的第三方认证机构测试合格的相关报告或标注满足此参数的厂家说明书（投标方应在测试报告或者厂家说明书重点标注出响应对应重要技术参数内容）</w:t>
      </w:r>
      <w:r>
        <w:rPr>
          <w:rFonts w:ascii="Times New Roman" w:hAnsi="Times New Roman"/>
          <w:color w:val="auto"/>
          <w:kern w:val="0"/>
          <w:sz w:val="24"/>
          <w:szCs w:val="24"/>
          <w:lang w:bidi="en-US"/>
        </w:rPr>
        <w:t>。</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应保证设备投运后使用寿命期内提供产品技术服务和备品备件供应，以及免费提供设备、板卡、网管最新软件版本及升级服务，网管升级后应兼容现有设备及板卡。投标设备、板卡等部件在正式投运后6年内不停产。如停产，投标方应保证有同类型或不低于原型号的设备或板卡供应，更换后的设备及板卡等部件不影响系统正常运行，包括但不限于系统的功能、性能以及与原设备网管系统的兼容性等，且应将产品的停产信息及替换方案至少提前1年书面告知招标方。在此期间，如设备或板卡等部件发生故障，质保期内，投标方将免费更换为同类型或不低于原型号的设备或板卡；质保期后，投标方将以不高于本项目合同的价格更换为同类型或不低于原型号的设备或板卡。</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投标方须提供质保期内7*24小时原厂保修售后服务，</w:t>
      </w:r>
      <w:r>
        <w:rPr>
          <w:rFonts w:hint="default" w:ascii="Times New Roman" w:hAnsi="Times New Roman"/>
          <w:color w:val="auto"/>
          <w:sz w:val="24"/>
          <w:szCs w:val="24"/>
        </w:rPr>
        <w:t>质保期从系统投入运行，经竣工验收合格签证当日开始计算（需提供原厂保修售后服务承诺文件）</w:t>
      </w:r>
      <w:r>
        <w:rPr>
          <w:rFonts w:hint="default" w:ascii="Times New Roman" w:hAnsi="Times New Roman"/>
          <w:color w:val="auto"/>
          <w:kern w:val="0"/>
          <w:sz w:val="24"/>
          <w:szCs w:val="24"/>
          <w:lang w:bidi="en-US"/>
        </w:rPr>
        <w:t>。通信设备、通信电源设备质保期为60个月，仪器仪表等其他设备质保期为36个月。投标方所投设备所属类别详见附件《供货一览表（报价明细表）》E列适用合同文本描述。</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若投标方为设备制造商，投标方应提供满足合同要求的设备制造商承诺书。若投标方为设备代理商，投标方应提供设备制造商的承诺书：承诺由设备制造商直接提供技术服务、直接负责投标方在投标文件承诺的所有技术实现。</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所投设备及网管软件原版本可能导致设备发生一般缺陷的，允许新、老版本同时存在，需配合运行维护单位进行检测升级。原软件版本可能导致设备发生紧急、重大缺陷的，应配合运行维护部门制定升级方案，并及时配合版本升级。</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投标方提供技术督导服务包括现场查勘辅助、配合设备开箱检查、指导设备安装及开机测试、指导单机调试及系统联调、指导业务开通及割接、配合验收测试等，以及提供对应的测试方法和资料。</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投标设备出现批次性、家族性缺陷，或板卡、插件长期返修率（按时间折合）＞2%/年，应实施设备召回机制。同时投标方应免费提供替换设备，并负责设备拆除、安装、运输等相关费用。</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对于有授权使用数量限制的软件，投标方应书面标出其基本配置可以合法使用的安装用户数量、使用级别和并发用户使用数量；详细说明再增加用户数与用户权限之间的关系。若投标方没有明确表述告知或对招标方隐瞒，造成招标方少配漏配、错配，导致授权数量、具体使用权限方面的版权纠纷，投标方应付全部责任。系统、设备、网管、网元、业务等所有需licence授权的报价均应包含在设备报价中，均满足设备满配置要求。</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技术规范书提出的是所招标设备的最低限度技术要求，并未对所有技术细节作出规定，也未充分引述有关标准和规范的条文；所使用的标准如与投标方所执行的标准不一致时，按较高标准执行，投标方提供符合本技术规范书及本技术规范书引用的国家标准和行业标准等标准的优质产品。</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根据国家《网络安全审查办法》要求，经招标方预判为需要向国家网络安全审查办公室申报网络安全审查的产品或服务，中标候选人/中标方有义务配合网络安全审查工作，所需申报材料应在接到招标方通知的 3 个工作日内提供，并不得利用提供产品和服务的便利条件非法获取用户数据、非法控制和操纵用户设备，无正当理由不得中断产品供应或必要的技术支持服务，产品和服务通过网络安全审查后方可确定中标方，未通过网络安全审查的取消中标资格。凡参与本次投标的投标方，视作承诺上述事项，中标候选人/中标方产品和服务因没有通过网络安全审查而造成的损失，自行承担相关责任与后果；中标候选人/中标方因未履行网络安全审查义务（包括不配合审查、故意隐瞒、提供虚假申报材料等）而造成招标方直接或间接损失的，招标方保留追究责任权利。</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本技术规范书应视为保证本项目信通系统运行所需设备与服务的最低要求，如有遗漏，投标方应予以补充，否则一旦中标将认为投标方认同遗漏部分并免费提供。</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投标方未经招标方同意，不得以任何形式向第三方公开本技术规范书。</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本技术规范书未尽事宜，由招标方和投标方在合同技术谈判时协商确定。</w:t>
      </w:r>
    </w:p>
    <w:p>
      <w:pPr>
        <w:pStyle w:val="31"/>
        <w:numPr>
          <w:ilvl w:val="1"/>
          <w:numId w:val="26"/>
        </w:numPr>
        <w:snapToGrid w:val="0"/>
        <w:spacing w:after="0" w:line="360" w:lineRule="auto"/>
        <w:ind w:left="0" w:firstLine="480" w:firstLineChars="200"/>
        <w:rPr>
          <w:rFonts w:hint="default" w:ascii="Times New Roman" w:hAnsi="Times New Roman"/>
          <w:color w:val="auto"/>
          <w:kern w:val="0"/>
          <w:sz w:val="24"/>
          <w:szCs w:val="24"/>
          <w:lang w:bidi="en-US"/>
        </w:rPr>
      </w:pPr>
      <w:r>
        <w:rPr>
          <w:rFonts w:hint="default" w:ascii="Times New Roman" w:hAnsi="Times New Roman"/>
          <w:color w:val="auto"/>
          <w:kern w:val="0"/>
          <w:sz w:val="24"/>
          <w:szCs w:val="24"/>
          <w:lang w:bidi="en-US"/>
        </w:rPr>
        <w:t>本技术规范书解释权属招标方所有。</w:t>
      </w:r>
    </w:p>
    <w:p>
      <w:pPr>
        <w:pStyle w:val="3"/>
        <w:numPr>
          <w:ilvl w:val="0"/>
          <w:numId w:val="25"/>
        </w:numPr>
        <w:spacing w:line="360" w:lineRule="auto"/>
        <w:rPr>
          <w:rFonts w:ascii="Times New Roman" w:hAnsi="Times New Roman"/>
          <w:color w:val="auto"/>
          <w:sz w:val="24"/>
          <w:szCs w:val="24"/>
        </w:rPr>
      </w:pPr>
      <w:bookmarkStart w:id="14" w:name="_Toc6119"/>
      <w:bookmarkStart w:id="15" w:name="_Toc4159"/>
      <w:bookmarkStart w:id="16" w:name="_Toc14930"/>
      <w:bookmarkStart w:id="17" w:name="_Toc2798"/>
      <w:bookmarkStart w:id="18" w:name="_Toc14619"/>
      <w:bookmarkStart w:id="19" w:name="_Toc5239"/>
      <w:bookmarkStart w:id="20" w:name="_Toc30647"/>
      <w:bookmarkStart w:id="21" w:name="_Toc9173"/>
      <w:bookmarkStart w:id="22" w:name="_Toc11389"/>
      <w:bookmarkStart w:id="23" w:name="_Toc14234"/>
      <w:bookmarkStart w:id="24" w:name="_Toc20245"/>
      <w:bookmarkStart w:id="25" w:name="_Toc28440"/>
      <w:bookmarkStart w:id="26" w:name="_Toc27697"/>
      <w:bookmarkStart w:id="27" w:name="_Toc8359"/>
      <w:r>
        <w:rPr>
          <w:rFonts w:ascii="Times New Roman" w:hAnsi="Times New Roman"/>
          <w:color w:val="auto"/>
          <w:sz w:val="24"/>
          <w:szCs w:val="24"/>
        </w:rPr>
        <w:t>工作范围</w:t>
      </w:r>
      <w:bookmarkEnd w:id="14"/>
      <w:bookmarkEnd w:id="15"/>
      <w:bookmarkEnd w:id="16"/>
      <w:bookmarkEnd w:id="17"/>
      <w:bookmarkEnd w:id="18"/>
      <w:bookmarkEnd w:id="19"/>
      <w:bookmarkEnd w:id="20"/>
      <w:bookmarkEnd w:id="21"/>
      <w:bookmarkEnd w:id="22"/>
      <w:bookmarkEnd w:id="23"/>
      <w:bookmarkEnd w:id="24"/>
      <w:bookmarkEnd w:id="25"/>
      <w:bookmarkEnd w:id="26"/>
      <w:bookmarkEnd w:id="27"/>
    </w:p>
    <w:p>
      <w:pPr>
        <w:pStyle w:val="4"/>
        <w:numPr>
          <w:ilvl w:val="1"/>
          <w:numId w:val="25"/>
        </w:numPr>
        <w:spacing w:line="360" w:lineRule="auto"/>
        <w:rPr>
          <w:rFonts w:ascii="Times New Roman" w:hAnsi="Times New Roman"/>
          <w:b/>
          <w:bCs/>
          <w:color w:val="auto"/>
          <w:sz w:val="24"/>
          <w:szCs w:val="24"/>
        </w:rPr>
      </w:pPr>
      <w:bookmarkStart w:id="28" w:name="_Toc29921"/>
      <w:bookmarkStart w:id="29" w:name="_Toc19468"/>
      <w:bookmarkStart w:id="30" w:name="_Toc13741"/>
      <w:bookmarkStart w:id="31" w:name="_Toc6291"/>
      <w:bookmarkStart w:id="32" w:name="_Toc12827"/>
      <w:bookmarkStart w:id="33" w:name="_Toc5117"/>
      <w:bookmarkStart w:id="34" w:name="_Toc25645"/>
      <w:bookmarkStart w:id="35" w:name="_Toc12904"/>
      <w:bookmarkStart w:id="36" w:name="_Toc10389"/>
      <w:bookmarkStart w:id="37" w:name="_Toc19343"/>
      <w:bookmarkStart w:id="38" w:name="_Toc8422"/>
      <w:bookmarkStart w:id="39" w:name="_Toc22633"/>
      <w:bookmarkStart w:id="40" w:name="_Toc5386"/>
      <w:bookmarkStart w:id="41" w:name="_Toc18797"/>
      <w:r>
        <w:rPr>
          <w:rFonts w:ascii="Times New Roman" w:hAnsi="Times New Roman"/>
          <w:b/>
          <w:bCs/>
          <w:color w:val="auto"/>
          <w:sz w:val="24"/>
          <w:szCs w:val="24"/>
        </w:rPr>
        <w:t>工程概况</w:t>
      </w:r>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本技术规范书适用的工程概况详见专用部分。</w:t>
      </w:r>
    </w:p>
    <w:p>
      <w:pPr>
        <w:pStyle w:val="4"/>
        <w:numPr>
          <w:ilvl w:val="1"/>
          <w:numId w:val="25"/>
        </w:numPr>
        <w:spacing w:line="360" w:lineRule="auto"/>
        <w:rPr>
          <w:rFonts w:ascii="Times New Roman" w:hAnsi="Times New Roman"/>
          <w:b/>
          <w:bCs/>
          <w:color w:val="auto"/>
          <w:sz w:val="24"/>
          <w:szCs w:val="24"/>
        </w:rPr>
      </w:pPr>
      <w:bookmarkStart w:id="42" w:name="_Toc1272"/>
      <w:bookmarkStart w:id="43" w:name="_Toc8769"/>
      <w:bookmarkStart w:id="44" w:name="_Toc21468"/>
      <w:bookmarkStart w:id="45" w:name="_Toc4011"/>
      <w:bookmarkStart w:id="46" w:name="_Toc7949"/>
      <w:bookmarkStart w:id="47" w:name="_Toc2239"/>
      <w:bookmarkStart w:id="48" w:name="_Toc2335"/>
      <w:bookmarkStart w:id="49" w:name="_Toc25409"/>
      <w:bookmarkStart w:id="50" w:name="_Toc13507"/>
      <w:bookmarkStart w:id="51" w:name="_Toc3415"/>
      <w:bookmarkStart w:id="52" w:name="_Toc12469"/>
      <w:bookmarkStart w:id="53" w:name="_Toc2631"/>
      <w:bookmarkStart w:id="54" w:name="_Toc18498"/>
      <w:bookmarkStart w:id="55" w:name="_Toc11768"/>
      <w:r>
        <w:rPr>
          <w:rFonts w:ascii="Times New Roman" w:hAnsi="Times New Roman"/>
          <w:b/>
          <w:bCs/>
          <w:color w:val="auto"/>
          <w:sz w:val="24"/>
          <w:szCs w:val="24"/>
        </w:rPr>
        <w:t>项目范围</w:t>
      </w:r>
      <w:bookmarkEnd w:id="42"/>
      <w:bookmarkEnd w:id="43"/>
      <w:bookmarkEnd w:id="44"/>
      <w:bookmarkEnd w:id="45"/>
      <w:bookmarkEnd w:id="46"/>
      <w:bookmarkEnd w:id="47"/>
      <w:bookmarkEnd w:id="48"/>
      <w:bookmarkEnd w:id="49"/>
      <w:bookmarkEnd w:id="50"/>
      <w:bookmarkEnd w:id="51"/>
      <w:bookmarkEnd w:id="52"/>
      <w:bookmarkEnd w:id="53"/>
      <w:bookmarkEnd w:id="54"/>
      <w:bookmarkEnd w:id="55"/>
    </w:p>
    <w:p>
      <w:pPr>
        <w:pStyle w:val="31"/>
        <w:widowControl/>
        <w:snapToGrid w:val="0"/>
        <w:spacing w:after="0" w:line="360" w:lineRule="auto"/>
        <w:ind w:firstLine="480" w:firstLineChars="200"/>
        <w:rPr>
          <w:rFonts w:hint="default" w:ascii="Times New Roman" w:hAnsi="Times New Roman"/>
          <w:color w:val="auto"/>
          <w:sz w:val="24"/>
          <w:szCs w:val="24"/>
        </w:rPr>
      </w:pPr>
      <w:bookmarkStart w:id="56" w:name="_Toc19867"/>
      <w:bookmarkStart w:id="57" w:name="_Toc30896"/>
      <w:bookmarkStart w:id="58" w:name="_Toc14397"/>
      <w:bookmarkStart w:id="59" w:name="_Toc18695"/>
      <w:bookmarkStart w:id="60" w:name="_Toc20876"/>
      <w:bookmarkStart w:id="61" w:name="_Toc16029"/>
      <w:bookmarkStart w:id="62" w:name="_Toc8604"/>
      <w:r>
        <w:rPr>
          <w:rFonts w:hint="default" w:ascii="Times New Roman" w:hAnsi="Times New Roman"/>
          <w:color w:val="auto"/>
          <w:sz w:val="24"/>
          <w:szCs w:val="24"/>
        </w:rPr>
        <w:t>本技术规范书适</w:t>
      </w:r>
      <w:r>
        <w:rPr>
          <w:rFonts w:ascii="Times New Roman" w:hAnsi="Times New Roman"/>
          <w:color w:val="auto"/>
          <w:sz w:val="24"/>
          <w:szCs w:val="24"/>
        </w:rPr>
        <w:t>用</w:t>
      </w:r>
      <w:r>
        <w:rPr>
          <w:rFonts w:hint="default" w:ascii="Times New Roman" w:hAnsi="Times New Roman"/>
          <w:color w:val="auto"/>
          <w:sz w:val="24"/>
          <w:szCs w:val="24"/>
        </w:rPr>
        <w:t>于</w:t>
      </w:r>
      <w:r>
        <w:rPr>
          <w:rFonts w:hint="default" w:ascii="Times New Roman" w:hAnsi="Times New Roman"/>
          <w:color w:val="auto"/>
          <w:kern w:val="0"/>
          <w:sz w:val="24"/>
          <w:szCs w:val="24"/>
          <w:lang w:bidi="en-US"/>
        </w:rPr>
        <w:t>广东电白抽水蓄能电站信通工程项目</w:t>
      </w:r>
      <w:r>
        <w:rPr>
          <w:rFonts w:hint="default" w:ascii="Times New Roman" w:hAnsi="Times New Roman"/>
          <w:color w:val="auto"/>
          <w:sz w:val="24"/>
          <w:szCs w:val="24"/>
        </w:rPr>
        <w:t>，建设范围涵盖广东电白抽水蓄能电站办公楼和开关站信通机房、</w:t>
      </w:r>
      <w:r>
        <w:rPr>
          <w:rFonts w:ascii="Times New Roman" w:hAnsi="Times New Roman"/>
          <w:color w:val="auto"/>
          <w:sz w:val="24"/>
          <w:szCs w:val="24"/>
        </w:rPr>
        <w:t>地下厂房副厂房</w:t>
      </w:r>
      <w:r>
        <w:rPr>
          <w:rFonts w:hint="default" w:ascii="Times New Roman" w:hAnsi="Times New Roman"/>
          <w:color w:val="auto"/>
          <w:sz w:val="24"/>
          <w:szCs w:val="24"/>
        </w:rPr>
        <w:t>数据机房的语音交换系统、应急通信系统、仪器仪表、网络安全防护系统、通信电源、视频会议系统</w:t>
      </w:r>
      <w:r>
        <w:rPr>
          <w:rFonts w:ascii="Times New Roman" w:hAnsi="Times New Roman"/>
          <w:color w:val="auto"/>
          <w:sz w:val="24"/>
          <w:szCs w:val="24"/>
        </w:rPr>
        <w:t>、关键出入口控制系统</w:t>
      </w:r>
      <w:r>
        <w:rPr>
          <w:rFonts w:hint="default" w:ascii="Times New Roman" w:hAnsi="Times New Roman"/>
          <w:color w:val="auto"/>
          <w:sz w:val="24"/>
          <w:szCs w:val="24"/>
        </w:rPr>
        <w:t>等系统及其附属设备的</w:t>
      </w:r>
      <w:r>
        <w:rPr>
          <w:rFonts w:ascii="Times New Roman" w:hAnsi="Times New Roman"/>
          <w:color w:val="auto"/>
          <w:sz w:val="24"/>
          <w:szCs w:val="24"/>
        </w:rPr>
        <w:t>采购</w:t>
      </w:r>
      <w:r>
        <w:rPr>
          <w:rFonts w:hint="default" w:ascii="Times New Roman" w:hAnsi="Times New Roman"/>
          <w:color w:val="auto"/>
          <w:sz w:val="24"/>
          <w:szCs w:val="24"/>
        </w:rPr>
        <w:t>交付</w:t>
      </w:r>
      <w:r>
        <w:rPr>
          <w:rFonts w:ascii="Times New Roman" w:hAnsi="Times New Roman"/>
          <w:color w:val="auto"/>
          <w:sz w:val="24"/>
          <w:szCs w:val="24"/>
        </w:rPr>
        <w:t>、质保期售后服务</w:t>
      </w:r>
      <w:r>
        <w:rPr>
          <w:rFonts w:hint="default" w:ascii="Times New Roman" w:hAnsi="Times New Roman"/>
          <w:color w:val="auto"/>
          <w:sz w:val="24"/>
          <w:szCs w:val="24"/>
        </w:rPr>
        <w:t>，以及指导现场安装调试、</w:t>
      </w:r>
      <w:r>
        <w:rPr>
          <w:rFonts w:ascii="Times New Roman" w:hAnsi="Times New Roman"/>
          <w:color w:val="auto"/>
          <w:sz w:val="24"/>
          <w:szCs w:val="24"/>
        </w:rPr>
        <w:t>配合</w:t>
      </w:r>
      <w:r>
        <w:rPr>
          <w:rFonts w:hint="default" w:ascii="Times New Roman" w:hAnsi="Times New Roman"/>
          <w:color w:val="auto"/>
          <w:sz w:val="24"/>
          <w:szCs w:val="24"/>
        </w:rPr>
        <w:t>通信</w:t>
      </w:r>
      <w:r>
        <w:rPr>
          <w:rFonts w:ascii="Times New Roman" w:hAnsi="Times New Roman"/>
          <w:color w:val="auto"/>
          <w:sz w:val="24"/>
          <w:szCs w:val="24"/>
        </w:rPr>
        <w:t>系统</w:t>
      </w:r>
      <w:r>
        <w:rPr>
          <w:rFonts w:hint="default" w:ascii="Times New Roman" w:hAnsi="Times New Roman"/>
          <w:color w:val="auto"/>
          <w:sz w:val="24"/>
          <w:szCs w:val="24"/>
        </w:rPr>
        <w:t>并网技术服务及设计深化</w:t>
      </w:r>
      <w:r>
        <w:rPr>
          <w:rFonts w:ascii="Times New Roman" w:hAnsi="Times New Roman"/>
          <w:color w:val="auto"/>
          <w:sz w:val="24"/>
          <w:szCs w:val="24"/>
        </w:rPr>
        <w:t>、验收</w:t>
      </w:r>
      <w:r>
        <w:rPr>
          <w:rFonts w:hint="default" w:ascii="Times New Roman" w:hAnsi="Times New Roman"/>
          <w:color w:val="auto"/>
          <w:sz w:val="24"/>
          <w:szCs w:val="24"/>
        </w:rPr>
        <w:t>工作。</w:t>
      </w:r>
    </w:p>
    <w:p>
      <w:pPr>
        <w:pStyle w:val="4"/>
        <w:numPr>
          <w:ilvl w:val="1"/>
          <w:numId w:val="25"/>
        </w:numPr>
        <w:spacing w:line="360" w:lineRule="auto"/>
        <w:rPr>
          <w:rFonts w:ascii="Times New Roman" w:hAnsi="Times New Roman"/>
          <w:b/>
          <w:bCs/>
          <w:color w:val="auto"/>
          <w:sz w:val="24"/>
          <w:szCs w:val="24"/>
        </w:rPr>
      </w:pPr>
      <w:bookmarkStart w:id="63" w:name="_Toc1370"/>
      <w:bookmarkStart w:id="64" w:name="_Toc1269"/>
      <w:bookmarkStart w:id="65" w:name="_Toc9524"/>
      <w:bookmarkStart w:id="66" w:name="_Toc28650"/>
      <w:bookmarkStart w:id="67" w:name="_Toc10715"/>
      <w:bookmarkStart w:id="68" w:name="_Toc29265"/>
      <w:bookmarkStart w:id="69" w:name="_Toc1451"/>
      <w:r>
        <w:rPr>
          <w:rFonts w:ascii="Times New Roman" w:hAnsi="Times New Roman"/>
          <w:b/>
          <w:bCs/>
          <w:color w:val="auto"/>
          <w:sz w:val="24"/>
          <w:szCs w:val="24"/>
        </w:rPr>
        <w:t>招标方与投标方职责</w:t>
      </w:r>
      <w:bookmarkEnd w:id="56"/>
      <w:bookmarkEnd w:id="57"/>
      <w:bookmarkEnd w:id="58"/>
      <w:bookmarkEnd w:id="59"/>
      <w:bookmarkEnd w:id="60"/>
      <w:bookmarkEnd w:id="61"/>
      <w:bookmarkEnd w:id="62"/>
      <w:bookmarkEnd w:id="63"/>
      <w:bookmarkEnd w:id="64"/>
      <w:bookmarkEnd w:id="65"/>
      <w:bookmarkEnd w:id="66"/>
      <w:bookmarkEnd w:id="67"/>
      <w:bookmarkEnd w:id="68"/>
      <w:bookmarkEnd w:id="69"/>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 xml:space="preserve"> 招标方职责</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1）提供投标方进行方案建议和设备配置过程中所需的信息。</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2）审查投标方提供的技术文件和图纸，审议并确认项目进度、设计联络会议、试验及验收计划等。</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3）确认投标方提供的工厂验收（FAT）大纲，参加技术培训和工厂验收，负责设备和系统的验收。</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4）提供与其他设备之间连接的接口要求。</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5）负责组织设备安装现场的布置，并提供设备供电电源。</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6）负责组织设备现场安装，参加设备和系统的调试，组织现场验收试验（SAT）。</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7）提供投标方所派人员在现场工作时的必要帮助。</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 xml:space="preserve"> 投标方职责</w:t>
      </w:r>
    </w:p>
    <w:p>
      <w:pPr>
        <w:pStyle w:val="31"/>
        <w:snapToGrid w:val="0"/>
        <w:spacing w:after="0" w:line="360" w:lineRule="auto"/>
        <w:ind w:firstLine="480" w:firstLineChars="200"/>
        <w:rPr>
          <w:rFonts w:hint="default" w:ascii="Times New Roman" w:hAnsi="Times New Roman"/>
          <w:color w:val="auto"/>
          <w:sz w:val="24"/>
          <w:szCs w:val="24"/>
        </w:rPr>
      </w:pPr>
      <w:r>
        <w:rPr>
          <w:rFonts w:hint="eastAsia" w:ascii="Times New Roman" w:hAnsi="Times New Roman"/>
          <w:color w:val="auto"/>
          <w:sz w:val="24"/>
          <w:szCs w:val="24"/>
          <w:lang w:val="en-US" w:eastAsia="zh-CN"/>
        </w:rPr>
        <w:t>投标方应按合同要求</w:t>
      </w:r>
      <w:r>
        <w:rPr>
          <w:rFonts w:hint="default" w:ascii="Times New Roman" w:hAnsi="Times New Roman"/>
          <w:color w:val="auto"/>
          <w:sz w:val="24"/>
          <w:szCs w:val="24"/>
        </w:rPr>
        <w:t>提供技术服务，</w:t>
      </w:r>
      <w:r>
        <w:rPr>
          <w:rFonts w:hint="eastAsia" w:ascii="Times New Roman" w:hAnsi="Times New Roman"/>
          <w:color w:val="auto"/>
          <w:sz w:val="24"/>
          <w:szCs w:val="24"/>
          <w:lang w:val="en-US" w:eastAsia="zh-CN"/>
        </w:rPr>
        <w:t>指派技术服务人员开展如下工作：</w:t>
      </w:r>
      <w:r>
        <w:rPr>
          <w:rFonts w:hint="default" w:ascii="Times New Roman" w:hAnsi="Times New Roman"/>
          <w:color w:val="auto"/>
          <w:sz w:val="24"/>
          <w:szCs w:val="24"/>
        </w:rPr>
        <w:t>包括但不限于针对</w:t>
      </w:r>
      <w:r>
        <w:rPr>
          <w:rFonts w:hint="eastAsia" w:ascii="Times New Roman" w:hAnsi="Times New Roman"/>
          <w:color w:val="auto"/>
          <w:sz w:val="24"/>
          <w:szCs w:val="24"/>
          <w:lang w:val="en-US" w:eastAsia="zh-CN"/>
        </w:rPr>
        <w:t>投标方</w:t>
      </w:r>
      <w:r>
        <w:rPr>
          <w:rFonts w:hint="default" w:ascii="Times New Roman" w:hAnsi="Times New Roman"/>
          <w:color w:val="auto"/>
          <w:sz w:val="24"/>
          <w:szCs w:val="24"/>
        </w:rPr>
        <w:t>设备特点对第三方开展安装工艺及关键点培训以及安装调试现场指导</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对招标方开展技术培训</w:t>
      </w:r>
      <w:r>
        <w:rPr>
          <w:rFonts w:hint="default" w:ascii="Times New Roman" w:hAnsi="Times New Roman"/>
          <w:color w:val="auto"/>
          <w:sz w:val="24"/>
          <w:szCs w:val="24"/>
        </w:rPr>
        <w:t>。</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投标方应配合设计单位对供货设备的安装、接线、线缆布线、调试等进行深化设计，设计图纸及资料应满足本技术规范相关要求，费用应已含于总价中。投标方还应负责以下工作：</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1）投标方应配合设计单位编制施工设计图纸供招标方审查，项目完成后配合设计单位编制竣工图纸供招标方使用。</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2）投标方应基于本技术规范书所述的建设方案，提供详细的技术建议和配置清单。协助招标方编制项目实施方案及业务割接方案等。</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3）负责供货范围内所有设备的包装及运输。</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4）负责提供符合本技术规范书要求的设备，提供设备安装调试的现场技术督导服务。</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5）提供合同范围内的所有设备的专用或定制的连接线缆（包括配件）、专用电缆及其插头插座等。</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6）负责提供工厂验收试验（FAT）大纲，并经招标方确认。</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7）按照项目实施需要，投标方负责组织厂验及相关协调会，厂验地点设置在设备工厂所在地，厂验及协调会的参会人数在20人左右，具体由双方在会前协商，产生的相关费用由投标方负责。</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8）负责对招标方的技术培训，其中电源系统设备需提供原厂培训服务（5*5/人天），产生的相关费用由投标方负责。每个系统需提供不少于5次的现场培训，培训场地由招标方提供。</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9）提供设备的图纸、技术文件、用户手册、维护手册等资料（用户手册、维护手册须提供简体中文版），并对所提供的全部技术资料的准确性负责，资料和图纸应提供电子版及书面材料。按南方电网《一书三册》要求提供产品说明书、安装手册、运维手册及检修手册。</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10）负责合同范围内的所有设备在现场安装后的通电检查和单机调试、配合招标方完成系统联调，保证系统正常运行，并协助完成验收等工作。</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11）应及时提出并解决对系统开通、安全运行有影响的隐患。</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12）负责供货范围内设备在试验、试运行、验收投运和质保期内的故障排除。</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13）指定专人负责协调投标方在项目全过程的各项工作。</w:t>
      </w:r>
    </w:p>
    <w:p>
      <w:pPr>
        <w:pStyle w:val="3"/>
        <w:numPr>
          <w:ilvl w:val="0"/>
          <w:numId w:val="25"/>
        </w:numPr>
        <w:spacing w:line="360" w:lineRule="auto"/>
        <w:rPr>
          <w:rFonts w:ascii="Times New Roman" w:hAnsi="Times New Roman"/>
          <w:color w:val="auto"/>
          <w:sz w:val="24"/>
          <w:szCs w:val="24"/>
        </w:rPr>
      </w:pPr>
      <w:bookmarkStart w:id="70" w:name="_Toc17081"/>
      <w:bookmarkStart w:id="71" w:name="_Toc9531"/>
      <w:bookmarkStart w:id="72" w:name="_Toc3189"/>
      <w:bookmarkStart w:id="73" w:name="_Toc18606"/>
      <w:bookmarkStart w:id="74" w:name="_Toc22887"/>
      <w:bookmarkStart w:id="75" w:name="_Toc22814"/>
      <w:bookmarkStart w:id="76" w:name="_Toc31369"/>
      <w:bookmarkStart w:id="77" w:name="_Toc15430"/>
      <w:bookmarkStart w:id="78" w:name="_Toc28467"/>
      <w:bookmarkStart w:id="79" w:name="_Toc17943"/>
      <w:bookmarkStart w:id="80" w:name="_Toc20801"/>
      <w:bookmarkStart w:id="81" w:name="_Toc9283"/>
      <w:bookmarkStart w:id="82" w:name="_Toc26030"/>
      <w:bookmarkStart w:id="83" w:name="_Toc32736"/>
      <w:r>
        <w:rPr>
          <w:rFonts w:ascii="Times New Roman" w:hAnsi="Times New Roman"/>
          <w:color w:val="auto"/>
          <w:sz w:val="24"/>
          <w:szCs w:val="24"/>
        </w:rPr>
        <w:t>应遵循的主要标准</w:t>
      </w:r>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4"/>
        <w:numPr>
          <w:ilvl w:val="1"/>
          <w:numId w:val="25"/>
        </w:numPr>
        <w:spacing w:line="360" w:lineRule="auto"/>
        <w:rPr>
          <w:rFonts w:ascii="Times New Roman" w:hAnsi="Times New Roman"/>
          <w:b/>
          <w:bCs/>
          <w:color w:val="auto"/>
          <w:sz w:val="24"/>
          <w:szCs w:val="24"/>
        </w:rPr>
      </w:pPr>
      <w:bookmarkStart w:id="84" w:name="_Toc168399495"/>
      <w:bookmarkEnd w:id="84"/>
      <w:bookmarkStart w:id="85" w:name="_Toc16247"/>
      <w:bookmarkStart w:id="86" w:name="_Toc21809"/>
      <w:bookmarkStart w:id="87" w:name="_Toc30610"/>
      <w:bookmarkStart w:id="88" w:name="_Toc2300"/>
      <w:bookmarkStart w:id="89" w:name="_Toc15477"/>
      <w:bookmarkStart w:id="90" w:name="_Toc3663"/>
      <w:bookmarkStart w:id="91" w:name="_Toc32675"/>
      <w:bookmarkStart w:id="92" w:name="_Toc15459"/>
      <w:bookmarkStart w:id="93" w:name="_Toc31271"/>
      <w:bookmarkStart w:id="94" w:name="_Toc4462"/>
      <w:bookmarkStart w:id="95" w:name="_Toc26737"/>
      <w:bookmarkStart w:id="96" w:name="_Toc5022"/>
      <w:bookmarkStart w:id="97" w:name="_Toc32229"/>
      <w:bookmarkStart w:id="98" w:name="_Toc26881"/>
      <w:r>
        <w:rPr>
          <w:rFonts w:ascii="Times New Roman" w:hAnsi="Times New Roman"/>
          <w:b/>
          <w:bCs/>
          <w:color w:val="auto"/>
          <w:sz w:val="24"/>
          <w:szCs w:val="24"/>
        </w:rPr>
        <w:t>总体要求</w:t>
      </w:r>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投标方提供的系统方案及设备须满足以下要求：</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应具备国家相关质量检测部门质量检测合格证明或 CCC 认证。</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系统方案与设备遵守先进、成熟、实用、易用、灵活、开放、稳定和可扩充的原则。</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设备必须是</w:t>
      </w:r>
      <w:r>
        <w:rPr>
          <w:rFonts w:ascii="Times New Roman" w:hAnsi="Times New Roman"/>
          <w:color w:val="auto"/>
          <w:sz w:val="24"/>
          <w:szCs w:val="24"/>
        </w:rPr>
        <w:t>符合技术要求</w:t>
      </w:r>
      <w:r>
        <w:rPr>
          <w:rFonts w:hint="default" w:ascii="Times New Roman" w:hAnsi="Times New Roman"/>
          <w:color w:val="auto"/>
          <w:sz w:val="24"/>
          <w:szCs w:val="24"/>
        </w:rPr>
        <w:t>的专业产品，须具有良好的成功案例</w:t>
      </w:r>
      <w:r>
        <w:rPr>
          <w:rFonts w:ascii="Times New Roman" w:hAnsi="Times New Roman"/>
          <w:color w:val="auto"/>
          <w:sz w:val="24"/>
          <w:szCs w:val="24"/>
        </w:rPr>
        <w:t>和完善的售后服务体系</w:t>
      </w:r>
      <w:r>
        <w:rPr>
          <w:rFonts w:hint="default" w:ascii="Times New Roman" w:hAnsi="Times New Roman"/>
          <w:color w:val="auto"/>
          <w:sz w:val="24"/>
          <w:szCs w:val="24"/>
        </w:rPr>
        <w:t>。</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系统采用标准化、模块化设计，技术先进，易于扩充、操作简单、维护方便，稳定可靠。</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系统保证 7×24 小时不间断稳定工作。</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技术方案及软、硬件系统配置应符合有关标准（例如ISO建议、IEEE标准、IETF建议等）及我国国家标准、信息产业部部颁标准，投标方若不作说明，则视为符合上述标准。</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本技术规范书所使用的标准如与投标方所执行的标准不一致时，按较高标准执行。投标设备如采用行业标准或投标方自定标准，必须在应答书中明确指出。</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投标方提供的各项设备和系统的特点、性能应完全符合招标方指明的标准，并满足或高于招标方提出的要求。</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投标方在广东省区域具备一定规模的工程服务队伍，并在本工程实施的各地区均具备提供服务的能力（服务时间及质量要求参见本招标技术规范书相关章节）保证本工程各节点设备维修备件的及时供应。</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自本项目合同签订之日起3年内，如果招标方提出对网络扩容、升级等工作的要求，投标方应予以协助，对于新购置的设备，应以不高于本次招标单价提供给招标方。</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建议的技术方案及软、硬件系统配置应符合有关标准(例如ISO标准、IEC标准、ITU-T建议、GB标准和IETF建议等)，投标方若不作说明，则视为符合上述标准。若投标方的设备包含有自己专用标准，应在项目建议书中具体说明，并附上相应的详细的技术资料。</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投标方应承诺所提供的网络系统设备本身不能有任何安全隐患，对此应承担终身责任。任何由设备安全引起的招标方的事故，投标方应承担连带责任。</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本招标技术条件书应视为保证信通系统运行所需设备与服务的最低要求，如有遗漏，投标方应予以补充，否则一旦中标将认为投标方认同遗漏部分并免费提供。</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供应设备的技术规范及这些设备构成网络系统的性能应符合本招标技术规范书的要求。投标方应列出包括附件和投标方外购设备在内的定购产品所参照的规范标准和标准号，且这些规范标准和标准号应包括任何修改或补充部分的最新版本或修订本，上述内容均应编在建议书中。任何与本招标技术条件书相关条款不同的内容都应指出，并详细说明原因。</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投标方提供的设备应符合最新的、可适用的国际电工委员会（IEC ）、国际电信联盟标准化组织（ITU-T）建议和中国国家标准、信息产业部标准，但投标方可以提供经招标方认可的符合产地同类工艺国家标准的设备或材料。在后者情况下，用英语复制有关标准或章节随投标文件同时提供。</w:t>
      </w:r>
    </w:p>
    <w:p>
      <w:pPr>
        <w:pStyle w:val="31"/>
        <w:numPr>
          <w:ilvl w:val="0"/>
          <w:numId w:val="27"/>
        </w:numPr>
        <w:snapToGrid w:val="0"/>
        <w:spacing w:after="0" w:line="360" w:lineRule="auto"/>
        <w:ind w:left="0" w:firstLine="480" w:firstLineChars="200"/>
        <w:rPr>
          <w:rFonts w:hint="default" w:ascii="Times New Roman" w:hAnsi="Times New Roman"/>
          <w:color w:val="auto"/>
          <w:sz w:val="24"/>
          <w:szCs w:val="24"/>
        </w:rPr>
      </w:pPr>
      <w:r>
        <w:rPr>
          <w:rFonts w:hint="default" w:ascii="Times New Roman" w:hAnsi="Times New Roman"/>
          <w:color w:val="auto"/>
          <w:sz w:val="24"/>
          <w:szCs w:val="24"/>
        </w:rPr>
        <w:t>对于有授权使用数量限制的软件，投标方应书面标出其基本配置可以合法使用的安装用户数量、使用级别和并发用户使用数量及单价，详细说明每个模块授权数量的价格计算方法，以后再增加用户数的价格计算方法，以及各种用户权限数之间的关系。若投标方没有明确表述告知或对招标方隐瞒，造成招标方少配、漏配、错配，导致授权数量、具体使用权限方面的版权纠纷，投标方应付全部责任。</w:t>
      </w:r>
    </w:p>
    <w:p>
      <w:pPr>
        <w:pStyle w:val="31"/>
        <w:numPr>
          <w:ilvl w:val="0"/>
          <w:numId w:val="27"/>
        </w:numPr>
        <w:snapToGrid w:val="0"/>
        <w:spacing w:after="0" w:line="360" w:lineRule="auto"/>
        <w:ind w:left="0" w:firstLine="480" w:firstLineChars="200"/>
        <w:rPr>
          <w:rFonts w:hint="default" w:ascii="Times New Roman" w:hAnsi="Times New Roman"/>
          <w:b/>
          <w:bCs/>
          <w:color w:val="auto"/>
          <w:sz w:val="24"/>
          <w:szCs w:val="24"/>
          <w:lang w:bidi="en-US"/>
        </w:rPr>
      </w:pPr>
      <w:r>
        <w:rPr>
          <w:rFonts w:hint="default" w:ascii="Times New Roman" w:hAnsi="Times New Roman"/>
          <w:color w:val="auto"/>
          <w:sz w:val="24"/>
          <w:szCs w:val="24"/>
        </w:rPr>
        <w:t>★</w:t>
      </w:r>
      <w:r>
        <w:rPr>
          <w:rFonts w:ascii="Times New Roman" w:hAnsi="Times New Roman"/>
          <w:b/>
          <w:bCs/>
          <w:color w:val="auto"/>
          <w:sz w:val="24"/>
          <w:szCs w:val="24"/>
        </w:rPr>
        <w:t>投标方所投</w:t>
      </w:r>
      <w:r>
        <w:rPr>
          <w:rFonts w:hint="default" w:ascii="Times New Roman" w:hAnsi="Times New Roman"/>
          <w:b/>
          <w:bCs/>
          <w:color w:val="auto"/>
          <w:sz w:val="24"/>
          <w:szCs w:val="24"/>
          <w:lang w:bidi="en-US"/>
        </w:rPr>
        <w:t>设备自主可控要求：</w:t>
      </w:r>
      <w:r>
        <w:rPr>
          <w:rFonts w:ascii="Times New Roman" w:hAnsi="Times New Roman"/>
          <w:b/>
          <w:bCs/>
          <w:color w:val="auto"/>
          <w:sz w:val="24"/>
          <w:szCs w:val="24"/>
          <w:lang w:bidi="en-US"/>
        </w:rPr>
        <w:t>（</w:t>
      </w:r>
      <w:r>
        <w:rPr>
          <w:rFonts w:hint="default" w:ascii="Times New Roman" w:hAnsi="Times New Roman"/>
          <w:b/>
          <w:bCs/>
          <w:color w:val="auto"/>
          <w:sz w:val="24"/>
          <w:szCs w:val="24"/>
          <w:lang w:bidi="en-US"/>
        </w:rPr>
        <w:t>1</w:t>
      </w:r>
      <w:r>
        <w:rPr>
          <w:rFonts w:ascii="Times New Roman" w:hAnsi="Times New Roman"/>
          <w:b/>
          <w:bCs/>
          <w:color w:val="auto"/>
          <w:sz w:val="24"/>
          <w:szCs w:val="24"/>
          <w:lang w:bidi="en-US"/>
        </w:rPr>
        <w:t>）设备</w:t>
      </w:r>
      <w:r>
        <w:rPr>
          <w:rFonts w:hint="default" w:ascii="Times New Roman" w:hAnsi="Times New Roman"/>
          <w:b/>
          <w:bCs/>
          <w:color w:val="auto"/>
          <w:sz w:val="24"/>
          <w:szCs w:val="24"/>
          <w:lang w:bidi="en-US"/>
        </w:rPr>
        <w:t>CPU</w:t>
      </w:r>
      <w:r>
        <w:rPr>
          <w:rFonts w:ascii="Times New Roman" w:hAnsi="Times New Roman"/>
          <w:b/>
          <w:bCs/>
          <w:color w:val="auto"/>
          <w:sz w:val="24"/>
          <w:szCs w:val="24"/>
          <w:lang w:bidi="en-US"/>
        </w:rPr>
        <w:t>等核心硬件，操作系统等核心软件，应使用中国信息安全测评中心（</w:t>
      </w:r>
      <w:r>
        <w:rPr>
          <w:rFonts w:hint="default" w:ascii="Times New Roman" w:hAnsi="Times New Roman"/>
          <w:b/>
          <w:bCs/>
          <w:color w:val="auto"/>
          <w:sz w:val="24"/>
          <w:szCs w:val="24"/>
          <w:lang w:bidi="en-US"/>
        </w:rPr>
        <w:t>www.itsec.gov.cn</w:t>
      </w:r>
      <w:r>
        <w:rPr>
          <w:rFonts w:ascii="Times New Roman" w:hAnsi="Times New Roman"/>
          <w:b/>
          <w:bCs/>
          <w:color w:val="auto"/>
          <w:sz w:val="24"/>
          <w:szCs w:val="24"/>
          <w:lang w:bidi="en-US"/>
        </w:rPr>
        <w:t>）发布安全可靠测评公告发布产品。（2）</w:t>
      </w:r>
      <w:r>
        <w:rPr>
          <w:rFonts w:hint="default" w:ascii="Times New Roman" w:hAnsi="Times New Roman"/>
          <w:b/>
          <w:bCs/>
          <w:color w:val="auto"/>
          <w:sz w:val="24"/>
          <w:szCs w:val="24"/>
          <w:lang w:bidi="en-US"/>
        </w:rPr>
        <w:t>未纳入安全可靠测评公告类别软硬件应落实</w:t>
      </w:r>
      <w:r>
        <w:rPr>
          <w:rFonts w:hint="eastAsia" w:ascii="Times New Roman" w:hAnsi="Times New Roman"/>
          <w:b/>
          <w:bCs/>
          <w:color w:val="auto"/>
          <w:sz w:val="24"/>
          <w:szCs w:val="24"/>
          <w:lang w:val="en-US" w:eastAsia="zh-CN" w:bidi="en-US"/>
        </w:rPr>
        <w:t>自主可控</w:t>
      </w:r>
      <w:r>
        <w:rPr>
          <w:rFonts w:hint="default" w:ascii="Times New Roman" w:hAnsi="Times New Roman"/>
          <w:b/>
          <w:bCs/>
          <w:color w:val="auto"/>
          <w:sz w:val="24"/>
          <w:szCs w:val="24"/>
          <w:lang w:bidi="en-US"/>
        </w:rPr>
        <w:t>芯片与集成电路等要求。</w:t>
      </w:r>
      <w:r>
        <w:rPr>
          <w:rFonts w:ascii="Times New Roman" w:hAnsi="Times New Roman"/>
          <w:b/>
          <w:bCs/>
          <w:color w:val="auto"/>
          <w:sz w:val="24"/>
          <w:szCs w:val="24"/>
          <w:lang w:bidi="en-US"/>
        </w:rPr>
        <w:t>（3）提供符合上述自主可控要求的相应证明材料。</w:t>
      </w:r>
      <w:r>
        <w:rPr>
          <w:rFonts w:hint="default" w:ascii="Times New Roman" w:hAnsi="Times New Roman"/>
          <w:color w:val="auto"/>
          <w:sz w:val="24"/>
          <w:szCs w:val="24"/>
        </w:rPr>
        <w:t>产品包括但不限于堡垒机、防病毒服务器、入侵检测装置、流量回溯分析装置、入侵防御装置、WAF、网络准入装置、高清视频切换矩阵、中控主机</w:t>
      </w:r>
      <w:r>
        <w:rPr>
          <w:rFonts w:ascii="Times New Roman" w:hAnsi="Times New Roman"/>
          <w:color w:val="auto"/>
          <w:sz w:val="24"/>
          <w:szCs w:val="24"/>
        </w:rPr>
        <w:t>、视频会议终端、卫星电话、天通猫</w:t>
      </w:r>
      <w:r>
        <w:rPr>
          <w:rFonts w:hint="default" w:ascii="Times New Roman" w:hAnsi="Times New Roman"/>
          <w:color w:val="auto"/>
          <w:sz w:val="24"/>
          <w:szCs w:val="24"/>
        </w:rPr>
        <w:t>等。</w:t>
      </w:r>
    </w:p>
    <w:p>
      <w:pPr>
        <w:pStyle w:val="4"/>
        <w:numPr>
          <w:ilvl w:val="1"/>
          <w:numId w:val="25"/>
        </w:numPr>
        <w:spacing w:line="360" w:lineRule="auto"/>
        <w:rPr>
          <w:rFonts w:ascii="Times New Roman" w:hAnsi="Times New Roman"/>
          <w:b/>
          <w:bCs/>
          <w:color w:val="auto"/>
          <w:sz w:val="24"/>
          <w:szCs w:val="24"/>
        </w:rPr>
      </w:pPr>
      <w:bookmarkStart w:id="99" w:name="_Toc27628"/>
      <w:bookmarkStart w:id="100" w:name="_Toc3901"/>
      <w:bookmarkStart w:id="101" w:name="_Toc14015"/>
      <w:bookmarkStart w:id="102" w:name="_Toc30528"/>
      <w:bookmarkStart w:id="103" w:name="_Toc16899"/>
      <w:bookmarkStart w:id="104" w:name="_Toc5394"/>
      <w:bookmarkStart w:id="105" w:name="_Toc23695"/>
      <w:bookmarkStart w:id="106" w:name="_Toc11372"/>
      <w:bookmarkStart w:id="107" w:name="_Toc26845"/>
      <w:bookmarkStart w:id="108" w:name="_Toc31928"/>
      <w:bookmarkStart w:id="109" w:name="_Toc12186"/>
      <w:bookmarkStart w:id="110" w:name="_Toc1610"/>
      <w:bookmarkStart w:id="111" w:name="_Toc25914"/>
      <w:bookmarkStart w:id="112" w:name="_Toc27720"/>
      <w:r>
        <w:rPr>
          <w:rFonts w:ascii="Times New Roman" w:hAnsi="Times New Roman"/>
          <w:b/>
          <w:bCs/>
          <w:color w:val="auto"/>
          <w:sz w:val="24"/>
          <w:szCs w:val="24"/>
        </w:rPr>
        <w:t>应遵循的主要标准</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tabs>
          <w:tab w:val="left" w:pos="420"/>
        </w:tabs>
        <w:adjustRightInd w:val="0"/>
        <w:snapToGrid w:val="0"/>
        <w:spacing w:line="360" w:lineRule="auto"/>
        <w:ind w:firstLine="480" w:firstLineChars="200"/>
        <w:contextualSpacing/>
        <w:rPr>
          <w:rFonts w:ascii="Times New Roman" w:hAnsi="Times New Roman"/>
          <w:color w:val="auto"/>
          <w:sz w:val="24"/>
          <w:szCs w:val="24"/>
        </w:rPr>
      </w:pPr>
      <w:r>
        <w:rPr>
          <w:rFonts w:ascii="Times New Roman" w:hAnsi="Times New Roman"/>
          <w:color w:val="auto"/>
          <w:sz w:val="24"/>
          <w:szCs w:val="24"/>
        </w:rPr>
        <w:t>本项目应遵循国家、行业和南网的企业标准和规范，包括不限于下列标准所包含的条文。在本技术规范书出版时，所示版本均为有效。所有标准都会被修订，使用本技术规范书的各方应探讨使用下列标准最新版本的可能性。按标准号顺序排列标准，如果各标准要求有所不同，满足更高的标准要求。（凡是注明日期的引用文件，仅注日期的版本适用于本文件。凡未注明日期的引用文件，其最新版本适用于本文件。）</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《中华人民共和国电力法》；</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《电力安全事故应急处置和调查处理条例》（国务院令第599号）；</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《电力监控系统安全防护规定》（国家发展和改革委员会令</w:t>
      </w:r>
      <w:r>
        <w:rPr>
          <w:rFonts w:hint="eastAsia" w:ascii="Times New Roman" w:hAnsi="Times New Roman"/>
          <w:color w:val="auto"/>
          <w:sz w:val="24"/>
          <w:szCs w:val="24"/>
        </w:rPr>
        <w:t>2024年第27号</w:t>
      </w:r>
      <w:r>
        <w:rPr>
          <w:rFonts w:ascii="Times New Roman" w:hAnsi="Times New Roman"/>
          <w:color w:val="auto"/>
          <w:sz w:val="24"/>
          <w:szCs w:val="24"/>
        </w:rPr>
        <w:t>）；</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《国家电力监管委员会安全生产令》（国家电力监管委员会第1号令）；</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《电力监控系统安全防护总体方案》（国能安全〔2015〕36号）；</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《南方电网发展战略纲要（2019版）》；</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《南方电网“十</w:t>
      </w:r>
      <w:r>
        <w:rPr>
          <w:rFonts w:hint="eastAsia" w:ascii="Times New Roman" w:hAnsi="Times New Roman"/>
          <w:color w:val="auto"/>
          <w:sz w:val="24"/>
          <w:szCs w:val="24"/>
        </w:rPr>
        <w:t>五</w:t>
      </w:r>
      <w:r>
        <w:rPr>
          <w:rFonts w:ascii="Times New Roman" w:hAnsi="Times New Roman"/>
          <w:color w:val="auto"/>
          <w:sz w:val="24"/>
          <w:szCs w:val="24"/>
        </w:rPr>
        <w:t>五”电网二次规划  第五卷：通信网络》</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w:t>
      </w:r>
      <w:r>
        <w:rPr>
          <w:rFonts w:ascii="Times New Roman" w:hAnsi="Times New Roman"/>
          <w:color w:val="auto"/>
          <w:sz w:val="24"/>
          <w:szCs w:val="24"/>
          <w:lang w:eastAsia="zh"/>
        </w:rPr>
        <w:t>南方电网储能公司</w:t>
      </w:r>
      <w:r>
        <w:rPr>
          <w:rFonts w:ascii="Times New Roman" w:hAnsi="Times New Roman"/>
          <w:color w:val="auto"/>
          <w:sz w:val="24"/>
          <w:szCs w:val="24"/>
        </w:rPr>
        <w:t>“十</w:t>
      </w:r>
      <w:r>
        <w:rPr>
          <w:rFonts w:hint="eastAsia" w:ascii="Times New Roman" w:hAnsi="Times New Roman"/>
          <w:color w:val="auto"/>
          <w:sz w:val="24"/>
          <w:szCs w:val="24"/>
        </w:rPr>
        <w:t>五</w:t>
      </w:r>
      <w:r>
        <w:rPr>
          <w:rFonts w:ascii="Times New Roman" w:hAnsi="Times New Roman"/>
          <w:color w:val="auto"/>
          <w:sz w:val="24"/>
          <w:szCs w:val="24"/>
        </w:rPr>
        <w:t>五”信息化实施计划》</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w:t>
      </w:r>
      <w:r>
        <w:rPr>
          <w:rFonts w:ascii="Times New Roman" w:hAnsi="Times New Roman"/>
          <w:color w:val="auto"/>
          <w:sz w:val="24"/>
          <w:szCs w:val="24"/>
          <w:lang w:eastAsia="zh"/>
        </w:rPr>
        <w:t>南方电网储能公司</w:t>
      </w:r>
      <w:r>
        <w:rPr>
          <w:rFonts w:ascii="Times New Roman" w:hAnsi="Times New Roman"/>
          <w:color w:val="auto"/>
          <w:sz w:val="24"/>
          <w:szCs w:val="24"/>
        </w:rPr>
        <w:t>“十</w:t>
      </w:r>
      <w:r>
        <w:rPr>
          <w:rFonts w:hint="eastAsia" w:ascii="Times New Roman" w:hAnsi="Times New Roman"/>
          <w:color w:val="auto"/>
          <w:sz w:val="24"/>
          <w:szCs w:val="24"/>
        </w:rPr>
        <w:t>五</w:t>
      </w:r>
      <w:r>
        <w:rPr>
          <w:rFonts w:ascii="Times New Roman" w:hAnsi="Times New Roman"/>
          <w:color w:val="auto"/>
          <w:sz w:val="24"/>
          <w:szCs w:val="24"/>
        </w:rPr>
        <w:t>五”通信系统规划报告》</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《建筑物防雷设计规范》（GB 50057）；</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《数据中心设计规范》（GB 50174-2017）；</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 xml:space="preserve">《建筑物电子信息系统防雷技术规范》（GB 50343）； </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 xml:space="preserve">《220kV～750kV变电站设计技术规程》（GB/T 5218）； </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《电力调度通信中心工程设计规范》（GB/T 50980）；</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《变电站通信网络和系统》（DL 860 / IEC 61850）；</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 xml:space="preserve">《电力系统通信设计技术规定》（DL/T 544）；  </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《电力系统通信设计导则》（DL/T 5599-2021）；</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《中国南方电网电力调度管理规程》（Q/CSG 21003）；</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《南方电网光通信网络技术规范》（Q/CSG 110002）；</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《中国南方电网有限责任公司电力事故事件调查规程》（Q/CSG210020）；</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《电力系统光传送网(OTN)技术要求》（DL/T 1509）；</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《电力调度数据网技术规范》（DL/T</w:t>
      </w:r>
      <w:r>
        <w:rPr>
          <w:rFonts w:hint="eastAsia" w:ascii="Times New Roman" w:hAnsi="Times New Roman"/>
          <w:color w:val="auto"/>
          <w:sz w:val="24"/>
          <w:szCs w:val="24"/>
        </w:rPr>
        <w:t xml:space="preserve"> </w:t>
      </w:r>
      <w:r>
        <w:rPr>
          <w:rFonts w:ascii="Times New Roman" w:hAnsi="Times New Roman"/>
          <w:color w:val="auto"/>
          <w:sz w:val="24"/>
          <w:szCs w:val="24"/>
        </w:rPr>
        <w:t>1306）；</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《基于SDH的电力自动交换光网络(ASON)技术规范》（DL/T</w:t>
      </w:r>
      <w:r>
        <w:rPr>
          <w:rFonts w:hint="eastAsia" w:ascii="Times New Roman" w:hAnsi="Times New Roman"/>
          <w:color w:val="auto"/>
          <w:sz w:val="24"/>
          <w:szCs w:val="24"/>
        </w:rPr>
        <w:t xml:space="preserve"> </w:t>
      </w:r>
      <w:r>
        <w:rPr>
          <w:rFonts w:ascii="Times New Roman" w:hAnsi="Times New Roman"/>
          <w:color w:val="auto"/>
          <w:sz w:val="24"/>
          <w:szCs w:val="24"/>
        </w:rPr>
        <w:t>1291）；</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《电力通信直流电源系统技术规范》（DL/T 1909-48V）；</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《南方电网电力光缆技术规范》（Q/CSG 110003）；</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《南方电网电力监控系统安全防护技术规范》（Q/CSG 110005）；</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《南方电网语音交换系统技术规范》（Q/CSG 110009）；</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《南方电网数据网络技术规范》（Q/CSG 110015）；</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《南方电网数字及时间同步系统技术规范》（Q/CSG 110018）；</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《南方电网通信网络生产应用接口技术规范》（Q/CSG 110020）；</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《南方电网通信电源技术规范》（Q/CSG 110021）；</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《南方电网调度自动化系统不间断电源配置规范》（</w:t>
      </w:r>
      <w:r>
        <w:rPr>
          <w:rFonts w:ascii="Times New Roman" w:hAnsi="Times New Roman"/>
          <w:color w:val="auto"/>
          <w:kern w:val="0"/>
          <w:sz w:val="24"/>
          <w:szCs w:val="24"/>
        </w:rPr>
        <w:t>Q/CSG 115001</w:t>
      </w:r>
      <w:r>
        <w:rPr>
          <w:rFonts w:ascii="Times New Roman" w:hAnsi="Times New Roman"/>
          <w:color w:val="auto"/>
          <w:sz w:val="24"/>
          <w:szCs w:val="24"/>
        </w:rPr>
        <w:t>）；</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《南方电网通信运行管控系统技术规范》（Q/CSG 118002）；</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《中国南方电网有限责任公司电力事故（事件）调查规程（试行）》（Q/CSG 210026）；</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《中国南方电网有限责任公司二次系统管理规定》（Q/CSG 211010）；</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《中国南方电网电力应急通信管理规定》（南网总调调通〔2008〕17号）；</w:t>
      </w:r>
    </w:p>
    <w:p>
      <w:pPr>
        <w:numPr>
          <w:ilvl w:val="0"/>
          <w:numId w:val="28"/>
        </w:numPr>
        <w:tabs>
          <w:tab w:val="left" w:pos="840"/>
        </w:tabs>
        <w:spacing w:line="360" w:lineRule="auto"/>
        <w:rPr>
          <w:rFonts w:ascii="Times New Roman" w:hAnsi="Times New Roman"/>
          <w:color w:val="auto"/>
          <w:sz w:val="24"/>
          <w:szCs w:val="24"/>
        </w:rPr>
      </w:pPr>
      <w:r>
        <w:rPr>
          <w:rFonts w:ascii="Times New Roman" w:hAnsi="Times New Roman"/>
          <w:color w:val="auto"/>
          <w:sz w:val="24"/>
          <w:szCs w:val="24"/>
        </w:rPr>
        <w:t>《南方电网备用调度建设与管理指导意见》。</w:t>
      </w:r>
    </w:p>
    <w:p>
      <w:pPr>
        <w:pStyle w:val="71"/>
        <w:numPr>
          <w:ilvl w:val="0"/>
          <w:numId w:val="28"/>
        </w:numPr>
        <w:rPr>
          <w:rFonts w:ascii="Times New Roman" w:hAnsi="Times New Roman"/>
          <w:color w:val="auto"/>
        </w:rPr>
      </w:pPr>
      <w:r>
        <w:rPr>
          <w:rFonts w:ascii="Times New Roman" w:hAnsi="Times New Roman"/>
          <w:color w:val="auto"/>
        </w:rPr>
        <w:t>通信现状资料。</w:t>
      </w:r>
    </w:p>
    <w:p>
      <w:pPr>
        <w:pStyle w:val="3"/>
        <w:numPr>
          <w:ilvl w:val="0"/>
          <w:numId w:val="25"/>
        </w:numPr>
        <w:spacing w:line="360" w:lineRule="auto"/>
        <w:rPr>
          <w:rFonts w:ascii="Times New Roman" w:hAnsi="Times New Roman"/>
          <w:color w:val="auto"/>
          <w:sz w:val="24"/>
          <w:szCs w:val="24"/>
        </w:rPr>
      </w:pPr>
      <w:bookmarkStart w:id="113" w:name="_Toc15547"/>
      <w:bookmarkStart w:id="114" w:name="_Toc16926"/>
      <w:bookmarkStart w:id="115" w:name="_Toc18977"/>
      <w:bookmarkStart w:id="116" w:name="_Toc30158"/>
      <w:bookmarkStart w:id="117" w:name="_Toc23693"/>
      <w:bookmarkStart w:id="118" w:name="_Toc2002"/>
      <w:bookmarkStart w:id="119" w:name="_Toc4653"/>
      <w:bookmarkStart w:id="120" w:name="_Toc23607"/>
      <w:bookmarkStart w:id="121" w:name="_Toc2493"/>
      <w:bookmarkStart w:id="122" w:name="_Toc23134"/>
      <w:bookmarkStart w:id="123" w:name="_Toc21673"/>
      <w:bookmarkStart w:id="124" w:name="_Toc26929"/>
      <w:bookmarkStart w:id="125" w:name="_Toc19784"/>
      <w:bookmarkStart w:id="126" w:name="_Toc3121"/>
      <w:r>
        <w:rPr>
          <w:rFonts w:ascii="Times New Roman" w:hAnsi="Times New Roman"/>
          <w:color w:val="auto"/>
          <w:sz w:val="24"/>
          <w:szCs w:val="24"/>
        </w:rPr>
        <w:t>设备到货计划</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设备到货计划见专用部分。</w:t>
      </w:r>
      <w:r>
        <w:rPr>
          <w:rFonts w:hint="default" w:ascii="Times New Roman" w:hAnsi="Times New Roman"/>
          <w:color w:val="auto"/>
          <w:sz w:val="24"/>
          <w:szCs w:val="24"/>
          <w:lang w:val="zh-CN"/>
        </w:rPr>
        <w:t>在具体实施过程中，该计划的进度要求部分需经中标方、招标方共同协商最终确定，中标方负责按项目进度表组织</w:t>
      </w:r>
      <w:r>
        <w:rPr>
          <w:rFonts w:hint="default" w:ascii="Times New Roman" w:hAnsi="Times New Roman"/>
          <w:color w:val="auto"/>
          <w:sz w:val="24"/>
          <w:szCs w:val="24"/>
        </w:rPr>
        <w:t>设备</w:t>
      </w:r>
      <w:r>
        <w:rPr>
          <w:rFonts w:hint="default" w:ascii="Times New Roman" w:hAnsi="Times New Roman"/>
          <w:color w:val="auto"/>
          <w:sz w:val="24"/>
          <w:szCs w:val="24"/>
          <w:lang w:val="zh-CN"/>
        </w:rPr>
        <w:t xml:space="preserve">采购。合同签定后中标方应在2周内向招标方提供一份详尽的进度计划表。 </w:t>
      </w:r>
    </w:p>
    <w:p>
      <w:pPr>
        <w:pStyle w:val="3"/>
        <w:numPr>
          <w:ilvl w:val="0"/>
          <w:numId w:val="25"/>
        </w:numPr>
        <w:spacing w:line="360" w:lineRule="auto"/>
        <w:rPr>
          <w:rFonts w:ascii="Times New Roman" w:hAnsi="Times New Roman"/>
          <w:color w:val="auto"/>
          <w:sz w:val="24"/>
          <w:szCs w:val="24"/>
        </w:rPr>
      </w:pPr>
      <w:bookmarkStart w:id="127" w:name="_Toc24790"/>
      <w:bookmarkStart w:id="128" w:name="_Toc29242"/>
      <w:bookmarkStart w:id="129" w:name="_Toc31305"/>
      <w:bookmarkStart w:id="130" w:name="_Toc26346"/>
      <w:bookmarkStart w:id="131" w:name="_Toc2365"/>
      <w:bookmarkStart w:id="132" w:name="_Toc7586"/>
      <w:bookmarkStart w:id="133" w:name="_Toc17851"/>
      <w:bookmarkStart w:id="134" w:name="_Toc25700"/>
      <w:bookmarkStart w:id="135" w:name="_Toc32230"/>
      <w:bookmarkStart w:id="136" w:name="_Toc24186"/>
      <w:bookmarkStart w:id="137" w:name="_Toc8772"/>
      <w:bookmarkStart w:id="138" w:name="_Toc16688"/>
      <w:bookmarkStart w:id="139" w:name="_Toc17909"/>
      <w:bookmarkStart w:id="140" w:name="_Toc1134"/>
      <w:r>
        <w:rPr>
          <w:rFonts w:ascii="Times New Roman" w:hAnsi="Times New Roman"/>
          <w:color w:val="auto"/>
          <w:sz w:val="24"/>
          <w:szCs w:val="24"/>
        </w:rPr>
        <w:t>使用条件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pStyle w:val="4"/>
        <w:numPr>
          <w:ilvl w:val="1"/>
          <w:numId w:val="25"/>
        </w:numPr>
        <w:spacing w:line="360" w:lineRule="auto"/>
        <w:rPr>
          <w:rFonts w:ascii="Times New Roman" w:hAnsi="Times New Roman"/>
          <w:b/>
          <w:bCs/>
          <w:color w:val="auto"/>
          <w:sz w:val="24"/>
          <w:szCs w:val="24"/>
        </w:rPr>
      </w:pPr>
      <w:bookmarkStart w:id="141" w:name="_Toc6690"/>
      <w:bookmarkStart w:id="142" w:name="_Toc24040"/>
      <w:bookmarkStart w:id="143" w:name="_Toc16328"/>
      <w:bookmarkStart w:id="144" w:name="_Toc26518"/>
      <w:bookmarkStart w:id="145" w:name="_Toc22933"/>
      <w:bookmarkStart w:id="146" w:name="_Toc4710"/>
      <w:bookmarkStart w:id="147" w:name="_Toc17372"/>
      <w:bookmarkStart w:id="148" w:name="_Toc20190"/>
      <w:bookmarkStart w:id="149" w:name="_Toc32049"/>
      <w:bookmarkStart w:id="150" w:name="_Toc32727"/>
      <w:bookmarkStart w:id="151" w:name="_Toc15007"/>
      <w:bookmarkStart w:id="152" w:name="_Toc9779"/>
      <w:bookmarkStart w:id="153" w:name="_Toc3435"/>
      <w:bookmarkStart w:id="154" w:name="_Toc29136"/>
      <w:r>
        <w:rPr>
          <w:rFonts w:ascii="Times New Roman" w:hAnsi="Times New Roman"/>
          <w:b/>
          <w:bCs/>
          <w:color w:val="auto"/>
          <w:sz w:val="24"/>
          <w:szCs w:val="24"/>
        </w:rPr>
        <w:t>正常使用条件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厂家所提供的设备应可以在这样的环境下保持正常工作，其持续工作时间应满足前述设备不间断工作时间要求。</w:t>
      </w:r>
    </w:p>
    <w:p>
      <w:pPr>
        <w:pStyle w:val="31"/>
        <w:snapToGrid w:val="0"/>
        <w:spacing w:after="0" w:line="360" w:lineRule="auto"/>
        <w:ind w:firstLine="480" w:firstLineChars="200"/>
        <w:rPr>
          <w:rFonts w:hint="default" w:ascii="Times New Roman" w:hAnsi="Times New Roman"/>
          <w:color w:val="auto"/>
          <w:sz w:val="24"/>
          <w:szCs w:val="24"/>
        </w:rPr>
      </w:pPr>
      <w:bookmarkStart w:id="155" w:name="_Toc85420047"/>
      <w:bookmarkStart w:id="156" w:name="_Toc86331485"/>
      <w:bookmarkStart w:id="157" w:name="_Toc85419341"/>
      <w:r>
        <w:rPr>
          <w:rFonts w:hint="default" w:ascii="Times New Roman" w:hAnsi="Times New Roman"/>
          <w:color w:val="auto"/>
          <w:sz w:val="24"/>
          <w:szCs w:val="24"/>
        </w:rPr>
        <w:t>1）海拔高度：≤2000米。</w:t>
      </w:r>
      <w:bookmarkEnd w:id="155"/>
      <w:bookmarkEnd w:id="156"/>
      <w:bookmarkEnd w:id="157"/>
    </w:p>
    <w:p>
      <w:pPr>
        <w:pStyle w:val="31"/>
        <w:snapToGrid w:val="0"/>
        <w:spacing w:after="0" w:line="360" w:lineRule="auto"/>
        <w:ind w:firstLine="480" w:firstLineChars="200"/>
        <w:rPr>
          <w:rFonts w:hint="default" w:ascii="Times New Roman" w:hAnsi="Times New Roman"/>
          <w:color w:val="auto"/>
          <w:sz w:val="24"/>
          <w:szCs w:val="24"/>
        </w:rPr>
      </w:pPr>
      <w:bookmarkStart w:id="158" w:name="_Toc85419342"/>
      <w:bookmarkStart w:id="159" w:name="_Toc86331486"/>
      <w:bookmarkStart w:id="160" w:name="_Toc85420048"/>
      <w:r>
        <w:rPr>
          <w:rFonts w:hint="default" w:ascii="Times New Roman" w:hAnsi="Times New Roman"/>
          <w:color w:val="auto"/>
          <w:sz w:val="24"/>
          <w:szCs w:val="24"/>
        </w:rPr>
        <w:t>2）耐地震能力</w:t>
      </w:r>
      <w:bookmarkEnd w:id="158"/>
      <w:bookmarkEnd w:id="159"/>
      <w:bookmarkEnd w:id="160"/>
      <w:r>
        <w:rPr>
          <w:rFonts w:hint="default" w:ascii="Times New Roman" w:hAnsi="Times New Roman"/>
          <w:color w:val="auto"/>
          <w:sz w:val="24"/>
          <w:szCs w:val="24"/>
        </w:rPr>
        <w:t>：</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地面水平加速度：0.2g。</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地面垂直加速度：0.15g。</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抗地震：里氏7级(美式9级)。</w:t>
      </w:r>
    </w:p>
    <w:p>
      <w:pPr>
        <w:pStyle w:val="31"/>
        <w:snapToGrid w:val="0"/>
        <w:spacing w:after="0" w:line="360" w:lineRule="auto"/>
        <w:ind w:firstLine="480" w:firstLineChars="200"/>
        <w:rPr>
          <w:rFonts w:hint="default" w:ascii="Times New Roman" w:hAnsi="Times New Roman"/>
          <w:color w:val="auto"/>
          <w:sz w:val="24"/>
          <w:szCs w:val="24"/>
        </w:rPr>
      </w:pPr>
      <w:bookmarkStart w:id="161" w:name="_Toc86331487"/>
      <w:bookmarkStart w:id="162" w:name="_Toc85419343"/>
      <w:bookmarkStart w:id="163" w:name="_Toc85420049"/>
      <w:r>
        <w:rPr>
          <w:rFonts w:hint="default" w:ascii="Times New Roman" w:hAnsi="Times New Roman"/>
          <w:color w:val="auto"/>
          <w:sz w:val="24"/>
          <w:szCs w:val="24"/>
        </w:rPr>
        <w:t>3）环境温度湿度</w:t>
      </w:r>
      <w:bookmarkEnd w:id="161"/>
      <w:bookmarkEnd w:id="162"/>
      <w:bookmarkEnd w:id="163"/>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环境温度：-5℃ ～ 45℃。</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相对湿度：30％～80％。</w:t>
      </w:r>
    </w:p>
    <w:p>
      <w:pPr>
        <w:pStyle w:val="31"/>
        <w:snapToGrid w:val="0"/>
        <w:spacing w:after="0" w:line="360" w:lineRule="auto"/>
        <w:ind w:firstLine="480" w:firstLineChars="200"/>
        <w:rPr>
          <w:rFonts w:hint="default" w:ascii="Times New Roman" w:hAnsi="Times New Roman"/>
          <w:color w:val="auto"/>
          <w:sz w:val="24"/>
          <w:szCs w:val="24"/>
        </w:rPr>
      </w:pPr>
      <w:bookmarkStart w:id="164" w:name="_Toc85420050"/>
      <w:bookmarkStart w:id="165" w:name="_Toc86331488"/>
      <w:bookmarkStart w:id="166" w:name="_Toc85419344"/>
      <w:r>
        <w:rPr>
          <w:rFonts w:hint="default" w:ascii="Times New Roman" w:hAnsi="Times New Roman"/>
          <w:color w:val="auto"/>
          <w:sz w:val="24"/>
          <w:szCs w:val="24"/>
        </w:rPr>
        <w:t>4）抗电磁干扰：140βμV/m</w:t>
      </w:r>
      <w:bookmarkEnd w:id="164"/>
      <w:bookmarkEnd w:id="165"/>
      <w:bookmarkEnd w:id="166"/>
      <w:r>
        <w:rPr>
          <w:rFonts w:hint="default" w:ascii="Times New Roman" w:hAnsi="Times New Roman"/>
          <w:color w:val="auto"/>
          <w:sz w:val="24"/>
          <w:szCs w:val="24"/>
        </w:rPr>
        <w:t>（交换机频率范围在0.01~10000MHz内）。</w:t>
      </w:r>
    </w:p>
    <w:p>
      <w:pPr>
        <w:pStyle w:val="4"/>
        <w:numPr>
          <w:ilvl w:val="1"/>
          <w:numId w:val="25"/>
        </w:numPr>
        <w:spacing w:line="360" w:lineRule="auto"/>
        <w:rPr>
          <w:rFonts w:ascii="Times New Roman" w:hAnsi="Times New Roman"/>
          <w:b/>
          <w:bCs/>
          <w:color w:val="auto"/>
          <w:sz w:val="24"/>
          <w:szCs w:val="24"/>
        </w:rPr>
      </w:pPr>
      <w:bookmarkStart w:id="167" w:name="_Toc6936"/>
      <w:bookmarkStart w:id="168" w:name="_Toc30878"/>
      <w:bookmarkStart w:id="169" w:name="_Toc21085"/>
      <w:bookmarkStart w:id="170" w:name="_Toc4114"/>
      <w:bookmarkStart w:id="171" w:name="_Toc14770"/>
      <w:bookmarkStart w:id="172" w:name="_Toc24806"/>
      <w:bookmarkStart w:id="173" w:name="_Toc18546"/>
      <w:bookmarkStart w:id="174" w:name="_Toc343"/>
      <w:bookmarkStart w:id="175" w:name="_Toc24464"/>
      <w:bookmarkStart w:id="176" w:name="_Toc17319"/>
      <w:bookmarkStart w:id="177" w:name="_Toc15910"/>
      <w:bookmarkStart w:id="178" w:name="_Toc23814"/>
      <w:bookmarkStart w:id="179" w:name="_Toc5845"/>
      <w:bookmarkStart w:id="180" w:name="_Toc2589"/>
      <w:r>
        <w:rPr>
          <w:rFonts w:ascii="Times New Roman" w:hAnsi="Times New Roman"/>
          <w:b/>
          <w:bCs/>
          <w:color w:val="auto"/>
          <w:sz w:val="24"/>
          <w:szCs w:val="24"/>
        </w:rPr>
        <w:t>特殊使用条件要求</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无。</w:t>
      </w:r>
    </w:p>
    <w:p>
      <w:pPr>
        <w:pStyle w:val="4"/>
        <w:numPr>
          <w:ilvl w:val="1"/>
          <w:numId w:val="25"/>
        </w:numPr>
        <w:spacing w:line="360" w:lineRule="auto"/>
        <w:rPr>
          <w:rFonts w:ascii="Times New Roman" w:hAnsi="Times New Roman"/>
          <w:b/>
          <w:bCs/>
          <w:color w:val="auto"/>
          <w:sz w:val="24"/>
          <w:szCs w:val="24"/>
        </w:rPr>
      </w:pPr>
      <w:bookmarkStart w:id="181" w:name="_Toc20349"/>
      <w:bookmarkStart w:id="182" w:name="_Toc3296"/>
      <w:bookmarkStart w:id="183" w:name="_Toc23725"/>
      <w:bookmarkStart w:id="184" w:name="_Toc5452"/>
      <w:bookmarkStart w:id="185" w:name="_Toc3188"/>
      <w:bookmarkStart w:id="186" w:name="_Toc28754"/>
      <w:bookmarkStart w:id="187" w:name="_Toc4388"/>
      <w:bookmarkStart w:id="188" w:name="_Toc5734"/>
      <w:bookmarkStart w:id="189" w:name="_Toc31684"/>
      <w:bookmarkStart w:id="190" w:name="_Toc7346"/>
      <w:bookmarkStart w:id="191" w:name="_Toc21118"/>
      <w:bookmarkStart w:id="192" w:name="_Toc28895"/>
      <w:bookmarkStart w:id="193" w:name="_Toc1531"/>
      <w:bookmarkStart w:id="194" w:name="_Toc9636"/>
      <w:r>
        <w:rPr>
          <w:rFonts w:ascii="Times New Roman" w:hAnsi="Times New Roman"/>
          <w:b/>
          <w:bCs/>
          <w:color w:val="auto"/>
          <w:sz w:val="24"/>
          <w:szCs w:val="24"/>
        </w:rPr>
        <w:t>系统条件要求</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无。</w:t>
      </w:r>
    </w:p>
    <w:p>
      <w:pPr>
        <w:pStyle w:val="4"/>
        <w:numPr>
          <w:ilvl w:val="1"/>
          <w:numId w:val="25"/>
        </w:numPr>
        <w:spacing w:line="360" w:lineRule="auto"/>
        <w:rPr>
          <w:rFonts w:ascii="Times New Roman" w:hAnsi="Times New Roman"/>
          <w:b/>
          <w:bCs/>
          <w:color w:val="auto"/>
          <w:sz w:val="24"/>
          <w:szCs w:val="24"/>
        </w:rPr>
      </w:pPr>
      <w:bookmarkStart w:id="195" w:name="_Toc15366"/>
      <w:bookmarkStart w:id="196" w:name="_Toc6785"/>
      <w:bookmarkStart w:id="197" w:name="_Toc2872"/>
      <w:bookmarkStart w:id="198" w:name="_Toc22575"/>
      <w:bookmarkStart w:id="199" w:name="_Toc19542"/>
      <w:bookmarkStart w:id="200" w:name="_Toc26685"/>
      <w:bookmarkStart w:id="201" w:name="_Toc30249"/>
      <w:bookmarkStart w:id="202" w:name="_Toc8238"/>
      <w:bookmarkStart w:id="203" w:name="_Toc7103"/>
      <w:bookmarkStart w:id="204" w:name="_Toc3818"/>
      <w:bookmarkStart w:id="205" w:name="_Toc5208"/>
      <w:bookmarkStart w:id="206" w:name="_Toc19507"/>
      <w:bookmarkStart w:id="207" w:name="_Toc16833"/>
      <w:bookmarkStart w:id="208" w:name="_Toc7379"/>
      <w:r>
        <w:rPr>
          <w:rFonts w:ascii="Times New Roman" w:hAnsi="Times New Roman"/>
          <w:b/>
          <w:bCs/>
          <w:color w:val="auto"/>
          <w:sz w:val="24"/>
          <w:szCs w:val="24"/>
        </w:rPr>
        <w:t>产品对环境的影响</w:t>
      </w:r>
      <w:bookmarkEnd w:id="195"/>
      <w:bookmarkEnd w:id="196"/>
      <w:bookmarkEnd w:id="197"/>
      <w:bookmarkEnd w:id="198"/>
      <w:bookmarkEnd w:id="199"/>
      <w:bookmarkEnd w:id="200"/>
      <w:bookmarkEnd w:id="201"/>
      <w:bookmarkEnd w:id="202"/>
      <w:bookmarkEnd w:id="203"/>
      <w:bookmarkEnd w:id="204"/>
      <w:bookmarkEnd w:id="205"/>
      <w:bookmarkEnd w:id="206"/>
      <w:bookmarkEnd w:id="207"/>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1）坚持以资源节约型和环境友好型的原则，同时应考虑降低投资成本和提高运行经济性。</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2）应对噪声、工频电场和磁场、高频电磁波、通信干扰等方面采取必要的防治措施，并满足国家相关标准的要求。</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3）推广采用高可靠性、小型化和节能型设备。</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4）优先选用损耗低的产品。</w:t>
      </w:r>
    </w:p>
    <w:p>
      <w:pPr>
        <w:pStyle w:val="3"/>
        <w:widowControl/>
        <w:numPr>
          <w:ilvl w:val="0"/>
          <w:numId w:val="25"/>
        </w:numPr>
        <w:spacing w:line="360" w:lineRule="auto"/>
        <w:rPr>
          <w:rFonts w:ascii="Times New Roman" w:hAnsi="Times New Roman"/>
          <w:color w:val="auto"/>
          <w:sz w:val="24"/>
          <w:szCs w:val="24"/>
        </w:rPr>
      </w:pPr>
      <w:bookmarkStart w:id="209" w:name="_Toc27990"/>
      <w:bookmarkStart w:id="210" w:name="_Toc21777"/>
      <w:bookmarkStart w:id="211" w:name="_Toc32554"/>
      <w:bookmarkStart w:id="212" w:name="_Toc12330"/>
      <w:bookmarkStart w:id="213" w:name="_Toc21949"/>
      <w:bookmarkStart w:id="214" w:name="_Toc4527"/>
      <w:bookmarkStart w:id="215" w:name="_Toc16708"/>
      <w:bookmarkStart w:id="216" w:name="_Toc26998"/>
      <w:bookmarkStart w:id="217" w:name="_Toc25047"/>
      <w:bookmarkStart w:id="218" w:name="_Toc4446"/>
      <w:bookmarkStart w:id="219" w:name="_Toc17899"/>
      <w:r>
        <w:rPr>
          <w:rFonts w:ascii="Times New Roman" w:hAnsi="Times New Roman"/>
          <w:color w:val="auto"/>
          <w:sz w:val="24"/>
          <w:szCs w:val="24"/>
        </w:rPr>
        <w:t>通信系统技术要求</w:t>
      </w:r>
      <w:bookmarkEnd w:id="209"/>
      <w:bookmarkEnd w:id="210"/>
      <w:bookmarkEnd w:id="211"/>
      <w:bookmarkEnd w:id="212"/>
      <w:bookmarkEnd w:id="213"/>
      <w:bookmarkEnd w:id="214"/>
      <w:bookmarkEnd w:id="215"/>
    </w:p>
    <w:p>
      <w:pPr>
        <w:pStyle w:val="4"/>
        <w:widowControl/>
        <w:numPr>
          <w:ilvl w:val="1"/>
          <w:numId w:val="25"/>
        </w:numPr>
        <w:spacing w:line="360" w:lineRule="auto"/>
        <w:rPr>
          <w:rFonts w:ascii="Times New Roman" w:hAnsi="Times New Roman"/>
          <w:b/>
          <w:bCs/>
          <w:color w:val="auto"/>
          <w:sz w:val="24"/>
          <w:szCs w:val="24"/>
        </w:rPr>
      </w:pPr>
      <w:bookmarkStart w:id="220" w:name="_Toc14388"/>
      <w:bookmarkStart w:id="221" w:name="_Toc13861"/>
      <w:bookmarkStart w:id="222" w:name="_Toc21971"/>
      <w:bookmarkStart w:id="223" w:name="_Toc18833"/>
      <w:bookmarkStart w:id="224" w:name="_Toc6368"/>
      <w:bookmarkStart w:id="225" w:name="_Toc13850"/>
      <w:bookmarkStart w:id="226" w:name="_Toc21321"/>
      <w:r>
        <w:rPr>
          <w:rFonts w:ascii="Times New Roman" w:hAnsi="Times New Roman"/>
          <w:b/>
          <w:bCs/>
          <w:color w:val="auto"/>
          <w:sz w:val="24"/>
          <w:szCs w:val="24"/>
        </w:rPr>
        <w:t>通信系统总体设计方案</w:t>
      </w:r>
      <w:bookmarkEnd w:id="220"/>
      <w:bookmarkEnd w:id="221"/>
      <w:bookmarkEnd w:id="222"/>
      <w:bookmarkEnd w:id="223"/>
      <w:bookmarkEnd w:id="224"/>
      <w:bookmarkEnd w:id="225"/>
      <w:bookmarkEnd w:id="226"/>
    </w:p>
    <w:p>
      <w:pPr>
        <w:adjustRightInd w:val="0"/>
        <w:snapToGrid w:val="0"/>
        <w:spacing w:line="360" w:lineRule="auto"/>
        <w:ind w:firstLine="480" w:firstLineChars="200"/>
        <w:rPr>
          <w:rFonts w:ascii="Times New Roman" w:hAnsi="Times New Roman"/>
          <w:color w:val="auto"/>
          <w:sz w:val="24"/>
          <w:szCs w:val="24"/>
          <w:lang w:bidi="ar"/>
        </w:rPr>
      </w:pPr>
      <w:r>
        <w:rPr>
          <w:rFonts w:ascii="Times New Roman" w:hAnsi="Times New Roman"/>
          <w:color w:val="auto"/>
          <w:sz w:val="24"/>
          <w:szCs w:val="24"/>
          <w:lang w:bidi="ar"/>
        </w:rPr>
        <w:t>本技术规范书涉及的通信系统设备建设范围包括</w:t>
      </w:r>
      <w:r>
        <w:rPr>
          <w:rFonts w:ascii="Times New Roman" w:hAnsi="Times New Roman"/>
          <w:color w:val="auto"/>
          <w:kern w:val="0"/>
          <w:sz w:val="24"/>
          <w:szCs w:val="24"/>
          <w:lang w:bidi="ar"/>
        </w:rPr>
        <w:t>语音交换系统</w:t>
      </w:r>
      <w:r>
        <w:rPr>
          <w:rFonts w:ascii="Times New Roman" w:hAnsi="Times New Roman"/>
          <w:color w:val="auto"/>
          <w:sz w:val="24"/>
          <w:szCs w:val="24"/>
          <w:lang w:bidi="ar"/>
        </w:rPr>
        <w:t>、</w:t>
      </w:r>
      <w:r>
        <w:rPr>
          <w:rFonts w:ascii="Times New Roman" w:hAnsi="Times New Roman"/>
          <w:color w:val="auto"/>
          <w:kern w:val="0"/>
          <w:sz w:val="24"/>
          <w:szCs w:val="24"/>
          <w:lang w:bidi="ar"/>
        </w:rPr>
        <w:t>应急通信系统</w:t>
      </w:r>
      <w:r>
        <w:rPr>
          <w:rFonts w:ascii="Times New Roman" w:hAnsi="Times New Roman"/>
          <w:color w:val="auto"/>
          <w:sz w:val="24"/>
          <w:szCs w:val="24"/>
          <w:lang w:eastAsia="zh" w:bidi="ar"/>
        </w:rPr>
        <w:t>和电厂</w:t>
      </w:r>
      <w:r>
        <w:rPr>
          <w:rFonts w:ascii="Times New Roman" w:hAnsi="Times New Roman"/>
          <w:color w:val="auto"/>
          <w:sz w:val="24"/>
          <w:szCs w:val="24"/>
          <w:lang w:bidi="ar"/>
        </w:rPr>
        <w:t>信通</w:t>
      </w:r>
      <w:r>
        <w:rPr>
          <w:rFonts w:ascii="Times New Roman" w:hAnsi="Times New Roman"/>
          <w:color w:val="auto"/>
          <w:sz w:val="24"/>
          <w:szCs w:val="24"/>
          <w:lang w:eastAsia="zh" w:bidi="ar"/>
        </w:rPr>
        <w:t>仪器仪表</w:t>
      </w:r>
      <w:r>
        <w:rPr>
          <w:rFonts w:ascii="Times New Roman" w:hAnsi="Times New Roman"/>
          <w:color w:val="auto"/>
          <w:sz w:val="24"/>
          <w:szCs w:val="24"/>
          <w:lang w:bidi="ar"/>
        </w:rPr>
        <w:t>的采</w:t>
      </w:r>
      <w:r>
        <w:rPr>
          <w:rFonts w:ascii="Times New Roman" w:hAnsi="Times New Roman"/>
          <w:b/>
          <w:color w:val="auto"/>
          <w:sz w:val="24"/>
          <w:szCs w:val="24"/>
          <w:lang w:bidi="ar"/>
        </w:rPr>
        <w:t>购、</w:t>
      </w:r>
      <w:r>
        <w:rPr>
          <w:rFonts w:ascii="Times New Roman" w:hAnsi="Times New Roman"/>
          <w:color w:val="auto"/>
          <w:sz w:val="24"/>
          <w:szCs w:val="24"/>
          <w:lang w:eastAsia="zh" w:bidi="ar"/>
        </w:rPr>
        <w:t>指导安装</w:t>
      </w:r>
      <w:r>
        <w:rPr>
          <w:rFonts w:ascii="Times New Roman" w:hAnsi="Times New Roman"/>
          <w:b/>
          <w:color w:val="auto"/>
          <w:sz w:val="24"/>
          <w:szCs w:val="24"/>
          <w:lang w:bidi="ar"/>
        </w:rPr>
        <w:t>联调</w:t>
      </w:r>
      <w:r>
        <w:rPr>
          <w:rFonts w:ascii="Times New Roman" w:hAnsi="Times New Roman"/>
          <w:color w:val="auto"/>
          <w:sz w:val="24"/>
          <w:szCs w:val="24"/>
          <w:lang w:eastAsia="zh" w:bidi="ar"/>
        </w:rPr>
        <w:t>和安装</w:t>
      </w:r>
      <w:r>
        <w:rPr>
          <w:rFonts w:ascii="Times New Roman" w:hAnsi="Times New Roman"/>
          <w:b/>
          <w:color w:val="auto"/>
          <w:sz w:val="24"/>
          <w:szCs w:val="24"/>
          <w:lang w:bidi="ar"/>
        </w:rPr>
        <w:t>生产期间的调试完善工作以及</w:t>
      </w:r>
      <w:r>
        <w:rPr>
          <w:rFonts w:ascii="Times New Roman" w:hAnsi="Times New Roman"/>
          <w:color w:val="auto"/>
          <w:sz w:val="24"/>
          <w:szCs w:val="24"/>
          <w:lang w:eastAsia="zh" w:bidi="ar"/>
        </w:rPr>
        <w:t>配合</w:t>
      </w:r>
      <w:r>
        <w:rPr>
          <w:rFonts w:ascii="Times New Roman" w:hAnsi="Times New Roman"/>
          <w:b/>
          <w:color w:val="auto"/>
          <w:sz w:val="24"/>
          <w:szCs w:val="24"/>
          <w:lang w:bidi="ar"/>
        </w:rPr>
        <w:t>通信</w:t>
      </w:r>
      <w:r>
        <w:rPr>
          <w:rFonts w:hint="eastAsia" w:ascii="Times New Roman" w:hAnsi="Times New Roman"/>
          <w:b/>
          <w:color w:val="auto"/>
          <w:sz w:val="24"/>
          <w:szCs w:val="24"/>
          <w:lang w:bidi="ar"/>
        </w:rPr>
        <w:t>系统</w:t>
      </w:r>
      <w:r>
        <w:rPr>
          <w:rFonts w:ascii="Times New Roman" w:hAnsi="Times New Roman"/>
          <w:b/>
          <w:color w:val="auto"/>
          <w:sz w:val="24"/>
          <w:szCs w:val="24"/>
          <w:lang w:bidi="ar"/>
        </w:rPr>
        <w:t>并网接入技术服务的工作内容和相关要求</w:t>
      </w:r>
      <w:r>
        <w:rPr>
          <w:rFonts w:ascii="Times New Roman" w:hAnsi="Times New Roman"/>
          <w:color w:val="auto"/>
          <w:sz w:val="24"/>
          <w:szCs w:val="24"/>
          <w:lang w:bidi="ar"/>
        </w:rPr>
        <w:t>。它提出了通信系统设备的功能设计、结构、性能、安装和试验等方面的技术要求和供货范围。具体建设范围如下。</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w:t>
      </w:r>
      <w:r>
        <w:rPr>
          <w:rFonts w:ascii="Times New Roman" w:hAnsi="Times New Roman"/>
          <w:color w:val="auto"/>
          <w:sz w:val="24"/>
          <w:szCs w:val="24"/>
          <w:lang w:eastAsia="zh" w:bidi="ar"/>
        </w:rPr>
        <w:t>1</w:t>
      </w:r>
      <w:r>
        <w:rPr>
          <w:rFonts w:ascii="Times New Roman" w:hAnsi="Times New Roman"/>
          <w:color w:val="auto"/>
          <w:sz w:val="24"/>
          <w:szCs w:val="24"/>
          <w:lang w:bidi="ar"/>
        </w:rPr>
        <w:t>）语音交换系统建设方案</w:t>
      </w:r>
    </w:p>
    <w:p>
      <w:pPr>
        <w:pStyle w:val="839"/>
        <w:spacing w:line="360" w:lineRule="auto"/>
        <w:ind w:firstLine="480"/>
        <w:rPr>
          <w:rFonts w:ascii="Times New Roman" w:hAnsi="Times New Roman"/>
          <w:color w:val="auto"/>
          <w:sz w:val="24"/>
          <w:szCs w:val="24"/>
        </w:rPr>
      </w:pPr>
      <w:r>
        <w:rPr>
          <w:rFonts w:ascii="Times New Roman" w:hAnsi="Times New Roman"/>
          <w:color w:val="auto"/>
          <w:sz w:val="24"/>
          <w:szCs w:val="24"/>
          <w:lang w:bidi="ar"/>
        </w:rPr>
        <w:t>1）调度交换网</w:t>
      </w:r>
    </w:p>
    <w:p>
      <w:pPr>
        <w:pStyle w:val="839"/>
        <w:spacing w:line="360" w:lineRule="auto"/>
        <w:ind w:firstLine="480"/>
        <w:rPr>
          <w:rFonts w:ascii="Times New Roman" w:hAnsi="Times New Roman"/>
          <w:color w:val="auto"/>
          <w:sz w:val="24"/>
          <w:szCs w:val="24"/>
        </w:rPr>
      </w:pPr>
      <w:r>
        <w:rPr>
          <w:rFonts w:ascii="Times New Roman" w:hAnsi="Times New Roman"/>
          <w:color w:val="auto"/>
          <w:sz w:val="24"/>
          <w:szCs w:val="24"/>
        </w:rPr>
        <w:t>电白抽蓄</w:t>
      </w:r>
      <w:r>
        <w:rPr>
          <w:rFonts w:hint="eastAsia" w:ascii="Times New Roman" w:hAnsi="Times New Roman"/>
          <w:color w:val="auto"/>
          <w:sz w:val="24"/>
          <w:szCs w:val="24"/>
        </w:rPr>
        <w:t>地下厂房副厂房</w:t>
      </w:r>
      <w:r>
        <w:rPr>
          <w:rFonts w:ascii="Times New Roman" w:hAnsi="Times New Roman"/>
          <w:color w:val="auto"/>
          <w:sz w:val="24"/>
          <w:szCs w:val="24"/>
        </w:rPr>
        <w:t>配置1套调度交换机，本期按照128门用户的容量，终期可扩容至512门用户。调度交换机通过2路2Mb/s 数字中继与茂名地调和南网储能番禺基地进行互联。</w:t>
      </w:r>
    </w:p>
    <w:p>
      <w:pPr>
        <w:pStyle w:val="839"/>
        <w:spacing w:line="360" w:lineRule="auto"/>
        <w:ind w:firstLine="480"/>
        <w:rPr>
          <w:rFonts w:ascii="Times New Roman" w:hAnsi="Times New Roman"/>
          <w:color w:val="auto"/>
          <w:sz w:val="24"/>
          <w:szCs w:val="24"/>
        </w:rPr>
      </w:pPr>
      <w:r>
        <w:rPr>
          <w:rFonts w:ascii="Times New Roman" w:hAnsi="Times New Roman"/>
          <w:color w:val="auto"/>
          <w:sz w:val="24"/>
          <w:szCs w:val="24"/>
        </w:rPr>
        <w:t>调度交换机系统主要板块采用1+1 配置，支持VoIP 功能；</w:t>
      </w:r>
      <w:r>
        <w:rPr>
          <w:rFonts w:hint="eastAsia" w:ascii="Times New Roman" w:hAnsi="Times New Roman"/>
          <w:color w:val="auto"/>
          <w:sz w:val="24"/>
          <w:szCs w:val="24"/>
        </w:rPr>
        <w:t>地下厂房副厂房</w:t>
      </w:r>
      <w:r>
        <w:rPr>
          <w:rFonts w:ascii="Times New Roman" w:hAnsi="Times New Roman"/>
          <w:color w:val="auto"/>
          <w:sz w:val="24"/>
          <w:szCs w:val="24"/>
        </w:rPr>
        <w:t>配备了调度台2 套，办公楼值班室配置调度台1 套。调度电话录音系统配置2 套(1+1)，呼出呼入中控室的所有电话全部录音。</w:t>
      </w:r>
    </w:p>
    <w:p>
      <w:pPr>
        <w:pStyle w:val="839"/>
        <w:spacing w:line="360" w:lineRule="auto"/>
        <w:ind w:firstLine="48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地下厂房主厂房办公电话采用特种电话，经音频电缆接入程控交换机，开关站也在重要点位设置特种电话，经光电转换器</w:t>
      </w:r>
      <w:r>
        <w:rPr>
          <w:rFonts w:asciiTheme="minorEastAsia" w:hAnsiTheme="minorEastAsia" w:eastAsiaTheme="minorEastAsia"/>
          <w:color w:val="auto"/>
          <w:sz w:val="24"/>
          <w:szCs w:val="24"/>
        </w:rPr>
        <w:t>+IAD</w:t>
      </w:r>
      <w:r>
        <w:rPr>
          <w:rFonts w:hint="eastAsia" w:asciiTheme="minorEastAsia" w:hAnsiTheme="minorEastAsia" w:eastAsiaTheme="minorEastAsia"/>
          <w:color w:val="auto"/>
          <w:sz w:val="24"/>
          <w:szCs w:val="24"/>
        </w:rPr>
        <w:t>方式接入程控交换机。</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2）调度小号</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电白抽蓄配置1套E1放号接入网关，通过E1方式，接入南方总调2M放号系统。在</w:t>
      </w:r>
      <w:r>
        <w:rPr>
          <w:rFonts w:ascii="Times New Roman" w:hAnsi="Times New Roman"/>
          <w:color w:val="auto"/>
          <w:sz w:val="24"/>
          <w:szCs w:val="24"/>
          <w:lang w:val="zh-CN"/>
        </w:rPr>
        <w:t>南网储能股份有限公司的集控中心</w:t>
      </w:r>
      <w:r>
        <w:rPr>
          <w:rFonts w:ascii="Times New Roman" w:hAnsi="Times New Roman"/>
          <w:color w:val="auto"/>
          <w:sz w:val="24"/>
          <w:szCs w:val="24"/>
        </w:rPr>
        <w:t>预留1套E1放号接入网关，通过E1方式接入南方总调2M放号系统。</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3）行政软交换</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白抽蓄部署1套中继网关，本地中继网关通过语音视频局域网与南网储能番禺基地的呼叫控制中心系统一起实现电厂/电站VOIP用户注册功能；用户具备本地注册和本地出局能力，正常情况用户注册到公司本部呼叫控制中心，当公司本部呼叫制中心故障或连接至公司本部的网络中断时，用户注册到本地用户网关，电厂区域内本地用户具备自交换功能，内部通话不受影响。通过本地接入网关与公司本部中继网关互联，接入公司程控交换系统，同时具备本地公网出局能力。</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（2）应急通信系统建设方案</w:t>
      </w:r>
    </w:p>
    <w:p>
      <w:pPr>
        <w:snapToGrid w:val="0"/>
        <w:spacing w:line="360" w:lineRule="auto"/>
        <w:ind w:firstLine="480" w:firstLineChars="200"/>
        <w:rPr>
          <w:rFonts w:ascii="Times New Roman" w:hAnsi="Times New Roman"/>
          <w:color w:val="auto"/>
          <w:sz w:val="24"/>
          <w:szCs w:val="24"/>
          <w:lang w:bidi="ar"/>
        </w:rPr>
      </w:pPr>
      <w:r>
        <w:rPr>
          <w:rFonts w:ascii="Times New Roman" w:hAnsi="Times New Roman"/>
          <w:color w:val="auto"/>
          <w:sz w:val="24"/>
          <w:szCs w:val="24"/>
        </w:rPr>
        <w:t>在电白抽蓄配置1台ka便携式卫星站、2台卫星通信电话（其中1台为固定式、另外1台为移动式）、2台北斗卫星短报文终端（由框架集采提供）、1套数字集群系统及2台移动式天通猫。</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（3）电厂信通仪器仪表建设方案</w:t>
      </w:r>
    </w:p>
    <w:p>
      <w:pPr>
        <w:adjustRightInd w:val="0"/>
        <w:snapToGrid w:val="0"/>
        <w:spacing w:line="360" w:lineRule="auto"/>
        <w:ind w:firstLine="480" w:firstLineChars="200"/>
        <w:rPr>
          <w:rFonts w:ascii="Times New Roman" w:hAnsi="Times New Roman"/>
          <w:color w:val="auto"/>
          <w:sz w:val="24"/>
          <w:szCs w:val="24"/>
          <w:lang w:bidi="ar"/>
        </w:rPr>
      </w:pPr>
      <w:r>
        <w:rPr>
          <w:rFonts w:ascii="Times New Roman" w:hAnsi="Times New Roman"/>
          <w:color w:val="auto"/>
          <w:sz w:val="24"/>
          <w:szCs w:val="24"/>
        </w:rPr>
        <w:t>电白抽蓄配置数字万用表、OTDR、光纤端面检测仪、光纤识别仪、2M测试仪、光纤在线纤序查找器套件、红光笔、蓄电池内阻测试仪、视频监控测试仪、尾纤对号器、光缆在线监测设备、线缆制作工具套装、电工专用工具套装、音频电缆打线器、标签机、网络测试仪、电动螺丝刀、蓄电池放电仪等设备各一套，光源、光功率计等设备各2套。</w:t>
      </w:r>
      <w:r>
        <w:rPr>
          <w:rFonts w:ascii="Times New Roman" w:hAnsi="Times New Roman"/>
          <w:color w:val="auto"/>
          <w:sz w:val="24"/>
          <w:szCs w:val="24"/>
          <w:lang w:bidi="ar"/>
        </w:rPr>
        <w:t>具体设备规格型号详见技术规范书专用部分通信系统材料清册。</w:t>
      </w:r>
    </w:p>
    <w:p>
      <w:pPr>
        <w:pStyle w:val="4"/>
        <w:widowControl/>
        <w:numPr>
          <w:ilvl w:val="1"/>
          <w:numId w:val="25"/>
        </w:numPr>
        <w:spacing w:line="360" w:lineRule="auto"/>
        <w:rPr>
          <w:rFonts w:ascii="Times New Roman" w:hAnsi="Times New Roman"/>
          <w:b/>
          <w:bCs/>
          <w:color w:val="auto"/>
          <w:sz w:val="24"/>
          <w:szCs w:val="24"/>
        </w:rPr>
      </w:pPr>
      <w:bookmarkStart w:id="227" w:name="_Toc21433"/>
      <w:bookmarkStart w:id="228" w:name="_Toc18585"/>
      <w:bookmarkStart w:id="229" w:name="_Toc29103"/>
      <w:bookmarkStart w:id="230" w:name="_Toc19955"/>
      <w:bookmarkStart w:id="231" w:name="_Toc25819"/>
      <w:bookmarkStart w:id="232" w:name="_Toc4625"/>
      <w:bookmarkStart w:id="233" w:name="_Toc28206"/>
      <w:r>
        <w:rPr>
          <w:rFonts w:ascii="Times New Roman" w:hAnsi="Times New Roman"/>
          <w:b/>
          <w:bCs/>
          <w:color w:val="auto"/>
          <w:sz w:val="24"/>
          <w:szCs w:val="24"/>
        </w:rPr>
        <w:t>语音交换设备</w:t>
      </w:r>
      <w:bookmarkEnd w:id="227"/>
      <w:bookmarkEnd w:id="228"/>
      <w:bookmarkEnd w:id="229"/>
      <w:bookmarkEnd w:id="230"/>
      <w:bookmarkEnd w:id="231"/>
      <w:bookmarkEnd w:id="232"/>
      <w:bookmarkEnd w:id="233"/>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lang w:bidi="ar"/>
        </w:rPr>
        <w:t>调度交换网络技术要求</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 xml:space="preserve">（1）假设参考连接（HRX）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南方电网语音交换网络规范情况下可能出现的最长通话假设参考连接见图2-1，据此分配和确定各项传输指标。</w:t>
      </w:r>
    </w:p>
    <w:p>
      <w:pPr>
        <w:keepNext/>
        <w:spacing w:line="360" w:lineRule="auto"/>
        <w:jc w:val="center"/>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5054600" cy="6604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1"/>
                    <a:stretch>
                      <a:fillRect/>
                    </a:stretch>
                  </pic:blipFill>
                  <pic:spPr>
                    <a:xfrm>
                      <a:off x="0" y="0"/>
                      <a:ext cx="5054600" cy="660400"/>
                    </a:xfrm>
                    <a:prstGeom prst="rect">
                      <a:avLst/>
                    </a:prstGeom>
                  </pic:spPr>
                </pic:pic>
              </a:graphicData>
            </a:graphic>
          </wp:inline>
        </w:drawing>
      </w:r>
    </w:p>
    <w:p>
      <w:pPr>
        <w:pStyle w:val="50"/>
        <w:widowControl w:val="0"/>
        <w:topLinePunct w:val="0"/>
        <w:adjustRightInd/>
        <w:snapToGrid/>
        <w:spacing w:before="0" w:after="0" w:line="360" w:lineRule="auto"/>
        <w:ind w:left="0"/>
        <w:jc w:val="center"/>
        <w:rPr>
          <w:color w:val="auto"/>
          <w:sz w:val="24"/>
          <w:szCs w:val="24"/>
        </w:rPr>
      </w:pPr>
      <w:r>
        <w:rPr>
          <w:color w:val="auto"/>
          <w:sz w:val="24"/>
          <w:szCs w:val="24"/>
          <w:lang w:bidi="ar"/>
        </w:rPr>
        <w:t>图 2</w:t>
      </w:r>
      <w:r>
        <w:rPr>
          <w:color w:val="auto"/>
          <w:sz w:val="24"/>
          <w:szCs w:val="24"/>
          <w:lang w:bidi="ar"/>
        </w:rPr>
        <w:noBreakHyphen/>
      </w:r>
      <w:r>
        <w:rPr>
          <w:color w:val="auto"/>
          <w:sz w:val="24"/>
          <w:szCs w:val="24"/>
          <w:lang w:bidi="ar"/>
        </w:rPr>
        <w:fldChar w:fldCharType="begin"/>
      </w:r>
      <w:r>
        <w:rPr>
          <w:color w:val="auto"/>
          <w:sz w:val="24"/>
          <w:szCs w:val="24"/>
          <w:lang w:bidi="ar"/>
        </w:rPr>
        <w:instrText xml:space="preserve"> SEQ 图 \* ARABIC \s 1 </w:instrText>
      </w:r>
      <w:r>
        <w:rPr>
          <w:color w:val="auto"/>
          <w:sz w:val="24"/>
          <w:szCs w:val="24"/>
          <w:lang w:bidi="ar"/>
        </w:rPr>
        <w:fldChar w:fldCharType="separate"/>
      </w:r>
      <w:r>
        <w:rPr>
          <w:color w:val="auto"/>
          <w:sz w:val="24"/>
          <w:szCs w:val="24"/>
          <w:lang w:bidi="ar"/>
        </w:rPr>
        <w:t>1</w:t>
      </w:r>
      <w:r>
        <w:rPr>
          <w:color w:val="auto"/>
          <w:sz w:val="24"/>
          <w:szCs w:val="24"/>
          <w:lang w:bidi="ar"/>
        </w:rPr>
        <w:fldChar w:fldCharType="end"/>
      </w:r>
      <w:r>
        <w:rPr>
          <w:color w:val="auto"/>
          <w:sz w:val="24"/>
          <w:szCs w:val="24"/>
          <w:lang w:bidi="ar"/>
        </w:rPr>
        <w:t>语音交换网的假设参考连接</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（2）全程响度评定值（OLR）和传输损耗及分配</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全程响度评定值（OLR）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1)响度评定值（Loudness Rating）以dB为单位，用以表示完整通话连接或其组成部分（如发送系统、中继电路、接收系统）的话音响度性能。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全程响度评定值是从发话用户的嘴到受话用户的耳之间经过一个完整通话连接的响度损耗。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OLR可以定义为：OLR=SLR+RLR+CLR；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式中，SLR表示发送响度评定值，即发话用户的嘴和网路电气接口之间的响度损耗；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RLR表示接收响度评定值，即网路电气接口和受话用户的耳之间的响度损耗；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CLR表示电路响度评定值，即一条电路两个接口之间的响度损耗。当每个电气接口以600欧电阻终接时，电路响度评定值也可以称为中继响度评定值（JLR）。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2)模拟二线用户OLR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南方电网语音交换网任何两个用户之间，发送端和接收端均为模拟二线时，进行通话时的全程响度评定值OLR应不大于23.0dB。</w:t>
      </w:r>
    </w:p>
    <w:p>
      <w:pPr>
        <w:keepNext/>
        <w:spacing w:line="360" w:lineRule="auto"/>
        <w:jc w:val="center"/>
        <w:rPr>
          <w:rFonts w:ascii="Times New Roman" w:hAnsi="Times New Roman"/>
          <w:color w:val="auto"/>
          <w:sz w:val="24"/>
          <w:szCs w:val="24"/>
          <w:lang w:eastAsia="zh"/>
        </w:rPr>
      </w:pPr>
      <w:r>
        <w:rPr>
          <w:rFonts w:ascii="Times New Roman" w:hAnsi="Times New Roman"/>
          <w:color w:val="auto"/>
          <w:sz w:val="24"/>
          <w:szCs w:val="24"/>
        </w:rPr>
        <w:drawing>
          <wp:inline distT="0" distB="0" distL="114300" distR="114300">
            <wp:extent cx="5276850" cy="1047750"/>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2"/>
                    <a:stretch>
                      <a:fillRect/>
                    </a:stretch>
                  </pic:blipFill>
                  <pic:spPr>
                    <a:xfrm>
                      <a:off x="0" y="0"/>
                      <a:ext cx="5276850" cy="1047750"/>
                    </a:xfrm>
                    <a:prstGeom prst="rect">
                      <a:avLst/>
                    </a:prstGeom>
                  </pic:spPr>
                </pic:pic>
              </a:graphicData>
            </a:graphic>
          </wp:inline>
        </w:drawing>
      </w:r>
    </w:p>
    <w:p>
      <w:pPr>
        <w:pStyle w:val="50"/>
        <w:widowControl w:val="0"/>
        <w:topLinePunct w:val="0"/>
        <w:adjustRightInd/>
        <w:snapToGrid/>
        <w:spacing w:before="0" w:after="0" w:line="360" w:lineRule="auto"/>
        <w:ind w:left="0"/>
        <w:jc w:val="center"/>
        <w:rPr>
          <w:color w:val="auto"/>
          <w:sz w:val="24"/>
          <w:szCs w:val="24"/>
        </w:rPr>
      </w:pPr>
      <w:r>
        <w:rPr>
          <w:color w:val="auto"/>
          <w:sz w:val="24"/>
          <w:szCs w:val="24"/>
          <w:lang w:bidi="ar"/>
        </w:rPr>
        <w:t>图 2</w:t>
      </w:r>
      <w:r>
        <w:rPr>
          <w:color w:val="auto"/>
          <w:sz w:val="24"/>
          <w:szCs w:val="24"/>
          <w:lang w:bidi="ar"/>
        </w:rPr>
        <w:noBreakHyphen/>
      </w:r>
      <w:r>
        <w:rPr>
          <w:color w:val="auto"/>
          <w:sz w:val="24"/>
          <w:szCs w:val="24"/>
          <w:lang w:bidi="ar"/>
        </w:rPr>
        <w:fldChar w:fldCharType="begin"/>
      </w:r>
      <w:r>
        <w:rPr>
          <w:color w:val="auto"/>
          <w:sz w:val="24"/>
          <w:szCs w:val="24"/>
          <w:lang w:bidi="ar"/>
        </w:rPr>
        <w:instrText xml:space="preserve"> SEQ 图 \* ARABIC \s 1 </w:instrText>
      </w:r>
      <w:r>
        <w:rPr>
          <w:color w:val="auto"/>
          <w:sz w:val="24"/>
          <w:szCs w:val="24"/>
          <w:lang w:bidi="ar"/>
        </w:rPr>
        <w:fldChar w:fldCharType="separate"/>
      </w:r>
      <w:r>
        <w:rPr>
          <w:color w:val="auto"/>
          <w:sz w:val="24"/>
          <w:szCs w:val="24"/>
          <w:lang w:bidi="ar"/>
        </w:rPr>
        <w:t>2</w:t>
      </w:r>
      <w:r>
        <w:rPr>
          <w:color w:val="auto"/>
          <w:sz w:val="24"/>
          <w:szCs w:val="24"/>
          <w:lang w:bidi="ar"/>
        </w:rPr>
        <w:fldChar w:fldCharType="end"/>
      </w:r>
      <w:r>
        <w:rPr>
          <w:color w:val="auto"/>
          <w:sz w:val="24"/>
          <w:szCs w:val="24"/>
          <w:lang w:bidi="ar"/>
        </w:rPr>
        <w:t>模拟二线用户全程响度评定值分配图</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3)数字用户OLR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南方电网语音交换网任何两个用户之间，发送端和接收端均为数字用户线且为数字话机时，进行通话时的全程响度评定值OLR不应大于16.0dB。</w:t>
      </w:r>
    </w:p>
    <w:p>
      <w:pPr>
        <w:keepNext/>
        <w:spacing w:line="360" w:lineRule="auto"/>
        <w:jc w:val="center"/>
        <w:rPr>
          <w:rFonts w:ascii="Times New Roman" w:hAnsi="Times New Roman"/>
          <w:color w:val="auto"/>
          <w:sz w:val="24"/>
          <w:szCs w:val="24"/>
          <w:lang w:eastAsia="zh"/>
        </w:rPr>
      </w:pPr>
      <w:r>
        <w:rPr>
          <w:rFonts w:ascii="Times New Roman" w:hAnsi="Times New Roman"/>
          <w:color w:val="auto"/>
          <w:sz w:val="24"/>
          <w:szCs w:val="24"/>
        </w:rPr>
        <w:drawing>
          <wp:inline distT="0" distB="0" distL="114300" distR="114300">
            <wp:extent cx="5276850" cy="1047750"/>
            <wp:effectExtent l="0" t="0" r="635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3"/>
                    <a:stretch>
                      <a:fillRect/>
                    </a:stretch>
                  </pic:blipFill>
                  <pic:spPr>
                    <a:xfrm>
                      <a:off x="0" y="0"/>
                      <a:ext cx="5276850" cy="1047750"/>
                    </a:xfrm>
                    <a:prstGeom prst="rect">
                      <a:avLst/>
                    </a:prstGeom>
                  </pic:spPr>
                </pic:pic>
              </a:graphicData>
            </a:graphic>
          </wp:inline>
        </w:drawing>
      </w:r>
    </w:p>
    <w:p>
      <w:pPr>
        <w:pStyle w:val="50"/>
        <w:widowControl w:val="0"/>
        <w:topLinePunct w:val="0"/>
        <w:adjustRightInd/>
        <w:snapToGrid/>
        <w:spacing w:before="0" w:after="0" w:line="360" w:lineRule="auto"/>
        <w:ind w:left="0"/>
        <w:jc w:val="center"/>
        <w:rPr>
          <w:color w:val="auto"/>
          <w:sz w:val="24"/>
          <w:szCs w:val="24"/>
        </w:rPr>
      </w:pPr>
      <w:r>
        <w:rPr>
          <w:color w:val="auto"/>
          <w:sz w:val="24"/>
          <w:szCs w:val="24"/>
          <w:lang w:bidi="ar"/>
        </w:rPr>
        <w:t>图 2</w:t>
      </w:r>
      <w:r>
        <w:rPr>
          <w:color w:val="auto"/>
          <w:sz w:val="24"/>
          <w:szCs w:val="24"/>
          <w:lang w:bidi="ar"/>
        </w:rPr>
        <w:noBreakHyphen/>
      </w:r>
      <w:r>
        <w:rPr>
          <w:color w:val="auto"/>
          <w:sz w:val="24"/>
          <w:szCs w:val="24"/>
          <w:lang w:bidi="ar"/>
        </w:rPr>
        <w:fldChar w:fldCharType="begin"/>
      </w:r>
      <w:r>
        <w:rPr>
          <w:color w:val="auto"/>
          <w:sz w:val="24"/>
          <w:szCs w:val="24"/>
          <w:lang w:bidi="ar"/>
        </w:rPr>
        <w:instrText xml:space="preserve"> SEQ 图 \* ARABIC \s 1 </w:instrText>
      </w:r>
      <w:r>
        <w:rPr>
          <w:color w:val="auto"/>
          <w:sz w:val="24"/>
          <w:szCs w:val="24"/>
          <w:lang w:bidi="ar"/>
        </w:rPr>
        <w:fldChar w:fldCharType="separate"/>
      </w:r>
      <w:r>
        <w:rPr>
          <w:color w:val="auto"/>
          <w:sz w:val="24"/>
          <w:szCs w:val="24"/>
          <w:lang w:bidi="ar"/>
        </w:rPr>
        <w:t>3</w:t>
      </w:r>
      <w:r>
        <w:rPr>
          <w:color w:val="auto"/>
          <w:sz w:val="24"/>
          <w:szCs w:val="24"/>
          <w:lang w:bidi="ar"/>
        </w:rPr>
        <w:fldChar w:fldCharType="end"/>
      </w:r>
      <w:r>
        <w:rPr>
          <w:color w:val="auto"/>
          <w:sz w:val="24"/>
          <w:szCs w:val="24"/>
          <w:lang w:bidi="ar"/>
        </w:rPr>
        <w:t xml:space="preserve"> 数字用户全程响度评定值分配图</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全程传输损耗（OTL）</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一个通话连接的全程传输损耗是由用户线、交换局及局间中继电路在f=1020Hz时的传输损耗之和。</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发送端和接收端均为模拟二线用户线，且数字交换设备具有可变衰耗功能，对本局呼叫配置3.5dB时，OTL应不大于17.5dB。发送端和接收端均为数字用户线且为数字话机时，则OLR应不大于16dB。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交换机以四线连接，发送端和接收端均为模拟二线用户时，OTL应不大于21.0dB。</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响度评定值和传输损耗的分配</w:t>
      </w:r>
    </w:p>
    <w:p>
      <w:pPr>
        <w:numPr>
          <w:ilvl w:val="0"/>
          <w:numId w:val="29"/>
        </w:numPr>
        <w:spacing w:line="360" w:lineRule="auto"/>
        <w:ind w:firstLine="6"/>
        <w:rPr>
          <w:rFonts w:ascii="Times New Roman" w:hAnsi="Times New Roman"/>
          <w:b/>
          <w:color w:val="auto"/>
          <w:sz w:val="24"/>
          <w:szCs w:val="24"/>
        </w:rPr>
      </w:pPr>
      <w:r>
        <w:rPr>
          <w:rFonts w:ascii="Times New Roman" w:hAnsi="Times New Roman"/>
          <w:b/>
          <w:color w:val="auto"/>
          <w:sz w:val="24"/>
          <w:szCs w:val="24"/>
          <w:lang w:bidi="ar"/>
        </w:rPr>
        <w:t>用户电路</w:t>
      </w:r>
    </w:p>
    <w:p>
      <w:pPr>
        <w:numPr>
          <w:ilvl w:val="0"/>
          <w:numId w:val="30"/>
        </w:numPr>
        <w:spacing w:line="360" w:lineRule="auto"/>
        <w:ind w:firstLine="289"/>
        <w:rPr>
          <w:rFonts w:ascii="Times New Roman" w:hAnsi="Times New Roman"/>
          <w:color w:val="auto"/>
          <w:sz w:val="24"/>
          <w:szCs w:val="24"/>
        </w:rPr>
      </w:pPr>
      <w:r>
        <w:rPr>
          <w:rFonts w:ascii="Times New Roman" w:hAnsi="Times New Roman"/>
          <w:color w:val="auto"/>
          <w:sz w:val="24"/>
          <w:szCs w:val="24"/>
          <w:lang w:bidi="ar"/>
        </w:rPr>
        <w:t>发送响度评定值（SLR）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对于模拟二线用户，由发话用户的嘴到所连端局的Z接口之间的用户电路（包括送话器和用户线）的发送响度评定值应为3.0～12.0dB。</w:t>
      </w:r>
    </w:p>
    <w:p>
      <w:pPr>
        <w:numPr>
          <w:ilvl w:val="0"/>
          <w:numId w:val="30"/>
        </w:numPr>
        <w:spacing w:line="360" w:lineRule="auto"/>
        <w:ind w:firstLine="289"/>
        <w:rPr>
          <w:rFonts w:ascii="Times New Roman" w:hAnsi="Times New Roman"/>
          <w:color w:val="auto"/>
          <w:sz w:val="24"/>
          <w:szCs w:val="24"/>
        </w:rPr>
      </w:pPr>
      <w:r>
        <w:rPr>
          <w:rFonts w:ascii="Times New Roman" w:hAnsi="Times New Roman"/>
          <w:color w:val="auto"/>
          <w:sz w:val="24"/>
          <w:szCs w:val="24"/>
          <w:lang w:bidi="ar"/>
        </w:rPr>
        <w:t>接收响度评定值（RLR）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对于模拟二线用户，由受话用户所连端局的Z 接口至受话用户的耳之间的用户电路（包括受话器和用户线）的接收响度评定值应为-4.0～4.0dB。</w:t>
      </w:r>
    </w:p>
    <w:p>
      <w:pPr>
        <w:numPr>
          <w:ilvl w:val="0"/>
          <w:numId w:val="30"/>
        </w:numPr>
        <w:spacing w:line="360" w:lineRule="auto"/>
        <w:ind w:firstLine="289"/>
        <w:rPr>
          <w:rFonts w:ascii="Times New Roman" w:hAnsi="Times New Roman"/>
          <w:color w:val="auto"/>
          <w:sz w:val="24"/>
          <w:szCs w:val="24"/>
        </w:rPr>
      </w:pPr>
      <w:r>
        <w:rPr>
          <w:rFonts w:ascii="Times New Roman" w:hAnsi="Times New Roman"/>
          <w:color w:val="auto"/>
          <w:sz w:val="24"/>
          <w:szCs w:val="24"/>
          <w:lang w:bidi="ar"/>
        </w:rPr>
        <w:t>用户线传输损耗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对于模拟二线用户，用户线采用0.5mm（或0.4mm）线经非加感电缆线对时，传输损耗应不大于8.0dB（f=1020Hz）。</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在实际使用中，当采用0.4mm线径用户电缆的距离超过4.2km时，应采取措施减小损耗，如选用高效能电话机等。</w:t>
      </w:r>
    </w:p>
    <w:p>
      <w:pPr>
        <w:numPr>
          <w:ilvl w:val="0"/>
          <w:numId w:val="29"/>
        </w:numPr>
        <w:spacing w:line="360" w:lineRule="auto"/>
        <w:ind w:firstLine="6"/>
        <w:rPr>
          <w:rFonts w:ascii="Times New Roman" w:hAnsi="Times New Roman"/>
          <w:b/>
          <w:color w:val="auto"/>
          <w:sz w:val="24"/>
          <w:szCs w:val="24"/>
        </w:rPr>
      </w:pPr>
      <w:r>
        <w:rPr>
          <w:rFonts w:ascii="Times New Roman" w:hAnsi="Times New Roman"/>
          <w:b/>
          <w:color w:val="auto"/>
          <w:sz w:val="24"/>
          <w:szCs w:val="24"/>
          <w:lang w:bidi="ar"/>
        </w:rPr>
        <w:t>四线电路链的响度评定值和传输损耗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对于发送端和接收端均为模拟二线用户，在两端交换节点（包括远端模块和数字用户交换机）间四线电路链的响度评定值和传输损耗，专网呼叫均为7.0dB（包括供电桥损耗2×0.5dB）。</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四线电路链终端损耗的配置</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1)对于数字四线用户，由于数字四线延伸至数字话机，数字四线电路链的传输损耗为0dB，所以无需配置四线电路链终端损耗；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2)对于模拟二线用户，对专网呼叫，连接的四线电路链的终端损耗配置为：发送支路T 损耗为0dB，接收支路R损耗固定为7.0dB；当交换机不具有衰耗可变性能时，发送支路T损耗为0dB，接收支路R损耗为7.0dB。</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用户接口Z点的平衡回输损耗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数字四线用户，其回声是由数字电话机中软线的电气串话和手机的送受话器之间的声耦合产生的，主要来自于声耦合回声途径，所以通过适当的设计（增加软线中信号电平或使用屏蔽线）可以切断电气回声途径以降低回声。</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对于模拟二线用户，由于二/四线变换在交换设备用户侧Z 接口处，该点的平衡回输损耗应满足如下规定要求。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1)Z接口处平衡回输的损耗应符合下述要求：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稳定平衡回输损耗Bs：平均值大于9.0dB，标准偏差小于3.5dB；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回声平衡回输损耗Be：平均值大于15.0dB，标准偏差小于2.5dB。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2)短用户线的平衡回输损耗</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对于1.5km（0.5mm 线径）以内的短用户线，为保证其Z 接口的平衡回输损耗满足上述要求，应在用户线上加2.5dB（f=1020Hz）的假线。</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回声控制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1)对于卫星电路，应使用回声控制设备控制回声；</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2)对于一段中继间超过2200km（暂定）的通话连接，应使用回声控制设备控制回声。</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（3）量化失真</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根据ITU-T建议C.131中的规定，在电力交换电话网中量化失真允许为5q.d.u。由此规定，数字传输系统应采用8bit脉冲编码调制的PCM设备。对于卫星电路，也应尽量用8bit的PCM设备。</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（4）损耗频率失真</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数字四线电路链</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1)二线模拟输入和输出口之间损耗频率失真应满足表2-1的要求。</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2-1二线链路频率损耗失真 单位：dB</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F（KHz）</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相对于f=1020Hz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0.3—0.4</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2.0—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0.4—0.5</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1.5—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0.5—2.0</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0.7—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2.0—2.4</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0.9—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2.4—3.0</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1.4—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3.0—3.4</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3.4— -0.6</w:t>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2)四线模拟输入和输出口之间的损耗频率失真应满足表2-2的要求。</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2-2四线链路频率损耗失真 单位：dB</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F（kHz）</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相对于f=1020Hz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0.3—2.0</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0.5— -0.5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2.0—2.4</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0.7— -0.6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2.4—3.0</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1.0— -0.5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510"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3.0—3.4</w:t>
            </w:r>
          </w:p>
        </w:tc>
        <w:tc>
          <w:tcPr>
            <w:tcW w:w="4111" w:type="dxa"/>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2.2— -0.5</w:t>
            </w:r>
          </w:p>
        </w:tc>
      </w:tr>
    </w:tbl>
    <w:p>
      <w:pPr>
        <w:spacing w:line="360" w:lineRule="auto"/>
        <w:rPr>
          <w:rFonts w:ascii="Times New Roman" w:hAnsi="Times New Roman"/>
          <w:b/>
          <w:color w:val="auto"/>
          <w:sz w:val="24"/>
          <w:szCs w:val="24"/>
        </w:rPr>
      </w:pPr>
      <w:r>
        <w:rPr>
          <w:rFonts w:ascii="Times New Roman" w:hAnsi="Times New Roman"/>
          <w:b/>
          <w:color w:val="auto"/>
          <w:sz w:val="24"/>
          <w:szCs w:val="24"/>
          <w:lang w:bidi="ar"/>
        </w:rPr>
        <w:t>数字通路（64kbit/s）</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64kbit/s数字通路模拟端口间（二线、四线）的损耗频率失真要求和2.4.1节1)相同。</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（5）串音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1)四线电路链间二线音频端的近端和远端串音防卫度，要求在频率700～1100Hz 范围内的一个正弦波信号以0dBm0的电平加到一个输入口时，在其它通道的端口（近端或远端）处所收到的串音电平不超过-65dBm0；</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2)数字换机二线音频端的近端和远端串音防卫度，要求与四线电路链的要求相同；</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3)同一配线点的两对用户线之间的串音衰减应不小于70dB。</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（6）差错</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电力交换电话网内用于N×64kbit/s（N=1-32）数字连接所承载的业务的差错率采用的指标参数是严重差错秒比（SESR）及差错秒比（ESR）。全程性能指标为：</w:t>
      </w:r>
    </w:p>
    <w:p>
      <w:pPr>
        <w:spacing w:line="360" w:lineRule="auto"/>
        <w:rPr>
          <w:rFonts w:ascii="Times New Roman" w:hAnsi="Times New Roman"/>
          <w:color w:val="auto"/>
          <w:sz w:val="24"/>
          <w:szCs w:val="24"/>
        </w:rPr>
      </w:pPr>
      <w:r>
        <w:rPr>
          <w:rFonts w:ascii="Times New Roman" w:hAnsi="Times New Roman"/>
          <w:color w:val="auto"/>
          <w:sz w:val="24"/>
          <w:szCs w:val="24"/>
          <w:lang w:bidi="ar"/>
        </w:rPr>
        <w:t>—— 严重差错秒比（SESR）：具有劣于1×10</w:t>
      </w:r>
      <w:r>
        <w:rPr>
          <w:rFonts w:ascii="Times New Roman" w:hAnsi="Times New Roman"/>
          <w:color w:val="auto"/>
          <w:sz w:val="24"/>
          <w:szCs w:val="24"/>
          <w:vertAlign w:val="superscript"/>
          <w:lang w:bidi="ar"/>
        </w:rPr>
        <w:t>-3</w:t>
      </w:r>
      <w:r>
        <w:rPr>
          <w:rFonts w:ascii="Times New Roman" w:hAnsi="Times New Roman"/>
          <w:color w:val="auto"/>
          <w:sz w:val="24"/>
          <w:szCs w:val="24"/>
          <w:lang w:bidi="ar"/>
        </w:rPr>
        <w:t>差错比的1s时间间隔少于0.2％；</w:t>
      </w:r>
    </w:p>
    <w:p>
      <w:pPr>
        <w:spacing w:line="360" w:lineRule="auto"/>
        <w:rPr>
          <w:rFonts w:ascii="Times New Roman" w:hAnsi="Times New Roman"/>
          <w:color w:val="auto"/>
          <w:sz w:val="24"/>
          <w:szCs w:val="24"/>
        </w:rPr>
      </w:pPr>
      <w:r>
        <w:rPr>
          <w:rFonts w:ascii="Times New Roman" w:hAnsi="Times New Roman"/>
          <w:color w:val="auto"/>
          <w:sz w:val="24"/>
          <w:szCs w:val="24"/>
          <w:lang w:bidi="ar"/>
        </w:rPr>
        <w:t>—— 差错秒比（ESR）：具有任何差错的1s 时间间隔少于8％（等效于92％是无差错秒）。</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（7）抖动</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抖动为数字信号流的有效瞬时位置离开理想时间位置的短期变化，其单位为UI（Unit Interval）。根据每个互连设备所产生的抖动及其在输入输出端口间的传递特性，在传输网内的抖动会累积。当抖动累积到一定程度后，就会使误码、滑动和信号失真等性能进一步恶化。为减少抖动对传输性能的影响，应采用抖动抑制设备。因此，根据网路的复杂性和规模大小，可以采用抖动抑制设备，对在网路接口处出现的抖动累积进行控制。对网络接口处所允许的抖动限值，见表2-3。</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2</w:t>
      </w:r>
      <w:r>
        <w:rPr>
          <w:color w:val="auto"/>
          <w:sz w:val="24"/>
          <w:szCs w:val="24"/>
          <w:lang w:bidi="ar"/>
        </w:rPr>
        <w:noBreakHyphen/>
      </w:r>
      <w:r>
        <w:rPr>
          <w:color w:val="auto"/>
          <w:sz w:val="24"/>
          <w:szCs w:val="24"/>
          <w:lang w:bidi="ar"/>
        </w:rPr>
        <w:t>3在PDH 和SDH网路接口的最大网路抖动限值</w:t>
      </w:r>
    </w:p>
    <w:tbl>
      <w:tblPr>
        <w:tblStyle w:val="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624"/>
        <w:gridCol w:w="1727"/>
        <w:gridCol w:w="1656"/>
        <w:gridCol w:w="1130"/>
        <w:gridCol w:w="1873"/>
        <w:gridCol w:w="1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jc w:val="center"/>
        </w:trPr>
        <w:tc>
          <w:tcPr>
            <w:tcW w:w="375"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p>
        </w:tc>
        <w:tc>
          <w:tcPr>
            <w:tcW w:w="817"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数字率参数值(kbit／s)</w:t>
            </w:r>
          </w:p>
        </w:tc>
        <w:tc>
          <w:tcPr>
            <w:tcW w:w="1688" w:type="pct"/>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网路抖动限值</w:t>
            </w:r>
          </w:p>
        </w:tc>
        <w:tc>
          <w:tcPr>
            <w:tcW w:w="2118" w:type="pct"/>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测量滤波器带宽(带通滤波器有低端截止频率f1或f3和高端截止频率f4)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B1(f1-f4)UIPP</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B1(f3-f4)UIPP</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f1</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f3</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f4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PDH</w:t>
            </w: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64</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0.25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3kHz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2048</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0.2</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18kHz（700Hz）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100kHz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8448</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0.2</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3kHz（80Hz）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400kHz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34368</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0.15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10kHz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800kHz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139264</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0.075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10kHz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3.5MHz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SDH</w:t>
            </w: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STM-1</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0.15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500Hz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65kHz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1.3MHz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STM-4</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0.15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1kHz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250kHz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5MHz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81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STM-16</w:t>
            </w:r>
          </w:p>
        </w:tc>
        <w:tc>
          <w:tcPr>
            <w:tcW w:w="8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c>
          <w:tcPr>
            <w:tcW w:w="8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0.15</w:t>
            </w:r>
          </w:p>
        </w:tc>
        <w:tc>
          <w:tcPr>
            <w:tcW w:w="56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5kHz</w:t>
            </w:r>
          </w:p>
        </w:tc>
        <w:tc>
          <w:tcPr>
            <w:tcW w:w="94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1MHz</w:t>
            </w:r>
          </w:p>
        </w:tc>
        <w:tc>
          <w:tcPr>
            <w:tcW w:w="60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20MHz</w:t>
            </w:r>
          </w:p>
        </w:tc>
      </w:tr>
    </w:tbl>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（8）杂音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交换网的杂音主要来自于模拟设备部分以及数模变换的模拟侧部分。</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杂音要求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1)衡重杂音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由交换机Z-Z间形成一个完整连接，在二线接口处的总杂音计功率应不大于按下式计算的数值。</w:t>
      </w:r>
    </w:p>
    <w:p>
      <w:pPr>
        <w:spacing w:line="360" w:lineRule="auto"/>
        <w:jc w:val="center"/>
        <w:rPr>
          <w:rFonts w:ascii="Times New Roman" w:hAnsi="Times New Roman"/>
          <w:color w:val="auto"/>
          <w:sz w:val="24"/>
          <w:szCs w:val="24"/>
          <w:lang w:eastAsia="zh"/>
        </w:rPr>
      </w:pPr>
      <w:r>
        <w:rPr>
          <w:rFonts w:ascii="Times New Roman" w:hAnsi="Times New Roman"/>
          <w:color w:val="auto"/>
          <w:sz w:val="24"/>
          <w:szCs w:val="24"/>
        </w:rPr>
        <w:drawing>
          <wp:inline distT="0" distB="0" distL="114300" distR="114300">
            <wp:extent cx="2286000" cy="3429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4"/>
                    <a:stretch>
                      <a:fillRect/>
                    </a:stretch>
                  </pic:blipFill>
                  <pic:spPr>
                    <a:xfrm>
                      <a:off x="0" y="0"/>
                      <a:ext cx="2286000" cy="342900"/>
                    </a:xfrm>
                    <a:prstGeom prst="rect">
                      <a:avLst/>
                    </a:prstGeom>
                  </pic:spPr>
                </pic:pic>
              </a:graphicData>
            </a:graphic>
          </wp:inline>
        </w:drawing>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相应的总杂音电平</w:t>
      </w:r>
      <w:r>
        <w:rPr>
          <w:rFonts w:ascii="Times New Roman" w:hAnsi="Times New Roman"/>
          <w:color w:val="auto"/>
          <w:sz w:val="24"/>
          <w:szCs w:val="24"/>
        </w:rPr>
        <w:drawing>
          <wp:inline distT="0" distB="0" distL="114300" distR="114300">
            <wp:extent cx="1638300" cy="4191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5"/>
                    <a:stretch>
                      <a:fillRect/>
                    </a:stretch>
                  </pic:blipFill>
                  <pic:spPr>
                    <a:xfrm>
                      <a:off x="0" y="0"/>
                      <a:ext cx="1638300" cy="419100"/>
                    </a:xfrm>
                    <a:prstGeom prst="rect">
                      <a:avLst/>
                    </a:prstGeom>
                  </pic:spPr>
                </pic:pic>
              </a:graphicData>
            </a:graphic>
          </wp:inline>
        </w:drawing>
      </w:r>
      <w:r>
        <w:rPr>
          <w:rFonts w:ascii="Times New Roman" w:hAnsi="Times New Roman"/>
          <w:color w:val="auto"/>
          <w:sz w:val="24"/>
          <w:szCs w:val="24"/>
          <w:lang w:bidi="ar"/>
        </w:rPr>
        <w:t>，式中：</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260350" cy="23495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6"/>
                    <a:stretch>
                      <a:fillRect/>
                    </a:stretch>
                  </pic:blipFill>
                  <pic:spPr>
                    <a:xfrm>
                      <a:off x="0" y="0"/>
                      <a:ext cx="260350" cy="234950"/>
                    </a:xfrm>
                    <a:prstGeom prst="rect">
                      <a:avLst/>
                    </a:prstGeom>
                  </pic:spPr>
                </pic:pic>
              </a:graphicData>
            </a:graphic>
          </wp:inline>
        </w:drawing>
      </w:r>
      <w:r>
        <w:rPr>
          <w:rFonts w:ascii="Times New Roman" w:hAnsi="Times New Roman"/>
          <w:color w:val="auto"/>
          <w:sz w:val="24"/>
          <w:szCs w:val="24"/>
          <w:lang w:bidi="ar"/>
        </w:rPr>
        <w:t xml:space="preserve"> 数字交换机二线接口间（Z-Z）连接总的衡重杂音功率；</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260350" cy="2349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7"/>
                    <a:stretch>
                      <a:fillRect/>
                    </a:stretch>
                  </pic:blipFill>
                  <pic:spPr>
                    <a:xfrm>
                      <a:off x="0" y="0"/>
                      <a:ext cx="260350" cy="234950"/>
                    </a:xfrm>
                    <a:prstGeom prst="rect">
                      <a:avLst/>
                    </a:prstGeom>
                  </pic:spPr>
                </pic:pic>
              </a:graphicData>
            </a:graphic>
          </wp:inline>
        </w:drawing>
      </w:r>
      <w:r>
        <w:rPr>
          <w:rFonts w:ascii="Times New Roman" w:hAnsi="Times New Roman"/>
          <w:color w:val="auto"/>
          <w:sz w:val="24"/>
          <w:szCs w:val="24"/>
          <w:lang w:bidi="ar"/>
        </w:rPr>
        <w:t xml:space="preserve"> 由模拟部分产生的衡重杂音功率，为200pWp；</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90500" cy="2349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8"/>
                    <a:stretch>
                      <a:fillRect/>
                    </a:stretch>
                  </pic:blipFill>
                  <pic:spPr>
                    <a:xfrm>
                      <a:off x="0" y="0"/>
                      <a:ext cx="190500" cy="234950"/>
                    </a:xfrm>
                    <a:prstGeom prst="rect">
                      <a:avLst/>
                    </a:prstGeom>
                  </pic:spPr>
                </pic:pic>
              </a:graphicData>
            </a:graphic>
          </wp:inline>
        </w:drawing>
      </w:r>
      <w:r>
        <w:rPr>
          <w:rFonts w:ascii="Times New Roman" w:hAnsi="Times New Roman"/>
          <w:color w:val="auto"/>
          <w:sz w:val="24"/>
          <w:szCs w:val="24"/>
          <w:lang w:bidi="ar"/>
        </w:rPr>
        <w:t xml:space="preserve"> 接口点输出相对电平；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52400" cy="23495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9"/>
                    <a:stretch>
                      <a:fillRect/>
                    </a:stretch>
                  </pic:blipFill>
                  <pic:spPr>
                    <a:xfrm>
                      <a:off x="0" y="0"/>
                      <a:ext cx="152400" cy="234950"/>
                    </a:xfrm>
                    <a:prstGeom prst="rect">
                      <a:avLst/>
                    </a:prstGeom>
                  </pic:spPr>
                </pic:pic>
              </a:graphicData>
            </a:graphic>
          </wp:inline>
        </w:drawing>
      </w:r>
      <w:r>
        <w:rPr>
          <w:rFonts w:ascii="Times New Roman" w:hAnsi="Times New Roman"/>
          <w:color w:val="auto"/>
          <w:sz w:val="24"/>
          <w:szCs w:val="24"/>
          <w:lang w:bidi="ar"/>
        </w:rPr>
        <w:t xml:space="preserve">  同一交换机Z接口点输入相对电平；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234950" cy="234950"/>
            <wp:effectExtent l="0" t="0" r="571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0"/>
                    <a:stretch>
                      <a:fillRect/>
                    </a:stretch>
                  </pic:blipFill>
                  <pic:spPr>
                    <a:xfrm>
                      <a:off x="0" y="0"/>
                      <a:ext cx="234950" cy="234950"/>
                    </a:xfrm>
                    <a:prstGeom prst="rect">
                      <a:avLst/>
                    </a:prstGeom>
                  </pic:spPr>
                </pic:pic>
              </a:graphicData>
            </a:graphic>
          </wp:inline>
        </w:drawing>
      </w:r>
      <w:r>
        <w:rPr>
          <w:rFonts w:ascii="Times New Roman" w:hAnsi="Times New Roman"/>
          <w:color w:val="auto"/>
          <w:sz w:val="24"/>
          <w:szCs w:val="24"/>
          <w:lang w:bidi="ar"/>
        </w:rPr>
        <w:t xml:space="preserve"> PCM转换设备的衡重杂音（空闲信道杂音），为-65dBm0p（相对零电平点的绝对功率电平）；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由本地交换机二线模拟接口之间的总杂音功率，将分别为两个半连接(输入连接、输出连接)出现在二线模拟输出口处杂音功率的和。</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2)单频杂音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选择测量任一单频，特别是取样频率及其倍频的电平不应超过-50dBm0p。</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3)非衡重杂音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在忙时非杂音计功率电平（测量频宽30-20000Hz）应不大于-40dBm0p，相当于功率0.lμW。</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4)脉冲杂音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交换机在忙时脉冲杂音的平均次数，在5min内超过-35dBm0p的脉冲应不多于5次。但在每一个5min内脉冲杂音电平在-33～-25dBm0p之间允许出现的次数可为6次，脉冲杂音电平在-35～-33dBm0p之间允许出现的次数可为20次。</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5)总失真（包括量化失真）</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在数字交换机二线接口间（Z）形成一个完整连接而出现的信号与总失真功率比，在用一个频率为1020Hz的信号进行测量时，应大于下式计算值：</w:t>
      </w:r>
    </w:p>
    <w:p>
      <w:pPr>
        <w:spacing w:line="360" w:lineRule="auto"/>
        <w:jc w:val="center"/>
        <w:rPr>
          <w:rFonts w:ascii="Times New Roman" w:hAnsi="Times New Roman"/>
          <w:color w:val="auto"/>
          <w:sz w:val="24"/>
          <w:szCs w:val="24"/>
          <w:lang w:eastAsia="zh"/>
        </w:rPr>
      </w:pPr>
      <w:r>
        <w:rPr>
          <w:rFonts w:ascii="Times New Roman" w:hAnsi="Times New Roman"/>
          <w:color w:val="auto"/>
          <w:sz w:val="24"/>
          <w:szCs w:val="24"/>
        </w:rPr>
        <w:drawing>
          <wp:inline distT="0" distB="0" distL="114300" distR="114300">
            <wp:extent cx="3492500" cy="3556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21"/>
                    <a:stretch>
                      <a:fillRect/>
                    </a:stretch>
                  </pic:blipFill>
                  <pic:spPr>
                    <a:xfrm>
                      <a:off x="0" y="0"/>
                      <a:ext cx="3492500" cy="355600"/>
                    </a:xfrm>
                    <a:prstGeom prst="rect">
                      <a:avLst/>
                    </a:prstGeom>
                  </pic:spPr>
                </pic:pic>
              </a:graphicData>
            </a:graphic>
          </wp:inline>
        </w:drawing>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式中：</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419100" cy="23495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22"/>
                    <a:stretch>
                      <a:fillRect/>
                    </a:stretch>
                  </pic:blipFill>
                  <pic:spPr>
                    <a:xfrm>
                      <a:off x="0" y="0"/>
                      <a:ext cx="419100" cy="234950"/>
                    </a:xfrm>
                    <a:prstGeom prst="rect">
                      <a:avLst/>
                    </a:prstGeom>
                  </pic:spPr>
                </pic:pic>
              </a:graphicData>
            </a:graphic>
          </wp:inline>
        </w:drawing>
      </w:r>
      <w:r>
        <w:rPr>
          <w:rFonts w:ascii="Times New Roman" w:hAnsi="Times New Roman"/>
          <w:color w:val="auto"/>
          <w:sz w:val="24"/>
          <w:szCs w:val="24"/>
          <w:lang w:bidi="ar"/>
        </w:rPr>
        <w:t>：经数字交换机形成一个完整连接的信号与总失真之比；</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90500" cy="2349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3"/>
                    <a:stretch>
                      <a:fillRect/>
                    </a:stretch>
                  </pic:blipFill>
                  <pic:spPr>
                    <a:xfrm>
                      <a:off x="0" y="0"/>
                      <a:ext cx="190500" cy="234950"/>
                    </a:xfrm>
                    <a:prstGeom prst="rect">
                      <a:avLst/>
                    </a:prstGeom>
                  </pic:spPr>
                </pic:pic>
              </a:graphicData>
            </a:graphic>
          </wp:inline>
        </w:drawing>
      </w:r>
      <w:r>
        <w:rPr>
          <w:rFonts w:ascii="Times New Roman" w:hAnsi="Times New Roman"/>
          <w:color w:val="auto"/>
          <w:sz w:val="24"/>
          <w:szCs w:val="24"/>
          <w:lang w:bidi="ar"/>
        </w:rPr>
        <w:t>：测试信号的信号电平，单位dBm0；</w:t>
      </w:r>
    </w:p>
    <w:p>
      <w:pPr>
        <w:spacing w:line="360" w:lineRule="auto"/>
        <w:ind w:firstLine="480" w:firstLineChars="200"/>
        <w:rPr>
          <w:rFonts w:ascii="Times New Roman" w:hAnsi="Times New Roman"/>
          <w:color w:val="auto"/>
          <w:sz w:val="24"/>
          <w:szCs w:val="24"/>
        </w:rPr>
      </w:pPr>
      <w:r>
        <w:rPr>
          <w:rFonts w:ascii="Times New Roman" w:hAnsi="Times New Roman"/>
          <w:color w:val="auto"/>
          <w:position w:val="-12"/>
          <w:sz w:val="24"/>
          <w:szCs w:val="24"/>
        </w:rPr>
        <w:drawing>
          <wp:inline distT="0" distB="0" distL="114300" distR="114300">
            <wp:extent cx="190500" cy="23495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8"/>
                    <a:stretch>
                      <a:fillRect/>
                    </a:stretch>
                  </pic:blipFill>
                  <pic:spPr>
                    <a:xfrm>
                      <a:off x="0" y="0"/>
                      <a:ext cx="190500" cy="234950"/>
                    </a:xfrm>
                    <a:prstGeom prst="rect">
                      <a:avLst/>
                    </a:prstGeom>
                  </pic:spPr>
                </pic:pic>
              </a:graphicData>
            </a:graphic>
          </wp:inline>
        </w:drawing>
      </w:r>
      <w:r>
        <w:rPr>
          <w:rFonts w:ascii="Times New Roman" w:hAnsi="Times New Roman"/>
          <w:color w:val="auto"/>
          <w:position w:val="-12"/>
          <w:sz w:val="24"/>
          <w:szCs w:val="24"/>
          <w:lang w:bidi="ar"/>
        </w:rPr>
        <w:t>：</w:t>
      </w:r>
      <w:r>
        <w:rPr>
          <w:rFonts w:ascii="Times New Roman" w:hAnsi="Times New Roman"/>
          <w:color w:val="auto"/>
          <w:sz w:val="24"/>
          <w:szCs w:val="24"/>
          <w:lang w:bidi="ar"/>
        </w:rPr>
        <w:t>本地交换机输出相对电平，单位dBr；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52400" cy="2349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19"/>
                    <a:stretch>
                      <a:fillRect/>
                    </a:stretch>
                  </pic:blipFill>
                  <pic:spPr>
                    <a:xfrm>
                      <a:off x="0" y="0"/>
                      <a:ext cx="152400" cy="234950"/>
                    </a:xfrm>
                    <a:prstGeom prst="rect">
                      <a:avLst/>
                    </a:prstGeom>
                  </pic:spPr>
                </pic:pic>
              </a:graphicData>
            </a:graphic>
          </wp:inline>
        </w:drawing>
      </w:r>
      <w:r>
        <w:rPr>
          <w:rFonts w:ascii="Times New Roman" w:hAnsi="Times New Roman"/>
          <w:color w:val="auto"/>
          <w:sz w:val="24"/>
          <w:szCs w:val="24"/>
          <w:lang w:bidi="ar"/>
        </w:rPr>
        <w:t>：本地交换机输入相对电平，单位dBr；</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374650" cy="17780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4"/>
                    <a:stretch>
                      <a:fillRect/>
                    </a:stretch>
                  </pic:blipFill>
                  <pic:spPr>
                    <a:xfrm>
                      <a:off x="0" y="0"/>
                      <a:ext cx="374650" cy="177800"/>
                    </a:xfrm>
                    <a:prstGeom prst="rect">
                      <a:avLst/>
                    </a:prstGeom>
                  </pic:spPr>
                </pic:pic>
              </a:graphicData>
            </a:graphic>
          </wp:inline>
        </w:drawing>
      </w:r>
      <w:r>
        <w:rPr>
          <w:rFonts w:ascii="Times New Roman" w:hAnsi="Times New Roman"/>
          <w:color w:val="auto"/>
          <w:sz w:val="24"/>
          <w:szCs w:val="24"/>
          <w:lang w:bidi="ar"/>
        </w:rPr>
        <w:t>：PCM通路转换设备的信号与总失真之比（建议G.712）；</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234950" cy="23495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25"/>
                    <a:stretch>
                      <a:fillRect/>
                    </a:stretch>
                  </pic:blipFill>
                  <pic:spPr>
                    <a:xfrm>
                      <a:off x="0" y="0"/>
                      <a:ext cx="234950" cy="234950"/>
                    </a:xfrm>
                    <a:prstGeom prst="rect">
                      <a:avLst/>
                    </a:prstGeom>
                  </pic:spPr>
                </pic:pic>
              </a:graphicData>
            </a:graphic>
          </wp:inline>
        </w:drawing>
      </w:r>
      <w:r>
        <w:rPr>
          <w:rFonts w:ascii="Times New Roman" w:hAnsi="Times New Roman"/>
          <w:color w:val="auto"/>
          <w:sz w:val="24"/>
          <w:szCs w:val="24"/>
          <w:lang w:bidi="ar"/>
        </w:rPr>
        <w:t>，</w:t>
      </w:r>
      <w:r>
        <w:rPr>
          <w:rFonts w:ascii="Times New Roman" w:hAnsi="Times New Roman"/>
          <w:color w:val="auto"/>
          <w:sz w:val="24"/>
          <w:szCs w:val="24"/>
        </w:rPr>
        <w:drawing>
          <wp:inline distT="0" distB="0" distL="114300" distR="114300">
            <wp:extent cx="260350" cy="23495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6"/>
                    <a:stretch>
                      <a:fillRect/>
                    </a:stretch>
                  </pic:blipFill>
                  <pic:spPr>
                    <a:xfrm>
                      <a:off x="0" y="0"/>
                      <a:ext cx="260350" cy="234950"/>
                    </a:xfrm>
                    <a:prstGeom prst="rect">
                      <a:avLst/>
                    </a:prstGeom>
                  </pic:spPr>
                </pic:pic>
              </a:graphicData>
            </a:graphic>
          </wp:inline>
        </w:drawing>
      </w:r>
      <w:r>
        <w:rPr>
          <w:rFonts w:ascii="Times New Roman" w:hAnsi="Times New Roman"/>
          <w:color w:val="auto"/>
          <w:sz w:val="24"/>
          <w:szCs w:val="24"/>
          <w:lang w:bidi="ar"/>
        </w:rPr>
        <w:t>在发端和终端依G.123由模拟部分引起的杂音，对2接口为-67dBm0p。</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用户线</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由于热杂音和线对间串音在用户线上引起的杂音，在话机端测量应不超过100pWp(-70dBm)。</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电力线感应杂音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由于电力线的磁感应或静电感应在用户话机（接收时）线路端产生的杂音计电动势，对专网呼叫不应超过2mV。</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（9）时延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时延是数字损伤之一。由于在通话连接中存在反射点而出现反射信号，此反射信号因时延而滞后于话音信号，由此使数字信号产生变化或发生回声现象。</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短传播时延将使接收信号产生恶化，出现受话人回声的现象。</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长传播时延将出现发话人回声现象。当出现发话人回声的概率由1％增大到2％时，不加装回声控制设备的全程时延应控制在26ms之内。</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（10）呼损</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全程呼损</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电力系统语音交换网数字长途电话网的全程呼损应≤0.087。</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呼损指标的分配</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专网内的基干路由中各段基干电路群和低呼损电路群的呼损应≤0.01。由于各段电路呼损取值很小，因此，可以近似地将各段电路呼损相加，以计算全程呼损。对交换机的呼损要求，应视它在通话连接中所处的地位而确定。见表2-4。</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2</w:t>
      </w:r>
      <w:r>
        <w:rPr>
          <w:color w:val="auto"/>
          <w:sz w:val="24"/>
          <w:szCs w:val="24"/>
          <w:lang w:bidi="ar"/>
        </w:rPr>
        <w:noBreakHyphen/>
      </w:r>
      <w:r>
        <w:rPr>
          <w:color w:val="auto"/>
          <w:sz w:val="24"/>
          <w:szCs w:val="24"/>
          <w:lang w:bidi="ar"/>
        </w:rPr>
        <w:t>4数字交换机的呼损指标</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513"/>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接续类型</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额定负荷</w:t>
            </w:r>
          </w:p>
        </w:tc>
        <w:tc>
          <w:tcPr>
            <w:tcW w:w="26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超负荷25%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本局呼叫</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0.01</w:t>
            </w:r>
          </w:p>
        </w:tc>
        <w:tc>
          <w:tcPr>
            <w:tcW w:w="26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出局呼叫</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0.005</w:t>
            </w:r>
          </w:p>
        </w:tc>
        <w:tc>
          <w:tcPr>
            <w:tcW w:w="26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入局呼叫</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0.005</w:t>
            </w:r>
          </w:p>
        </w:tc>
        <w:tc>
          <w:tcPr>
            <w:tcW w:w="26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转接呼叫</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0.001</w:t>
            </w:r>
          </w:p>
        </w:tc>
        <w:tc>
          <w:tcPr>
            <w:tcW w:w="26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0.01</w:t>
            </w:r>
          </w:p>
        </w:tc>
      </w:tr>
    </w:tbl>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（11）接续时延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接续时延是衡量网路服务质量的一个指标，它用拨号前时延和拨号后时延两个参数来衡量。拨号前时延是用户摘机至听到拨号音瞬间的时间间隔。</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拨号后时延是用户或终端设备拨号终了网路做出响应，即拨号终了至送出回铃音或忙音之间的时间间隔。</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拨号前时延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对于数字交换机，拨号前时延应满足表2-5的要求：</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2</w:t>
      </w:r>
      <w:r>
        <w:rPr>
          <w:color w:val="auto"/>
          <w:sz w:val="24"/>
          <w:szCs w:val="24"/>
          <w:lang w:bidi="ar"/>
        </w:rPr>
        <w:noBreakHyphen/>
      </w:r>
      <w:r>
        <w:rPr>
          <w:color w:val="auto"/>
          <w:sz w:val="24"/>
          <w:szCs w:val="24"/>
          <w:lang w:bidi="ar"/>
        </w:rPr>
        <w:t>5拨号前的时延要求</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471"/>
        <w:gridCol w:w="2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平均值</w:t>
            </w:r>
          </w:p>
        </w:tc>
        <w:tc>
          <w:tcPr>
            <w:tcW w:w="24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参考负荷A</w:t>
            </w:r>
          </w:p>
        </w:tc>
        <w:tc>
          <w:tcPr>
            <w:tcW w:w="2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参考负荷B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24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≤400ms</w:t>
            </w:r>
          </w:p>
        </w:tc>
        <w:tc>
          <w:tcPr>
            <w:tcW w:w="2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不超过0.95的概率</w:t>
            </w:r>
          </w:p>
        </w:tc>
        <w:tc>
          <w:tcPr>
            <w:tcW w:w="24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600ms</w:t>
            </w:r>
          </w:p>
        </w:tc>
        <w:tc>
          <w:tcPr>
            <w:tcW w:w="27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4"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参考负荷B为参考负荷A乘以1.25</w:t>
            </w:r>
          </w:p>
        </w:tc>
      </w:tr>
    </w:tbl>
    <w:p>
      <w:pPr>
        <w:spacing w:line="360" w:lineRule="auto"/>
        <w:rPr>
          <w:rFonts w:ascii="Times New Roman" w:hAnsi="Times New Roman"/>
          <w:b/>
          <w:color w:val="auto"/>
          <w:sz w:val="24"/>
          <w:szCs w:val="24"/>
        </w:rPr>
      </w:pPr>
      <w:r>
        <w:rPr>
          <w:rFonts w:ascii="Times New Roman" w:hAnsi="Times New Roman"/>
          <w:b/>
          <w:color w:val="auto"/>
          <w:sz w:val="24"/>
          <w:szCs w:val="24"/>
          <w:lang w:bidi="ar"/>
        </w:rPr>
        <w:t>拨号后时延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拨号后时延表示网路为建立一个用户～用户间通话连接所需的时间，它与交换设备本身（发送或转接或终端）的接续时延、信令的传递和处理时延等因素有关。数字网建立全程的时延为上述各因素的时延之和。</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通话的全程接续时延为全程通过No.7信令网传送信令消息的时延。其中最长信令经7个SP点的情况下，按照ITU-T规定的No.7消息的处理时延，网内极长连接全程接续时延平均为（110+180）×7＝2030ms，取整数3s；在每段时延值取负荷95％时的信令处理时延，此时极长连接的建立时延为（220+360）×7＝4060ms，取整数5s。南方电网语音交换网内采用Q.SIG、DSS1等共路信令时，信令消息传送时延同No.7信令。</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接口技术要求</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（1）用户侧接口</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模拟Z用户接口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交换机应提供模拟Z接口以支持PSTN业务接入，</w:t>
      </w:r>
      <w:r>
        <w:rPr>
          <w:rFonts w:hint="eastAsia" w:ascii="Times New Roman" w:hAnsi="Times New Roman"/>
          <w:color w:val="auto"/>
          <w:sz w:val="24"/>
          <w:szCs w:val="24"/>
          <w:lang w:bidi="ar"/>
        </w:rPr>
        <w:t>其模拟</w:t>
      </w:r>
      <w:r>
        <w:rPr>
          <w:rFonts w:ascii="Times New Roman" w:hAnsi="Times New Roman"/>
          <w:color w:val="auto"/>
          <w:sz w:val="24"/>
          <w:szCs w:val="24"/>
          <w:lang w:bidi="ar"/>
        </w:rPr>
        <w:t>Z接口应符合</w:t>
      </w:r>
      <w:r>
        <w:rPr>
          <w:rFonts w:hint="eastAsia" w:ascii="Times New Roman" w:hAnsi="Times New Roman"/>
          <w:color w:val="auto"/>
          <w:sz w:val="24"/>
          <w:szCs w:val="24"/>
          <w:lang w:bidi="ar"/>
        </w:rPr>
        <w:t>YDN</w:t>
      </w:r>
      <w:r>
        <w:rPr>
          <w:rFonts w:ascii="Times New Roman" w:hAnsi="Times New Roman"/>
          <w:color w:val="auto"/>
          <w:sz w:val="24"/>
          <w:szCs w:val="24"/>
          <w:lang w:bidi="ar"/>
        </w:rPr>
        <w:t xml:space="preserve"> 065</w:t>
      </w:r>
      <w:r>
        <w:rPr>
          <w:rFonts w:hint="eastAsia" w:ascii="Times New Roman" w:hAnsi="Times New Roman"/>
          <w:color w:val="auto"/>
          <w:sz w:val="24"/>
          <w:szCs w:val="24"/>
          <w:lang w:bidi="ar"/>
        </w:rPr>
        <w:t>《邮电部电话交换设备总技术条件书》的要求</w:t>
      </w:r>
      <w:r>
        <w:rPr>
          <w:rFonts w:ascii="Times New Roman" w:hAnsi="Times New Roman"/>
          <w:color w:val="auto"/>
          <w:sz w:val="24"/>
          <w:szCs w:val="24"/>
          <w:lang w:bidi="ar"/>
        </w:rPr>
        <w:t>。</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ISDN 基本速率接口（BRI）</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交换机应提供ISDN BRI接口以支持ISDN业务接入，其线路传输系统应符合ITU-T G.960建议（采用2B1Q编码）。</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ISDN BRI接口应提供远程馈电，馈电电压为直流48±5V，并提供过流保护机制。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ISDN BRI接口应提供维护监测功能，并符合YD/T 1062的要求。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ISDN BRI接口DSS1协议应符合YDN 034《ISDN用户-网络接口规范》的要求。</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以太网接口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提供10/100/1000M自适应以太网接口， 10Mbps以太网接口符合IEEE802.3 标准，100Mbps 以太网接口符合 IEEE802.3u标准，1000Mbps以太网接口符合IEEE802.3z / IEEE 802.3ab 标准。</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用户侧以太网接口提供VOIP放号功能，每板卡需支持不少于64个SIP用户。</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（2）中继侧接口</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数字中继接口A</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数字中继接口A是2048kbit/s 速率接口，其电气特性、帧结构和复帧结构等物理特性和电气特性符合ITU G703建议的要求，并允许接口自环。</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ISDN数字中继接口PRI</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交换机应提供ISDN PRI接口以支持ISDN业务接入，其线路传输系统应符合ITU-T G.962建议。ISDN PRI接口DSS1协议应符合YDN 034《ISDN用户-网络接口规范》的要求。</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E&amp;M中继接口</w:t>
      </w:r>
    </w:p>
    <w:p>
      <w:pPr>
        <w:spacing w:line="360" w:lineRule="auto"/>
        <w:rPr>
          <w:rFonts w:ascii="Times New Roman" w:hAnsi="Times New Roman"/>
          <w:color w:val="auto"/>
          <w:sz w:val="24"/>
          <w:szCs w:val="24"/>
        </w:rPr>
      </w:pPr>
      <w:r>
        <w:rPr>
          <w:rFonts w:ascii="Times New Roman" w:hAnsi="Times New Roman"/>
          <w:color w:val="auto"/>
          <w:sz w:val="24"/>
          <w:szCs w:val="24"/>
          <w:lang w:bidi="ar"/>
        </w:rPr>
        <w:t xml:space="preserve">    四线E&amp;M接口能提供I-V类接线方式。电气特性如下：</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1)阻抗特性</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四线音频输入和输出口的标称阻抗值为平衡式600Ω，连接600Ω的回波损耗在300 Hz～3400 Hz范围内应不低于20 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2)输入输出电平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输入电平为 -4.0 dBr，允许偏差范围 -0.3 dB～+0.7 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输出电平为 -4.0 dBr，允许偏差范围 -0.7 dB～+0.3 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电路板的输入调整范围 -9.0 dB～+4.0 dB；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电路板的输出调整范围 -14.0 dB～-1.0 dB。</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二线环路接口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其电气特性同二线模拟接口，发送和接收都能适用于直流脉冲和DTMF 信号，且每个接口能作为呼出专用或呼入专用，也能随意改变为呼入、呼出两用，并能识别换极信号。</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以太网接口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提供10/100/1000M自适应以太网接口，10Mbps以太网接口符合IEEE802.3标准，100Mbps 以太网接口符合IEEE802.3u标准，1000Mbps以太网接口符合IEEE802.3z / IEEE 802.3ab标准。</w:t>
      </w:r>
    </w:p>
    <w:p>
      <w:pPr>
        <w:spacing w:line="360" w:lineRule="auto"/>
        <w:ind w:firstLine="480" w:firstLineChars="200"/>
        <w:rPr>
          <w:rFonts w:ascii="Times New Roman" w:hAnsi="Times New Roman"/>
          <w:color w:val="auto"/>
          <w:sz w:val="24"/>
          <w:szCs w:val="24"/>
        </w:rPr>
      </w:pPr>
      <w:r>
        <w:rPr>
          <w:rFonts w:ascii="Times New Roman" w:hAnsi="Times New Roman"/>
          <w:bCs/>
          <w:color w:val="auto"/>
          <w:sz w:val="24"/>
          <w:szCs w:val="24"/>
          <w:lang w:bidi="ar"/>
        </w:rPr>
        <w:t>中继侧以太网接口支持SIP中继功能，需支持不少于一个SIP中继板卡。</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（3）网管接口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网管接口要求采用RS-232接口，或以太网10/100/1000M自适应接口。</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信令技术要求</w:t>
      </w:r>
    </w:p>
    <w:p>
      <w:pPr>
        <w:spacing w:line="360" w:lineRule="auto"/>
        <w:ind w:firstLine="420"/>
        <w:rPr>
          <w:rFonts w:ascii="Times New Roman" w:hAnsi="Times New Roman"/>
          <w:color w:val="auto"/>
          <w:sz w:val="24"/>
          <w:szCs w:val="24"/>
        </w:rPr>
      </w:pPr>
      <w:r>
        <w:rPr>
          <w:rFonts w:ascii="Times New Roman" w:hAnsi="Times New Roman"/>
          <w:color w:val="auto"/>
          <w:sz w:val="24"/>
          <w:szCs w:val="24"/>
          <w:lang w:bidi="ar"/>
        </w:rPr>
        <w:t>语音交换网信令包括用户线信令和局间信令两部分。</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（1）用户线信令</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直流脉冲按健话机相关的用户信号技术指标</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表格4</w:t>
      </w:r>
      <w:r>
        <w:rPr>
          <w:color w:val="auto"/>
          <w:sz w:val="24"/>
          <w:szCs w:val="24"/>
          <w:lang w:bidi="ar"/>
        </w:rPr>
        <w:noBreakHyphen/>
      </w:r>
      <w:r>
        <w:rPr>
          <w:color w:val="auto"/>
          <w:sz w:val="24"/>
          <w:szCs w:val="24"/>
          <w:lang w:bidi="ar"/>
        </w:rPr>
        <w:t>1直流脉冲按健话机用户信号技术指标</w:t>
      </w:r>
    </w:p>
    <w:tbl>
      <w:tblPr>
        <w:tblStyle w:val="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50"/>
        <w:gridCol w:w="2556"/>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882"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项     目</w:t>
            </w:r>
          </w:p>
        </w:tc>
        <w:tc>
          <w:tcPr>
            <w:tcW w:w="1283" w:type="pct"/>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话     机</w:t>
            </w:r>
          </w:p>
        </w:tc>
        <w:tc>
          <w:tcPr>
            <w:tcW w:w="18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用户交换机接收器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882"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1283" w:type="pct"/>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18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程控局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脉冲速度（脉冲/秒）</w:t>
            </w:r>
          </w:p>
        </w:tc>
        <w:tc>
          <w:tcPr>
            <w:tcW w:w="128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10+1</w:t>
            </w:r>
          </w:p>
        </w:tc>
        <w:tc>
          <w:tcPr>
            <w:tcW w:w="18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脉冲断续比</w:t>
            </w:r>
          </w:p>
        </w:tc>
        <w:tc>
          <w:tcPr>
            <w:tcW w:w="128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（1.6+0.2）：1</w:t>
            </w:r>
          </w:p>
        </w:tc>
        <w:tc>
          <w:tcPr>
            <w:tcW w:w="18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（1.3～2.5）：1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脉冲串间隔</w:t>
            </w:r>
          </w:p>
        </w:tc>
        <w:tc>
          <w:tcPr>
            <w:tcW w:w="128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≥500ms</w:t>
            </w:r>
          </w:p>
        </w:tc>
        <w:tc>
          <w:tcPr>
            <w:tcW w:w="183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≥350ms</w:t>
            </w:r>
          </w:p>
        </w:tc>
      </w:tr>
    </w:tbl>
    <w:p>
      <w:pPr>
        <w:spacing w:line="360" w:lineRule="auto"/>
        <w:rPr>
          <w:rFonts w:ascii="Times New Roman" w:hAnsi="Times New Roman"/>
          <w:b/>
          <w:color w:val="auto"/>
          <w:sz w:val="24"/>
          <w:szCs w:val="24"/>
        </w:rPr>
      </w:pPr>
      <w:r>
        <w:rPr>
          <w:rFonts w:ascii="Times New Roman" w:hAnsi="Times New Roman"/>
          <w:b/>
          <w:color w:val="auto"/>
          <w:sz w:val="24"/>
          <w:szCs w:val="24"/>
          <w:lang w:bidi="ar"/>
        </w:rPr>
        <w:t>双音多频按键话机相关的用户信号频率组合和技术指标</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4</w:t>
      </w:r>
      <w:r>
        <w:rPr>
          <w:color w:val="auto"/>
          <w:sz w:val="24"/>
          <w:szCs w:val="24"/>
          <w:lang w:bidi="ar"/>
        </w:rPr>
        <w:noBreakHyphen/>
      </w:r>
      <w:r>
        <w:rPr>
          <w:color w:val="auto"/>
          <w:sz w:val="24"/>
          <w:szCs w:val="24"/>
          <w:lang w:bidi="ar"/>
        </w:rPr>
        <w:t>2双音多频按键话机用户信号频率组合</w:t>
      </w:r>
    </w:p>
    <w:tbl>
      <w:tblPr>
        <w:tblStyle w:val="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3"/>
        <w:gridCol w:w="1682"/>
        <w:gridCol w:w="1680"/>
        <w:gridCol w:w="1680"/>
        <w:gridCol w:w="1682"/>
        <w:gridCol w:w="1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pct"/>
            <w:gridSpan w:val="2"/>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spacing w:line="360" w:lineRule="auto"/>
              <w:ind w:firstLine="1320" w:firstLineChars="550"/>
              <w:jc w:val="center"/>
              <w:rPr>
                <w:rFonts w:ascii="Times New Roman" w:hAnsi="Times New Roman"/>
                <w:color w:val="auto"/>
                <w:sz w:val="24"/>
                <w:szCs w:val="24"/>
              </w:rPr>
            </w:pPr>
            <w:r>
              <w:rPr>
                <w:rFonts w:ascii="Times New Roman" w:hAnsi="Times New Roman"/>
                <w:color w:val="auto"/>
                <w:sz w:val="24"/>
                <w:szCs w:val="24"/>
                <w:lang w:bidi="ar"/>
              </w:rPr>
              <w:t>高频群 Hz</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低频群 Hz</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H1</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H2</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H3</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H4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1623" w:type="pct"/>
            <w:gridSpan w:val="2"/>
            <w:vMerge w:val="continue"/>
            <w:tcBorders>
              <w:top w:val="single" w:color="auto" w:sz="4" w:space="0"/>
              <w:left w:val="single" w:color="auto" w:sz="4" w:space="0"/>
              <w:bottom w:val="single" w:color="auto" w:sz="4" w:space="0"/>
              <w:right w:val="single" w:color="auto" w:sz="4" w:space="0"/>
              <w:tl2br w:val="single" w:color="auto" w:sz="4" w:space="0"/>
            </w:tcBorders>
            <w:vAlign w:val="center"/>
          </w:tcPr>
          <w:p>
            <w:pPr>
              <w:spacing w:line="360" w:lineRule="auto"/>
              <w:rPr>
                <w:rFonts w:ascii="Times New Roman" w:hAnsi="Times New Roman"/>
                <w:color w:val="auto"/>
                <w:sz w:val="24"/>
                <w:szCs w:val="24"/>
              </w:rPr>
            </w:pP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1209</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1336</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1447</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1633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L1</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697</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L2</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770</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4</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5</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6</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7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L3</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852</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7</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8</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9</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7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L4</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941</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11(*)</w:t>
            </w:r>
          </w:p>
        </w:tc>
        <w:tc>
          <w:tcPr>
            <w:tcW w:w="84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0</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12(#)</w:t>
            </w:r>
          </w:p>
        </w:tc>
        <w:tc>
          <w:tcPr>
            <w:tcW w:w="84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16</w:t>
            </w:r>
          </w:p>
        </w:tc>
      </w:tr>
    </w:tbl>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4-3双音多频按键话机用户信号技术指标</w:t>
      </w:r>
    </w:p>
    <w:tbl>
      <w:tblPr>
        <w:tblStyle w:val="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4"/>
        <w:gridCol w:w="4028"/>
        <w:gridCol w:w="3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项目</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话机</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局用接收器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标称频率Hz</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低频群：697，770，852，941</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高频群：1209，1336，1477，1633</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同左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频偏</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不超过±1.8%</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±2.0%以内可靠接收</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±2.0%～±3.0%不保证接收</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±3.0%以上保证不接收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电平</w:t>
            </w:r>
          </w:p>
          <w:p>
            <w:pPr>
              <w:spacing w:line="360" w:lineRule="auto"/>
              <w:jc w:val="center"/>
              <w:rPr>
                <w:rFonts w:ascii="Times New Roman" w:hAnsi="Times New Roman"/>
                <w:color w:val="auto"/>
                <w:sz w:val="24"/>
                <w:szCs w:val="24"/>
              </w:rPr>
            </w:pP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在有3dB衰耗缓冲时</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低频群：-9+3dBm</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高频群：-7+3dBm</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组成信号的高、低频电平差不大于（2±1）dB</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双频工作时单频接收电平范围-4～-23dBm</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双频工作时单频不动作电平为-31dBm</w:t>
            </w:r>
          </w:p>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双频电平差≤6dB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由谐波互调引起的总失真</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比基电平至少低20dB</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信号极限时长</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&gt;40ms/位</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30～40ms/位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信号间隔时长</w:t>
            </w:r>
          </w:p>
        </w:tc>
        <w:tc>
          <w:tcPr>
            <w:tcW w:w="2022"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&gt;40ms</w:t>
            </w:r>
          </w:p>
        </w:tc>
        <w:tc>
          <w:tcPr>
            <w:tcW w:w="196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30～40ms</w:t>
            </w:r>
          </w:p>
        </w:tc>
      </w:tr>
    </w:tbl>
    <w:p>
      <w:pPr>
        <w:spacing w:line="360" w:lineRule="auto"/>
        <w:rPr>
          <w:rFonts w:ascii="Times New Roman" w:hAnsi="Times New Roman"/>
          <w:b/>
          <w:color w:val="auto"/>
          <w:sz w:val="24"/>
          <w:szCs w:val="24"/>
        </w:rPr>
      </w:pPr>
      <w:r>
        <w:rPr>
          <w:rFonts w:ascii="Times New Roman" w:hAnsi="Times New Roman"/>
          <w:b/>
          <w:color w:val="auto"/>
          <w:sz w:val="24"/>
          <w:szCs w:val="24"/>
          <w:lang w:bidi="ar"/>
        </w:rPr>
        <w:t>用户线条件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最大环路电阻(包括话机电阻）为1.2kΩ，馈电电流≥18mA；</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线间绝缘电阻≥20kΩ；</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线间电容≤0.5μF。</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铃流</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铃流源为 25±3Hz 正弦波；</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谐波失真 ≤10％；</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输出电压有效值为 75±15V；</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普通振铃采用5秒断续，即1秒送，4秒断。断续时间允许偏差不超过±10%</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信号音</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信号音源为 400±20Hz、450±25Hz、950±25Hz或1400±50Hz正弦波，信号音源的谐波失真≤10％。</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各种信号音的断续时间允许偏差不超过10％。</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 xml:space="preserve">（2）局间信令 </w:t>
      </w:r>
    </w:p>
    <w:p>
      <w:pPr>
        <w:spacing w:line="360" w:lineRule="auto"/>
        <w:rPr>
          <w:rFonts w:ascii="Times New Roman" w:hAnsi="Times New Roman"/>
          <w:color w:val="auto"/>
          <w:sz w:val="24"/>
          <w:szCs w:val="24"/>
        </w:rPr>
      </w:pPr>
      <w:r>
        <w:rPr>
          <w:rFonts w:ascii="Times New Roman" w:hAnsi="Times New Roman"/>
          <w:color w:val="auto"/>
          <w:sz w:val="24"/>
          <w:szCs w:val="24"/>
          <w:lang w:bidi="ar"/>
        </w:rPr>
        <w:t xml:space="preserve">    南方电网语音交换网络主要采用的局间信令有以下几种：</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中国No.7号信令</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使用公共信道传送的信令，主要用于行政交换网之间互联及与公网互联。技术标准符合GF001-9001《中国国内电话网No.7信令方式技术规范》要求。</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DSS1信令</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即1号数字用户信令，也称为D信道协议。采用带外方式传送号码等呼叫控制信息，是不对称的协议结构。DSS1是基于接入的协议，主要用于专网与公网点对点之间的接续及终端交换站的接入。技术标准符合国际电信联盟ITU-T 建议Q.921、Q.931的要求。</w:t>
      </w:r>
    </w:p>
    <w:p>
      <w:pPr>
        <w:spacing w:line="360" w:lineRule="auto"/>
        <w:rPr>
          <w:rFonts w:ascii="Times New Roman" w:hAnsi="Times New Roman"/>
          <w:b/>
          <w:color w:val="auto"/>
          <w:sz w:val="24"/>
          <w:szCs w:val="24"/>
        </w:rPr>
      </w:pPr>
      <w:r>
        <w:rPr>
          <w:rFonts w:ascii="Times New Roman" w:hAnsi="Times New Roman"/>
          <w:color w:val="auto"/>
          <w:sz w:val="24"/>
          <w:szCs w:val="24"/>
        </w:rPr>
        <w:t>▲</w:t>
      </w:r>
      <w:r>
        <w:rPr>
          <w:rFonts w:ascii="Times New Roman" w:hAnsi="Times New Roman"/>
          <w:b/>
          <w:color w:val="auto"/>
          <w:sz w:val="24"/>
          <w:szCs w:val="24"/>
          <w:lang w:bidi="ar"/>
        </w:rPr>
        <w:t>Q.SIG/PSS1信令</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即专用网1号信令系统，是一种共路信令系统，其基本接续功能等同于7号信令系统的ISUP部分，Q.SIG/PSS1是对称的协议结构，是基于网络的协议，用于专网全网络统一编号与功能优化设置。技术标准符合国际电信联盟ITU-T 建议Q.921、Q.931及ETSI 300-171、172、091、092、093的要求。</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四线E&amp;M中继线路信令</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四线E&amp;M线路信令是一种直流线路信令。有I－V类标准信令方式，目前主要采用I、V类，主要用于调度交换机之间互联。技术标准符合电力行业标准DL/T 888《电力调度交换机电力DTMF信令规范》3.1部分。</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环路中继线线路信令</w:t>
      </w:r>
    </w:p>
    <w:p>
      <w:pPr>
        <w:spacing w:line="360" w:lineRule="auto"/>
        <w:ind w:firstLine="360" w:firstLineChars="150"/>
        <w:rPr>
          <w:rFonts w:ascii="Times New Roman" w:hAnsi="Times New Roman"/>
          <w:color w:val="auto"/>
          <w:sz w:val="24"/>
          <w:szCs w:val="24"/>
        </w:rPr>
      </w:pPr>
      <w:r>
        <w:rPr>
          <w:rFonts w:ascii="Times New Roman" w:hAnsi="Times New Roman"/>
          <w:color w:val="auto"/>
          <w:sz w:val="24"/>
          <w:szCs w:val="24"/>
          <w:lang w:bidi="ar"/>
        </w:rPr>
        <w:t>利用直流环路的高阻或低阻状态来传输线路的空闲或占用状态信号，技术条件如下表所示：</w:t>
      </w:r>
    </w:p>
    <w:p>
      <w:pPr>
        <w:pStyle w:val="50"/>
        <w:keepNext/>
        <w:widowControl w:val="0"/>
        <w:topLinePunct w:val="0"/>
        <w:adjustRightInd/>
        <w:snapToGrid/>
        <w:spacing w:before="0" w:after="0" w:line="360" w:lineRule="auto"/>
        <w:ind w:left="0"/>
        <w:jc w:val="center"/>
        <w:rPr>
          <w:color w:val="auto"/>
          <w:sz w:val="24"/>
          <w:szCs w:val="24"/>
        </w:rPr>
      </w:pPr>
      <w:r>
        <w:rPr>
          <w:color w:val="auto"/>
          <w:sz w:val="24"/>
          <w:szCs w:val="24"/>
          <w:lang w:bidi="ar"/>
        </w:rPr>
        <w:t>表格 4</w:t>
      </w:r>
      <w:r>
        <w:rPr>
          <w:color w:val="auto"/>
          <w:sz w:val="24"/>
          <w:szCs w:val="24"/>
          <w:lang w:bidi="ar"/>
        </w:rPr>
        <w:noBreakHyphen/>
      </w:r>
      <w:r>
        <w:rPr>
          <w:color w:val="auto"/>
          <w:sz w:val="24"/>
          <w:szCs w:val="24"/>
          <w:lang w:bidi="ar"/>
        </w:rPr>
        <w:t>4环路中继线线路信号</w:t>
      </w:r>
    </w:p>
    <w:tbl>
      <w:tblPr>
        <w:tblStyle w:val="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2"/>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环路电阻</w:t>
            </w:r>
          </w:p>
        </w:tc>
        <w:tc>
          <w:tcPr>
            <w:tcW w:w="366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可达到1800Ω，特殊情况可达3000Ω，启动电流不小于18mA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用户线绝缘电阻</w:t>
            </w:r>
          </w:p>
        </w:tc>
        <w:tc>
          <w:tcPr>
            <w:tcW w:w="366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kern w:val="0"/>
                <w:sz w:val="24"/>
                <w:szCs w:val="24"/>
                <w:lang w:bidi="ar"/>
              </w:rPr>
              <w:t>20000Ω及以上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用户线线间电容</w:t>
            </w:r>
          </w:p>
        </w:tc>
        <w:tc>
          <w:tcPr>
            <w:tcW w:w="3668"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kern w:val="0"/>
                <w:sz w:val="24"/>
                <w:szCs w:val="24"/>
                <w:lang w:bidi="ar"/>
              </w:rPr>
              <w:t>0.5μF 及以下</w:t>
            </w:r>
          </w:p>
        </w:tc>
      </w:tr>
    </w:tbl>
    <w:p>
      <w:pPr>
        <w:spacing w:line="360" w:lineRule="auto"/>
        <w:rPr>
          <w:rFonts w:ascii="Times New Roman" w:hAnsi="Times New Roman"/>
          <w:color w:val="auto"/>
          <w:sz w:val="24"/>
          <w:szCs w:val="24"/>
        </w:rPr>
      </w:pP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同步技术要求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南方电网时间同步网由各级调度机构、变电站、发电厂的时间同步系统组成，网内时间同步系统可通过通信网络接收上一级时间同步系统发出的有线时间基准信号，也能对下一级时间同步系统提供有线时间基准信号。</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语音交换机应满足南方电网时间同步网接入要求，采用主从同步和准同步并存的同步方式，具有接收、转发不同方向时钟的能力，时钟丢失后应具有自保持功能。</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（1）时钟方式</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外接时钟方式</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交换中心交换机应具备外部时钟输入接口，终端交换站交换机宜具备外部时钟输入接口。外部时钟接口方式可采用以下两种方式：</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1)2048kbit/s接口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接口物理/电气参数特性应符合国家标准GB7611《数字网系列比特率电接口特性》的要求，帧结构应符合ITU-T建议G.704的要求。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2)2048kHz接口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根据工程需要，也可选择2048kHz接口，其接口物理/电气参数特性应符合国家标准GB 7611《数字网系列比特率电接口特性》的要求。</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线路定时方式</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交换机应具有从2M 中继线路信号中提取时钟并用于同步的功能。</w:t>
      </w:r>
    </w:p>
    <w:p>
      <w:pPr>
        <w:spacing w:line="360" w:lineRule="auto"/>
        <w:rPr>
          <w:rFonts w:ascii="Times New Roman" w:hAnsi="Times New Roman"/>
          <w:b/>
          <w:color w:val="auto"/>
          <w:sz w:val="24"/>
          <w:szCs w:val="24"/>
        </w:rPr>
      </w:pPr>
      <w:r>
        <w:rPr>
          <w:rFonts w:ascii="Times New Roman" w:hAnsi="Times New Roman"/>
          <w:b/>
          <w:color w:val="auto"/>
          <w:sz w:val="24"/>
          <w:szCs w:val="24"/>
          <w:lang w:bidi="ar"/>
        </w:rPr>
        <w:t>内部时钟要求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交换机内部时钟应具备G.813及以上时钟精度。</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（2）时钟设置原则</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时钟设置可按照测试结果来确定同步优先顺序。在无法进行测试时，选择顺序为：外接时钟、公网中继电路线路提取的时钟、传输节点数较少的上级交换中心中继电路提取的时钟、内部时钟。</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语音业务技术要求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1)可将分机用户设置为不同的优先和限制级别</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2)强插与强拆</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3)主叫号码显示</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4)代答功能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5)立即热线或延时热线</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7)呼叫转移</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8)三方通话</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9)呼叫等待</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10)缩位拔号</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11)会议电话</w:t>
      </w:r>
    </w:p>
    <w:p>
      <w:pPr>
        <w:spacing w:line="360" w:lineRule="auto"/>
        <w:ind w:left="420" w:leftChars="200"/>
        <w:rPr>
          <w:rFonts w:ascii="Times New Roman" w:hAnsi="Times New Roman"/>
          <w:color w:val="auto"/>
          <w:sz w:val="24"/>
          <w:szCs w:val="24"/>
        </w:rPr>
      </w:pPr>
      <w:r>
        <w:rPr>
          <w:rFonts w:ascii="Times New Roman" w:hAnsi="Times New Roman"/>
          <w:color w:val="auto"/>
          <w:sz w:val="24"/>
          <w:szCs w:val="24"/>
          <w:lang w:bidi="ar"/>
        </w:rPr>
        <w:t>12)广播会议</w:t>
      </w:r>
    </w:p>
    <w:p>
      <w:pPr>
        <w:spacing w:line="360" w:lineRule="auto"/>
        <w:ind w:left="420" w:leftChars="200"/>
        <w:rPr>
          <w:rFonts w:ascii="Times New Roman" w:hAnsi="Times New Roman"/>
          <w:color w:val="auto"/>
          <w:sz w:val="24"/>
          <w:szCs w:val="24"/>
        </w:rPr>
      </w:pPr>
      <w:r>
        <w:rPr>
          <w:rFonts w:ascii="Times New Roman" w:hAnsi="Times New Roman"/>
          <w:color w:val="auto"/>
          <w:sz w:val="24"/>
          <w:szCs w:val="24"/>
          <w:lang w:bidi="ar"/>
        </w:rPr>
        <w:t>13)多方会议</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14)区别振铃</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设备基本技术要求</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（1）调度交换主机基本技术要求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1)调度交换主机应具有综合业务数字网功能，具有话音和非话音处理能力，集成化程度高、处理速度快、加载时间短；</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2)端口结构通用性强，可以实现话音、数据或者话音/数据共用端口，灵活配置用户板、中继板或信号板等外围设备板，不受系统结构限制；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3)软件、硬件系统采用积木式全模块化结构，系统扩容不影响其它部分；</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4)电路板具有带电拔插和抗过压过流能力；</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5)具有自诊断故障定位与测试功能，能对用户电路进行内线测试与外线测试；</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6)</w:t>
      </w:r>
      <w:r>
        <w:rPr>
          <w:rFonts w:ascii="Times New Roman" w:hAnsi="Times New Roman"/>
          <w:color w:val="auto"/>
          <w:sz w:val="24"/>
          <w:szCs w:val="24"/>
        </w:rPr>
        <w:t xml:space="preserve"> ▲</w:t>
      </w:r>
      <w:r>
        <w:rPr>
          <w:rFonts w:ascii="Times New Roman" w:hAnsi="Times New Roman"/>
          <w:color w:val="auto"/>
          <w:sz w:val="24"/>
          <w:szCs w:val="24"/>
          <w:lang w:bidi="ar"/>
        </w:rPr>
        <w:t>控制方式可以采用分布式控制方式或者集中控制方式，控制系统冗余工作，两套公共设备处于同步运行状态，主用公共设备的呼叫处理数据实时地刷新备用公共设备的数据。当主用公共设备发生故障或被人工（或定期）切换时，系统将自动地切换到备用公共设备，并且所有已建立通话的呼叫数据不发生丢失；</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7)调度交换主机一次电源、二次电源和铃流采用冗余工作方式，一次电源支持两路－48VDC的外接输入电源，二次电源冗余配置，两路电源可以互相分担负载供电，也可用热备用方式。</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组网功能要求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1)具有汇接功能，调度台呼叫调度用户无链路阻塞，调度用户间呼叫无链路阻塞；</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2)调度交换机具有分级优先、中继线连选、中继线直接选择、路由预测、迂回路由功能。中继路由方向不小于200个，对一个目标局可选择的最大路由数为5个以上；</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3)调度交换机应具有号码接收、存储、译码能力，存储器号码长度不小于24位，具备对号码增加、删除、转译的能力；</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4)支持No.7、No.1（包括ITU-T R2信令系统）、DSS1信令、Q.SIG信令、E&amp;M信令，记发器信号采用DP、DTMF、MFC，并可提供专用的调度信令，组成调度专用网，可完成各种信令之间的转换；</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5)中继线自动连选功能：当一个中继组由多条中继线组成时，在某一中继线占用或故障时，能快速自动选择空闲中继线。若没有空闲中继线，则快速自动转移到迂回路由。中继组中相邻中继线自动连选的时间不大于1秒。</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调度功能要求</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（1）基本调度功能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1)调度交换机支持50个或者以上的调度台，多席调度台可分10个或以上组群设置，每个组群调度台数不少于4席，同时每席调度台可独立处理出入呼叫；</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每组调度台组群可同号并置，设置单独组号，呼叫组号仅此组调度台振铃，组间互不干扰。同群调度台共用保留队列，一调度台对来话进行保留后，同群其他调度台都可以进行恢复操作。每个调度台都有独立号码，用户可呼叫指定调度台；</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3)调度台或者调度用户应不发生呼叫链路阻塞，同组调度台共用保留队列，保留队列不少于8个；</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4)调度台与调度交换机之间的距离可达1500米，且可以通过延长装置，利用传输设备、接入设备或者其它方式远端延伸；</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5)</w:t>
      </w:r>
      <w:r>
        <w:rPr>
          <w:rFonts w:hint="eastAsia"/>
          <w:color w:val="auto"/>
        </w:rPr>
        <w:t xml:space="preserve"> 调度台可采用屏幕或按键方式，屏幕调度台可以采用触摸屏、键盘、鼠标进行呼叫操作；用户键号码可通过维护终端设置或调度台设置，调度台可通过用户键或号码键进行呼出，实现点呼、组呼等多种呼叫功能。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6)</w:t>
      </w:r>
      <w:r>
        <w:rPr>
          <w:rFonts w:hint="eastAsia"/>
          <w:color w:val="auto"/>
        </w:rPr>
        <w:t xml:space="preserve"> 调度台应设有功能键（优先、强拆、强插、会议、转移、保持、轮巡、点名等）、实现拨号的号码键以及用户键；具有最高优先权的调度台，能主动建立或拆除某些用户间的通话，能对任一用户呼叫、插话或拆除；按键可以通过维护终端方便灵活设置号码、名称，名称显示为汉字。应使用不同灯光（或者颜色）显示呼叫、忙、通话、保持、缺席、故障等情况下的不同状态，可以查询或者显示调度台的工作状态信息。</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7)</w:t>
      </w:r>
      <w:r>
        <w:rPr>
          <w:rFonts w:hint="eastAsia"/>
          <w:color w:val="auto"/>
        </w:rPr>
        <w:t xml:space="preserve"> 调度台可显示主被叫用户号码，支持同组分机全部以组号作为主叫号码显示；具有黑名单功能，将某号码添加至黑名单，号码来话时无提示，在历史记录中有未接来电。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8)</w:t>
      </w:r>
      <w:r>
        <w:rPr>
          <w:rFonts w:hint="eastAsia"/>
          <w:color w:val="auto"/>
        </w:rPr>
        <w:t xml:space="preserve"> 同一调度对象允许有不同方式的路由存在，即一键多号，按键可以至少设置四个号码，用户可以选择呼出方式，也可以设置为第一个号码不成功时，自动顺序呼叫后面的号码，呼叫等待时间可以设置，在呼叫时长未结束时，用户可以提前结束呼叫，转呼下一号码；可对每个用户进行等级设置，如调度等级、呼出等级等。</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9)</w:t>
      </w:r>
      <w:r>
        <w:rPr>
          <w:rFonts w:hint="eastAsia"/>
          <w:color w:val="auto"/>
        </w:rPr>
        <w:t xml:space="preserve"> 调度台有以下应答方式：按键应答、自动应答、摘机应答、选择应答、群答；调度台支持转接来话，使当前与调度台通话的内线或外线用户与其他内线或外线用户建立通话；调度台具备呼叫保持及通话保持功能，至少可保留四方来话，可选择接话顺序，其它用户保持听等待音；调度台宜本地录音及录音回放功能，录音数据能够至少保存</w:t>
      </w:r>
      <w:r>
        <w:rPr>
          <w:color w:val="auto"/>
        </w:rPr>
        <w:t>3</w:t>
      </w:r>
      <w:r>
        <w:rPr>
          <w:rFonts w:hint="eastAsia"/>
          <w:color w:val="auto"/>
        </w:rPr>
        <w:t>个月。</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10)</w:t>
      </w:r>
      <w:r>
        <w:rPr>
          <w:rFonts w:hint="eastAsia"/>
          <w:color w:val="auto"/>
        </w:rPr>
        <w:t xml:space="preserve"> 调度台出现故障时可自动进入故障切换状态，将调度台的来话全部转入某一指定分机；调度台应设置紧急呼叫号码，当用户紧急呼叫时，可发出明显区别于其他呼叫的振铃声，调度台可优先应答紧急呼叫。</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11)</w:t>
      </w:r>
      <w:r>
        <w:rPr>
          <w:rFonts w:hint="eastAsia"/>
          <w:color w:val="auto"/>
        </w:rPr>
        <w:t xml:space="preserve"> 调度台具有免提功能、闭铃功能，应有外接麦克风插口，当外接麦克风时，内部麦克风不起作用。</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12)</w:t>
      </w:r>
      <w:r>
        <w:rPr>
          <w:rFonts w:hint="eastAsia"/>
          <w:color w:val="auto"/>
        </w:rPr>
        <w:t xml:space="preserve"> 调度台热键数量和标识支持自定义设定，包括支持标签页数、热键数、内容、字体等，原则上要求单页热键数不少于 60 个，标签页数不少于 40 页；支持热键模糊搜索功能。</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维护及告警功能要求</w:t>
      </w:r>
    </w:p>
    <w:p>
      <w:pPr>
        <w:shd w:val="clear" w:color="auto" w:fill="FFFFFF"/>
        <w:autoSpaceDE w:val="0"/>
        <w:autoSpaceDN w:val="0"/>
        <w:spacing w:line="360" w:lineRule="auto"/>
        <w:jc w:val="left"/>
        <w:rPr>
          <w:rFonts w:ascii="Times New Roman" w:hAnsi="Times New Roman"/>
          <w:color w:val="auto"/>
          <w:sz w:val="24"/>
          <w:szCs w:val="24"/>
          <w:lang w:bidi="ar"/>
        </w:rPr>
      </w:pPr>
      <w:r>
        <w:rPr>
          <w:rFonts w:hint="eastAsia" w:ascii="Times New Roman" w:hAnsi="Times New Roman"/>
          <w:color w:val="auto"/>
          <w:sz w:val="24"/>
          <w:szCs w:val="24"/>
          <w:lang w:bidi="ar"/>
        </w:rPr>
        <w:t>程控交换机可采用单点运维客户端或网管设备的模式进行数据维护和告警监视。</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bookmarkStart w:id="234" w:name="_Toc11851"/>
      <w:r>
        <w:rPr>
          <w:rFonts w:ascii="Times New Roman" w:hAnsi="Times New Roman"/>
          <w:color w:val="auto"/>
          <w:sz w:val="24"/>
          <w:szCs w:val="24"/>
          <w:lang w:bidi="ar"/>
        </w:rPr>
        <w:t xml:space="preserve">a) </w:t>
      </w:r>
      <w:r>
        <w:rPr>
          <w:rFonts w:hint="eastAsia" w:ascii="Times New Roman" w:hAnsi="Times New Roman"/>
          <w:color w:val="auto"/>
          <w:sz w:val="24"/>
          <w:szCs w:val="24"/>
          <w:lang w:bidi="ar"/>
        </w:rPr>
        <w:t>单点运维客户端</w:t>
      </w:r>
      <w:bookmarkEnd w:id="234"/>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1) </w:t>
      </w:r>
      <w:r>
        <w:rPr>
          <w:rFonts w:hint="eastAsia" w:ascii="Times New Roman" w:hAnsi="Times New Roman"/>
          <w:color w:val="auto"/>
          <w:sz w:val="24"/>
          <w:szCs w:val="24"/>
          <w:lang w:bidi="ar"/>
        </w:rPr>
        <w:t>通过单点运维客户端对程控交换机、调度台进行维护时，并可实时监视用户、中继线、调度台运行状态；支持调度台、专用终端的数据维护和热键配置等功能，可通过表格文件将热键任意批量导入导出。</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2) </w:t>
      </w:r>
      <w:r>
        <w:rPr>
          <w:rFonts w:hint="eastAsia" w:ascii="Times New Roman" w:hAnsi="Times New Roman"/>
          <w:color w:val="auto"/>
          <w:sz w:val="24"/>
          <w:szCs w:val="24"/>
          <w:lang w:bidi="ar"/>
        </w:rPr>
        <w:t>客户端应具备远方维护管理功能。即可以使用拨号方式或网络方式对远端调度机进行远程管理，可以远端查询交换机的实际工作情况，并可对数据进行查询和修改，以便实现远方管理、控制、监测等功能。</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3) </w:t>
      </w:r>
      <w:r>
        <w:rPr>
          <w:rFonts w:hint="eastAsia" w:ascii="Times New Roman" w:hAnsi="Times New Roman"/>
          <w:color w:val="auto"/>
          <w:sz w:val="24"/>
          <w:szCs w:val="24"/>
          <w:lang w:bidi="ar"/>
        </w:rPr>
        <w:t>程控交换机具有主要、次要告警输出，并具备告警外部输出节点，可通过客户端进行访问显示。</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bookmarkStart w:id="235" w:name="_Toc18520"/>
      <w:r>
        <w:rPr>
          <w:rFonts w:ascii="Times New Roman" w:hAnsi="Times New Roman"/>
          <w:color w:val="auto"/>
          <w:sz w:val="24"/>
          <w:szCs w:val="24"/>
          <w:lang w:bidi="ar"/>
        </w:rPr>
        <w:t xml:space="preserve">b) </w:t>
      </w:r>
      <w:r>
        <w:rPr>
          <w:rFonts w:hint="eastAsia" w:ascii="Times New Roman" w:hAnsi="Times New Roman"/>
          <w:color w:val="auto"/>
          <w:sz w:val="24"/>
          <w:szCs w:val="24"/>
          <w:lang w:bidi="ar"/>
        </w:rPr>
        <w:t>网管设备</w:t>
      </w:r>
      <w:bookmarkEnd w:id="235"/>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1) </w:t>
      </w:r>
      <w:r>
        <w:rPr>
          <w:rFonts w:hint="eastAsia" w:ascii="Times New Roman" w:hAnsi="Times New Roman"/>
          <w:color w:val="auto"/>
          <w:sz w:val="24"/>
          <w:szCs w:val="24"/>
          <w:lang w:bidi="ar"/>
        </w:rPr>
        <w:t>支持区域管理，通过网络拓扑图显示，呈现被管理的网元之间关联和层级关系，并支持对设备位置和连接关系进行编辑，同时能够实时显示设备信息和运行状态。</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2) </w:t>
      </w:r>
      <w:r>
        <w:rPr>
          <w:rFonts w:hint="eastAsia" w:ascii="Times New Roman" w:hAnsi="Times New Roman"/>
          <w:color w:val="auto"/>
          <w:sz w:val="24"/>
          <w:szCs w:val="24"/>
          <w:lang w:bidi="ar"/>
        </w:rPr>
        <w:t>支持实时告警显示、历史告警查询、告警统计、告警处理建议，当有严重告警或特殊告警时，可通过客户端声音提示及时通知维护人员。</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3) </w:t>
      </w:r>
      <w:r>
        <w:rPr>
          <w:rFonts w:hint="eastAsia" w:ascii="Times New Roman" w:hAnsi="Times New Roman"/>
          <w:color w:val="auto"/>
          <w:sz w:val="24"/>
          <w:szCs w:val="24"/>
          <w:lang w:bidi="ar"/>
        </w:rPr>
        <w:t>支持程控交换机、各类应用功能板件的数据配置；支持调度台、专用终端的数据维护和热键配置等功能，可通过表格文件将热键任意批量导入导出。</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4) </w:t>
      </w:r>
      <w:r>
        <w:rPr>
          <w:rFonts w:hint="eastAsia" w:ascii="Times New Roman" w:hAnsi="Times New Roman"/>
          <w:color w:val="auto"/>
          <w:sz w:val="24"/>
          <w:szCs w:val="24"/>
          <w:lang w:bidi="ar"/>
        </w:rPr>
        <w:t>支持账号管理，包括用户账号密码、个人信息、管理用户权限等；支持进行分组管理和在线用户显示。</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r>
        <w:rPr>
          <w:rFonts w:ascii="Times New Roman" w:hAnsi="Times New Roman"/>
          <w:color w:val="auto"/>
          <w:sz w:val="24"/>
          <w:szCs w:val="24"/>
          <w:lang w:bidi="ar"/>
        </w:rPr>
        <w:t xml:space="preserve">5) </w:t>
      </w:r>
      <w:r>
        <w:rPr>
          <w:rFonts w:hint="eastAsia" w:ascii="Times New Roman" w:hAnsi="Times New Roman"/>
          <w:color w:val="auto"/>
          <w:sz w:val="24"/>
          <w:szCs w:val="24"/>
          <w:lang w:bidi="ar"/>
        </w:rPr>
        <w:t>支持网管设备日志查询和等级设置；相关管理功能宜支持与通信运行管控系统进行功能开发，支持号码资源信息、告警信息、工单申请方式等功能联动。</w:t>
      </w:r>
    </w:p>
    <w:p>
      <w:pPr>
        <w:shd w:val="clear" w:color="auto" w:fill="FFFFFF"/>
        <w:autoSpaceDE w:val="0"/>
        <w:autoSpaceDN w:val="0"/>
        <w:spacing w:line="360" w:lineRule="auto"/>
        <w:ind w:firstLine="480" w:firstLineChars="200"/>
        <w:jc w:val="left"/>
        <w:rPr>
          <w:rFonts w:ascii="Times New Roman" w:hAnsi="Times New Roman"/>
          <w:color w:val="auto"/>
          <w:sz w:val="24"/>
          <w:szCs w:val="24"/>
          <w:lang w:bidi="ar"/>
        </w:rPr>
      </w:pP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模拟用户板技术要求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模拟用户板可与任意脉冲式（DP方式）或双音多频式（DTMF方式）的模拟话机相连，此时在电路线上传输的均为模拟信号，支持不少于32单元。</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2M数字中继板技术要求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数字中继板为调度交换机与数字中继线之间的接口板，支持1单元，支持Q-SIG/ETSI/PRI信令，含DTU接口小板。</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调度台接口板技术要求</w:t>
      </w:r>
    </w:p>
    <w:p>
      <w:pPr>
        <w:spacing w:line="360" w:lineRule="auto"/>
        <w:ind w:left="420"/>
        <w:rPr>
          <w:rFonts w:ascii="Times New Roman" w:hAnsi="Times New Roman"/>
          <w:color w:val="auto"/>
          <w:sz w:val="24"/>
          <w:szCs w:val="24"/>
        </w:rPr>
      </w:pPr>
      <w:r>
        <w:rPr>
          <w:rFonts w:ascii="Times New Roman" w:hAnsi="Times New Roman"/>
          <w:color w:val="auto"/>
          <w:kern w:val="0"/>
          <w:sz w:val="24"/>
          <w:szCs w:val="24"/>
        </w:rPr>
        <w:t>支持2B+D、U接口二种类型，提供8路接口，用于连接调度台。</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网络接口板技术要求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支持对调度交换系统运维管理，不少于4单元。</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IP调度板技术要求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单板支持不少于8个调度台接入，支持调度组功能；支持16方语音会议；支持IPDU板下挂的调度台对模拟分机的强插、强拆；支持多机同组功能。</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录音接口板技术要求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支持对调度台集中录音，不少于8单元。</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录音系统功能要求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1）录音系统原则上与调度交换机同步配置；</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2）支持IP录音，调度台无论工作在电路模式下还是工作在软交换模式下，录音系统都可以对调度台进行实时的录音；</w:t>
      </w:r>
    </w:p>
    <w:p>
      <w:pPr>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3</w:t>
      </w:r>
      <w:r>
        <w:rPr>
          <w:rFonts w:ascii="Times New Roman" w:hAnsi="Times New Roman"/>
          <w:color w:val="auto"/>
          <w:sz w:val="24"/>
          <w:szCs w:val="24"/>
          <w:lang w:bidi="ar"/>
        </w:rPr>
        <w:t>)录音系统功能要求如下：</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hint="eastAsia" w:ascii="Times New Roman" w:hAnsi="Times New Roman"/>
          <w:color w:val="auto"/>
          <w:sz w:val="24"/>
          <w:szCs w:val="24"/>
          <w:lang w:bidi="ar"/>
        </w:rPr>
        <w:t>采用220或-48V电源</w:t>
      </w:r>
      <w:r>
        <w:rPr>
          <w:rFonts w:hint="eastAsia" w:ascii="Times New Roman" w:hAnsi="Times New Roman"/>
          <w:color w:val="auto"/>
          <w:sz w:val="24"/>
          <w:szCs w:val="24"/>
          <w:lang w:eastAsia="zh-CN" w:bidi="ar"/>
        </w:rPr>
        <w:t>；</w:t>
      </w:r>
      <w:r>
        <w:rPr>
          <w:rFonts w:hint="eastAsia" w:ascii="Times New Roman" w:hAnsi="Times New Roman"/>
          <w:color w:val="auto"/>
          <w:sz w:val="24"/>
          <w:szCs w:val="24"/>
          <w:lang w:bidi="ar"/>
        </w:rPr>
        <w:t>至少支持16个 IP电话录音和16通道调度电话录音</w:t>
      </w:r>
      <w:r>
        <w:rPr>
          <w:rFonts w:ascii="Times New Roman" w:hAnsi="Times New Roman"/>
          <w:color w:val="auto"/>
          <w:sz w:val="24"/>
          <w:szCs w:val="24"/>
          <w:lang w:bidi="ar"/>
        </w:rPr>
        <w:t>；</w:t>
      </w:r>
    </w:p>
    <w:p>
      <w:pPr>
        <w:numPr>
          <w:ilvl w:val="0"/>
          <w:numId w:val="31"/>
        </w:numPr>
        <w:tabs>
          <w:tab w:val="left" w:pos="142"/>
        </w:tabs>
        <w:spacing w:line="360" w:lineRule="auto"/>
        <w:ind w:left="424" w:leftChars="202" w:firstLine="484" w:firstLineChars="202"/>
        <w:rPr>
          <w:rFonts w:ascii="Times New Roman" w:hAnsi="Times New Roman"/>
          <w:color w:val="auto"/>
          <w:kern w:val="0"/>
          <w:sz w:val="24"/>
          <w:szCs w:val="24"/>
        </w:rPr>
      </w:pPr>
      <w:r>
        <w:rPr>
          <w:rFonts w:ascii="Times New Roman" w:hAnsi="Times New Roman"/>
          <w:color w:val="auto"/>
          <w:kern w:val="0"/>
          <w:sz w:val="24"/>
          <w:szCs w:val="24"/>
          <w:lang w:bidi="ar"/>
        </w:rPr>
        <w:t>录音系统应具备与标准时间自动同步的功能；</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至少保证能够存储不小于12个月的录音数据，录音系统采用双硬盘，支持双硬盘同步录音或自动备份功能</w:t>
      </w:r>
      <w:r>
        <w:rPr>
          <w:rFonts w:hint="eastAsia" w:ascii="Times New Roman" w:hAnsi="Times New Roman"/>
          <w:color w:val="auto"/>
          <w:sz w:val="24"/>
          <w:szCs w:val="24"/>
          <w:lang w:eastAsia="zh-CN" w:bidi="ar"/>
        </w:rPr>
        <w:t>，</w:t>
      </w:r>
      <w:r>
        <w:rPr>
          <w:rFonts w:hint="eastAsia" w:ascii="Times New Roman" w:hAnsi="Times New Roman"/>
          <w:color w:val="auto"/>
          <w:sz w:val="24"/>
          <w:szCs w:val="24"/>
          <w:lang w:val="en-US" w:eastAsia="zh-CN" w:bidi="ar"/>
        </w:rPr>
        <w:t>含显示器</w:t>
      </w:r>
      <w:r>
        <w:rPr>
          <w:rFonts w:ascii="Times New Roman" w:hAnsi="Times New Roman"/>
          <w:color w:val="auto"/>
          <w:sz w:val="24"/>
          <w:szCs w:val="24"/>
          <w:lang w:bidi="ar"/>
        </w:rPr>
        <w:t>；</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录音系统应提供模拟和数字接口，应具有自动录音方式。对于模拟接口，录音的启动或结束应同时提供声控与压控两种控制方式，并具备增益调节功能；</w:t>
      </w:r>
      <w:r>
        <w:rPr>
          <w:rFonts w:hint="eastAsia" w:ascii="Times New Roman" w:hAnsi="Times New Roman"/>
          <w:color w:val="auto"/>
          <w:sz w:val="24"/>
          <w:szCs w:val="24"/>
          <w:lang w:bidi="ar"/>
        </w:rPr>
        <w:t>对于网络接口，录音宜采用系统专用接口取数或网络端口镜像抓包两种方式。</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录音系统要求实现主、备叫号码显示，录音记录可备份到U盘或其它存储设备；</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系统管理人员可对任一在通话的通道进行实时监听；</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录音系统具备分类（主叫、被叫、时间、座席、呼叫时长等）查询统计功能；</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rPr>
      </w:pPr>
      <w:r>
        <w:rPr>
          <w:rFonts w:ascii="Times New Roman" w:hAnsi="Times New Roman"/>
          <w:color w:val="auto"/>
          <w:sz w:val="24"/>
          <w:szCs w:val="24"/>
          <w:lang w:bidi="ar"/>
        </w:rPr>
        <w:t>要求具备以太网接口，可实现网络查听及统计等功能，支持号码，时间及中继局向等多种查询方式；</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lang w:bidi="ar"/>
        </w:rPr>
      </w:pPr>
      <w:r>
        <w:rPr>
          <w:rFonts w:ascii="Times New Roman" w:hAnsi="Times New Roman"/>
          <w:color w:val="auto"/>
          <w:sz w:val="24"/>
          <w:szCs w:val="24"/>
          <w:lang w:bidi="ar"/>
        </w:rPr>
        <w:t>提供故障告警功能，系统需要满足等保测评及信息安全接入要求；</w:t>
      </w:r>
    </w:p>
    <w:p>
      <w:pPr>
        <w:numPr>
          <w:ilvl w:val="0"/>
          <w:numId w:val="31"/>
        </w:numPr>
        <w:tabs>
          <w:tab w:val="left" w:pos="142"/>
        </w:tabs>
        <w:spacing w:line="360" w:lineRule="auto"/>
        <w:ind w:left="424" w:leftChars="202" w:firstLine="484" w:firstLineChars="202"/>
        <w:rPr>
          <w:rFonts w:ascii="Times New Roman" w:hAnsi="Times New Roman"/>
          <w:color w:val="auto"/>
          <w:sz w:val="24"/>
          <w:szCs w:val="24"/>
          <w:lang w:bidi="ar"/>
        </w:rPr>
      </w:pPr>
      <w:r>
        <w:rPr>
          <w:rFonts w:hint="eastAsia" w:ascii="Times New Roman" w:hAnsi="Times New Roman"/>
          <w:color w:val="auto"/>
          <w:sz w:val="24"/>
          <w:szCs w:val="24"/>
          <w:lang w:bidi="ar"/>
        </w:rPr>
        <w:t>录音系统重要部件应冗余配置。</w:t>
      </w:r>
    </w:p>
    <w:p>
      <w:pPr>
        <w:pStyle w:val="118"/>
        <w:widowControl/>
        <w:numPr>
          <w:ilvl w:val="2"/>
          <w:numId w:val="25"/>
        </w:numPr>
        <w:spacing w:before="0" w:after="0"/>
        <w:ind w:left="987"/>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双模触屏式调度台技术要求</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调度台选用触摸式调度台，含22英寸工业级表面声波触摸显示组件，单屏热键数量可调整；</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支持IP及ISDN U双模接口，可同时注册到传统电路交换机和SIP服务器，双模接口冗余热备，任一传输通道、接口故障均可自动切换至正常通道和接口，保证调度通信业务的正常开展。</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组群可同号并置，设置单独组号，呼叫组号仅此组调度台振铃，组间互不干扰。同群调度台共用保留队列，其中一个调度台对来话进行保留后，同群其他调度台都可以进行恢复操作。每个调度台都有独立号码，用户可呼叫指定调度台。</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调度台或者调度用户应不发生呼叫链路阻塞，同组调度台共用保留队列，保留队列不少于8个。</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调度台应设有功能键（优先、强拆、强插、会议、转移、保持、轮巡、点名等）、实现拨号的号码键以及用户键。</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调度台按键可以通过维护终端方便灵活设置号码、名称，名称显示为汉字。应使用不同灯光（或者颜色）显示呼叫、忙、通话、保持、缺席、故障等情况下的不同状态，可以查询或者显示调度台的工作状态信息。</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调度台具备本地收藏夹功能，调度员可以将常用的热键放在该标签页，支持添加及删除，同时支持在通话记录里将号码添加至该标签页。</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调度台采用 LCD 触控显示器，采用防眩光表面并支持10点触控，活性矩阵 TFT LCD，LED背光</w:t>
      </w:r>
    </w:p>
    <w:p>
      <w:pPr>
        <w:numPr>
          <w:ilvl w:val="0"/>
          <w:numId w:val="32"/>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支持本地录音及录音回放</w:t>
      </w:r>
      <w:r>
        <w:rPr>
          <w:rFonts w:hint="eastAsia" w:ascii="Times New Roman" w:hAnsi="Times New Roman"/>
          <w:color w:val="auto"/>
          <w:sz w:val="24"/>
          <w:szCs w:val="24"/>
          <w:lang w:eastAsia="zh-CN" w:bidi="ar"/>
        </w:rPr>
        <w:t>，具有抗病毒专用系统</w:t>
      </w:r>
      <w:r>
        <w:rPr>
          <w:rFonts w:ascii="Times New Roman" w:hAnsi="Times New Roman"/>
          <w:color w:val="auto"/>
          <w:sz w:val="24"/>
          <w:szCs w:val="24"/>
          <w:lang w:bidi="ar"/>
        </w:rPr>
        <w:t>。</w:t>
      </w:r>
    </w:p>
    <w:p>
      <w:pPr>
        <w:pStyle w:val="118"/>
        <w:widowControl/>
        <w:numPr>
          <w:ilvl w:val="2"/>
          <w:numId w:val="25"/>
        </w:numPr>
        <w:spacing w:before="0" w:after="0"/>
        <w:ind w:left="987"/>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双模按键式调度台技术要求</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具备2B+D U接口和RJ45网口，可同时注册到传统电路交换机和SIP服务器，双模接口冗余热备，任一传输通道、接口故障均可自动切换至正常通道和接口，保证调度通信业务的正常开展。</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采用符合安全要求的操作系统。</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支持本地录音及录音回放</w:t>
      </w:r>
      <w:r>
        <w:rPr>
          <w:rFonts w:hint="eastAsia" w:ascii="Times New Roman" w:hAnsi="Times New Roman"/>
          <w:color w:val="auto"/>
          <w:sz w:val="24"/>
          <w:szCs w:val="24"/>
          <w:lang w:eastAsia="zh-CN" w:bidi="ar"/>
        </w:rPr>
        <w:t>，具有抗病毒专用系统</w:t>
      </w:r>
      <w:r>
        <w:rPr>
          <w:rFonts w:ascii="Times New Roman" w:hAnsi="Times New Roman"/>
          <w:color w:val="auto"/>
          <w:sz w:val="24"/>
          <w:szCs w:val="24"/>
          <w:lang w:bidi="ar"/>
        </w:rPr>
        <w:t>。</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按键满足2000万次寿命长期使用。</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采用拼接式模块化设计，最大可扩展4个用户模块，每个模块支持64用户热键。</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支持断电逃生，左手柄在调度台断电后仍然可以作为应急话机进行正常通信，提升调度指挥系统的应急处理能力。</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英寸液晶彩色显示屏，LED背光板设计，可根据现场需要调节亮度。</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航空插头，让电源接入更牢靠。</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具备断电后左手柄依然能够进行语音通话。</w:t>
      </w:r>
    </w:p>
    <w:p>
      <w:pPr>
        <w:numPr>
          <w:ilvl w:val="0"/>
          <w:numId w:val="33"/>
        </w:numPr>
        <w:spacing w:line="360" w:lineRule="auto"/>
        <w:ind w:left="0" w:firstLine="480" w:firstLineChars="200"/>
        <w:rPr>
          <w:rFonts w:ascii="Times New Roman" w:hAnsi="Times New Roman"/>
          <w:color w:val="auto"/>
          <w:sz w:val="24"/>
          <w:szCs w:val="24"/>
          <w:lang w:bidi="ar"/>
        </w:rPr>
      </w:pPr>
      <w:r>
        <w:rPr>
          <w:rFonts w:ascii="Times New Roman" w:hAnsi="Times New Roman"/>
          <w:color w:val="auto"/>
          <w:sz w:val="24"/>
          <w:szCs w:val="24"/>
          <w:lang w:bidi="ar"/>
        </w:rPr>
        <w:t>支持AC220V和DC48V两种电源输入方式。</w:t>
      </w:r>
    </w:p>
    <w:p>
      <w:pPr>
        <w:pStyle w:val="118"/>
        <w:numPr>
          <w:ilvl w:val="2"/>
          <w:numId w:val="25"/>
        </w:numPr>
        <w:spacing w:before="0" w:after="0"/>
        <w:outlineLvl w:val="2"/>
        <w:rPr>
          <w:rFonts w:ascii="Times New Roman" w:hAnsi="Times New Roman"/>
          <w:bCs w:val="0"/>
          <w:color w:val="auto"/>
          <w:sz w:val="24"/>
          <w:szCs w:val="24"/>
        </w:rPr>
      </w:pPr>
      <w:r>
        <w:rPr>
          <w:rFonts w:ascii="Times New Roman" w:hAnsi="Times New Roman"/>
          <w:bCs w:val="0"/>
          <w:color w:val="auto"/>
          <w:sz w:val="24"/>
          <w:szCs w:val="24"/>
          <w:lang w:bidi="ar"/>
        </w:rPr>
        <w:t>IP电话技术要求</w:t>
      </w:r>
    </w:p>
    <w:p>
      <w:pPr>
        <w:pStyle w:val="50"/>
        <w:widowControl w:val="0"/>
        <w:numPr>
          <w:ilvl w:val="2"/>
          <w:numId w:val="0"/>
        </w:numPr>
        <w:topLinePunct w:val="0"/>
        <w:adjustRightInd/>
        <w:snapToGrid/>
        <w:spacing w:before="0" w:after="0" w:line="360" w:lineRule="auto"/>
        <w:ind w:left="851"/>
        <w:jc w:val="both"/>
        <w:rPr>
          <w:bCs/>
          <w:color w:val="auto"/>
          <w:sz w:val="24"/>
          <w:szCs w:val="24"/>
        </w:rPr>
      </w:pPr>
      <w:r>
        <w:rPr>
          <w:bCs/>
          <w:color w:val="auto"/>
          <w:sz w:val="24"/>
          <w:szCs w:val="24"/>
          <w:lang w:bidi="ar"/>
        </w:rPr>
        <w:t>（1）IP话机技术要求</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sz w:val="24"/>
          <w:szCs w:val="24"/>
          <w:lang w:bidi="ar"/>
        </w:rPr>
        <w:t>支持不少于</w:t>
      </w:r>
      <w:r>
        <w:rPr>
          <w:rFonts w:ascii="Times New Roman" w:hAnsi="Times New Roman"/>
          <w:color w:val="auto"/>
          <w:kern w:val="0"/>
          <w:sz w:val="24"/>
          <w:szCs w:val="24"/>
          <w:lang w:bidi="ar"/>
        </w:rPr>
        <w:t>3个VoIP账号；</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sz w:val="24"/>
          <w:szCs w:val="24"/>
          <w:lang w:bidi="ar"/>
        </w:rPr>
        <w:t>支持断电重启并自动注册功能；</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支持呼叫保持、静音、免打扰、速拨、热线、呼叫转移、通话转接、呼叫等待等功能；</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支持重拨、回拨和自动应答；</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话机本身支持不少于3方会议；</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具备1个RJ9（4P4C）手柄接口；</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具备1个RJ9（4P4C）耳麦接口；</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具备2个RJ45 10/100M以太网口；</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sz w:val="24"/>
          <w:szCs w:val="24"/>
          <w:lang w:bidi="ar"/>
        </w:rPr>
        <w:t>支持</w:t>
      </w:r>
      <w:r>
        <w:rPr>
          <w:rFonts w:hint="eastAsia" w:ascii="Times New Roman" w:hAnsi="Times New Roman"/>
          <w:color w:val="auto"/>
          <w:sz w:val="24"/>
          <w:szCs w:val="24"/>
          <w:lang w:val="en-US" w:eastAsia="zh-CN" w:bidi="ar"/>
        </w:rPr>
        <w:t>SIP协议，支持</w:t>
      </w:r>
      <w:r>
        <w:rPr>
          <w:rFonts w:ascii="Times New Roman" w:hAnsi="Times New Roman"/>
          <w:color w:val="auto"/>
          <w:sz w:val="24"/>
          <w:szCs w:val="24"/>
          <w:lang w:bidi="ar"/>
        </w:rPr>
        <w:t>以太网供电（PoE）；</w:t>
      </w:r>
      <w:r>
        <w:rPr>
          <w:rFonts w:ascii="Times New Roman" w:hAnsi="Times New Roman"/>
          <w:color w:val="auto"/>
          <w:sz w:val="24"/>
          <w:szCs w:val="24"/>
          <w:lang w:bidi="ar"/>
        </w:rPr>
        <w:tab/>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w:t>
      </w:r>
      <w:r>
        <w:rPr>
          <w:rFonts w:hint="eastAsia" w:ascii="Times New Roman" w:hAnsi="Times New Roman"/>
          <w:color w:val="auto"/>
          <w:kern w:val="0"/>
          <w:sz w:val="24"/>
          <w:szCs w:val="24"/>
          <w:lang w:bidi="ar"/>
        </w:rPr>
        <w:t>带IP录音（含U盘本地）</w:t>
      </w:r>
      <w:r>
        <w:rPr>
          <w:rFonts w:ascii="Times New Roman" w:hAnsi="Times New Roman"/>
          <w:color w:val="auto"/>
          <w:kern w:val="0"/>
          <w:sz w:val="24"/>
          <w:szCs w:val="24"/>
          <w:lang w:bidi="ar"/>
        </w:rPr>
        <w:t>；</w:t>
      </w:r>
    </w:p>
    <w:p>
      <w:pPr>
        <w:numPr>
          <w:ilvl w:val="0"/>
          <w:numId w:val="34"/>
        </w:numPr>
        <w:autoSpaceDE w:val="0"/>
        <w:autoSpaceDN w:val="0"/>
        <w:adjustRightInd w:val="0"/>
        <w:spacing w:line="360" w:lineRule="auto"/>
        <w:ind w:left="420" w:firstLine="480" w:firstLineChars="200"/>
        <w:jc w:val="left"/>
        <w:rPr>
          <w:rFonts w:ascii="Times New Roman" w:hAnsi="Times New Roman"/>
          <w:color w:val="auto"/>
          <w:kern w:val="0"/>
          <w:sz w:val="24"/>
          <w:szCs w:val="24"/>
        </w:rPr>
      </w:pPr>
      <w:r>
        <w:rPr>
          <w:rFonts w:ascii="Times New Roman" w:hAnsi="Times New Roman"/>
          <w:color w:val="auto"/>
          <w:sz w:val="24"/>
          <w:szCs w:val="24"/>
          <w:lang w:bidi="ar"/>
        </w:rPr>
        <w:t>支持三种配置模式：网页、话机及自动配置。</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E1放号接入网关技术要求</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E1放号接入网关应用于站端，用于接入多类电话终端和号码注册。支持通过E1放号复用设</w:t>
      </w:r>
      <w:r>
        <w:rPr>
          <w:rFonts w:hint="eastAsia" w:ascii="Times New Roman" w:hAnsi="Times New Roman"/>
          <w:color w:val="auto"/>
          <w:sz w:val="24"/>
          <w:szCs w:val="24"/>
          <w:lang w:bidi="ar"/>
        </w:rPr>
        <w:t>，备对</w:t>
      </w:r>
      <w:r>
        <w:rPr>
          <w:rFonts w:ascii="Times New Roman" w:hAnsi="Times New Roman"/>
          <w:color w:val="auto"/>
          <w:sz w:val="24"/>
          <w:szCs w:val="24"/>
          <w:lang w:bidi="ar"/>
        </w:rPr>
        <w:t>E1放号接入网关的配置数据同步功能；</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支持上行</w:t>
      </w:r>
      <w:r>
        <w:rPr>
          <w:rFonts w:ascii="Times New Roman" w:hAnsi="Times New Roman"/>
          <w:color w:val="auto"/>
          <w:sz w:val="24"/>
          <w:szCs w:val="24"/>
          <w:lang w:bidi="ar"/>
        </w:rPr>
        <w:t>E1接口</w:t>
      </w:r>
      <w:r>
        <w:rPr>
          <w:rFonts w:hint="eastAsia" w:ascii="Times New Roman" w:hAnsi="Times New Roman"/>
          <w:color w:val="auto"/>
          <w:sz w:val="24"/>
          <w:szCs w:val="24"/>
          <w:lang w:eastAsia="zh-CN" w:bidi="ar"/>
        </w:rPr>
        <w:t>；</w:t>
      </w:r>
      <w:r>
        <w:rPr>
          <w:rFonts w:ascii="Times New Roman" w:hAnsi="Times New Roman"/>
          <w:color w:val="auto"/>
          <w:sz w:val="24"/>
          <w:szCs w:val="24"/>
          <w:lang w:bidi="ar"/>
        </w:rPr>
        <w:t>下行应支持</w:t>
      </w:r>
      <w:r>
        <w:rPr>
          <w:rFonts w:hint="eastAsia" w:ascii="Times New Roman" w:hAnsi="Times New Roman"/>
          <w:color w:val="auto"/>
          <w:sz w:val="24"/>
          <w:szCs w:val="24"/>
          <w:lang w:val="en-US" w:eastAsia="zh-CN" w:bidi="ar"/>
        </w:rPr>
        <w:t>不少于4路的</w:t>
      </w:r>
      <w:r>
        <w:rPr>
          <w:rFonts w:ascii="Times New Roman" w:hAnsi="Times New Roman"/>
          <w:color w:val="auto"/>
          <w:sz w:val="24"/>
          <w:szCs w:val="24"/>
          <w:lang w:bidi="ar"/>
        </w:rPr>
        <w:t>模拟终端及IP终端接入。</w:t>
      </w:r>
    </w:p>
    <w:p>
      <w:pPr>
        <w:numPr>
          <w:ilvl w:val="0"/>
          <w:numId w:val="35"/>
        </w:numPr>
        <w:adjustRightInd w:val="0"/>
        <w:snapToGrid w:val="0"/>
        <w:spacing w:line="360" w:lineRule="auto"/>
        <w:ind w:firstLine="480" w:firstLineChars="200"/>
        <w:rPr>
          <w:rFonts w:ascii="Times New Roman" w:hAnsi="Times New Roman"/>
          <w:color w:val="auto"/>
          <w:sz w:val="24"/>
          <w:szCs w:val="24"/>
          <w:lang w:bidi="ar"/>
        </w:rPr>
      </w:pPr>
      <w:r>
        <w:rPr>
          <w:rFonts w:hint="eastAsia" w:ascii="Times New Roman" w:hAnsi="Times New Roman"/>
          <w:color w:val="auto"/>
          <w:sz w:val="24"/>
          <w:szCs w:val="24"/>
          <w:lang w:bidi="ar"/>
        </w:rPr>
        <w:t>支持通过信令识别用户摘机、拨号、挂机等事件等状态，并向用户发送拨号音、振铃音、</w:t>
      </w:r>
    </w:p>
    <w:p>
      <w:pPr>
        <w:numPr>
          <w:ilvl w:val="0"/>
          <w:numId w:val="35"/>
        </w:numPr>
        <w:adjustRightInd w:val="0"/>
        <w:snapToGrid w:val="0"/>
        <w:spacing w:line="360" w:lineRule="auto"/>
        <w:ind w:left="0" w:firstLine="480" w:firstLineChars="200"/>
        <w:rPr>
          <w:rFonts w:ascii="Times New Roman" w:hAnsi="Times New Roman"/>
          <w:color w:val="auto"/>
          <w:sz w:val="24"/>
          <w:szCs w:val="24"/>
        </w:rPr>
      </w:pPr>
      <w:r>
        <w:rPr>
          <w:rFonts w:hint="eastAsia" w:ascii="Times New Roman" w:hAnsi="Times New Roman"/>
          <w:color w:val="auto"/>
          <w:sz w:val="24"/>
          <w:szCs w:val="24"/>
          <w:lang w:bidi="ar"/>
        </w:rPr>
        <w:t>回铃音、忙音等各种信号音</w:t>
      </w:r>
      <w:r>
        <w:rPr>
          <w:rFonts w:ascii="Times New Roman" w:hAnsi="Times New Roman"/>
          <w:color w:val="auto"/>
          <w:sz w:val="24"/>
          <w:szCs w:val="24"/>
          <w:lang w:bidi="ar"/>
        </w:rPr>
        <w:t>;在媒体资源服务器的配合下，向用户放送各种通知音。</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支持在调度交换机控制下对呼叫进行处理和控制，包括会话的建立、修改和释放</w:t>
      </w:r>
      <w:r>
        <w:rPr>
          <w:rFonts w:ascii="Times New Roman" w:hAnsi="Times New Roman"/>
          <w:color w:val="auto"/>
          <w:sz w:val="24"/>
          <w:szCs w:val="24"/>
          <w:lang w:bidi="ar"/>
        </w:rPr>
        <w:t>;支持主叫号码来电显示功能</w:t>
      </w:r>
      <w:r>
        <w:rPr>
          <w:rFonts w:hint="eastAsia" w:ascii="Times New Roman" w:hAnsi="Times New Roman"/>
          <w:color w:val="auto"/>
          <w:sz w:val="24"/>
          <w:szCs w:val="24"/>
          <w:lang w:bidi="ar"/>
        </w:rPr>
        <w:t>；</w:t>
      </w:r>
      <w:r>
        <w:rPr>
          <w:rFonts w:ascii="Times New Roman" w:hAnsi="Times New Roman"/>
          <w:color w:val="auto"/>
          <w:sz w:val="24"/>
          <w:szCs w:val="24"/>
          <w:lang w:bidi="ar"/>
        </w:rPr>
        <w:t>；</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w:t>
      </w:r>
      <w:r>
        <w:rPr>
          <w:rFonts w:ascii="Times New Roman" w:hAnsi="Times New Roman"/>
          <w:color w:val="auto"/>
          <w:sz w:val="24"/>
          <w:szCs w:val="24"/>
          <w:lang w:bidi="ar"/>
        </w:rPr>
        <w:t>G.711、G.729和G.723语音编解码方式:支持回声抑制功能，避免语音时延和回声对通话质量的影响;支持输入缓冲功能，消除时延抖动对通话质量的影响；</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支持所有模拟电话和</w:t>
      </w:r>
      <w:r>
        <w:rPr>
          <w:rFonts w:ascii="Times New Roman" w:hAnsi="Times New Roman"/>
          <w:color w:val="auto"/>
          <w:sz w:val="24"/>
          <w:szCs w:val="24"/>
          <w:lang w:bidi="ar"/>
        </w:rPr>
        <w:t>IP电话同时呼叫的媒体处理能力；</w:t>
      </w:r>
    </w:p>
    <w:p>
      <w:pPr>
        <w:numPr>
          <w:ilvl w:val="0"/>
          <w:numId w:val="35"/>
        </w:numPr>
        <w:adjustRightInd w:val="0"/>
        <w:snapToGrid w:val="0"/>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支持对电路通道、</w:t>
      </w:r>
      <w:r>
        <w:rPr>
          <w:rFonts w:ascii="Times New Roman" w:hAnsi="Times New Roman"/>
          <w:color w:val="auto"/>
          <w:sz w:val="24"/>
          <w:szCs w:val="24"/>
          <w:lang w:bidi="ar"/>
        </w:rPr>
        <w:t>IP通道的使能控制;支持链路与模块的自检测及异常告警;支持G.711A/U等语音编解码。</w:t>
      </w:r>
    </w:p>
    <w:p>
      <w:pPr>
        <w:numPr>
          <w:ilvl w:val="0"/>
          <w:numId w:val="35"/>
        </w:numPr>
        <w:adjustRightInd w:val="0"/>
        <w:snapToGrid w:val="0"/>
        <w:spacing w:line="360" w:lineRule="auto"/>
        <w:ind w:left="0" w:firstLine="480" w:firstLineChars="200"/>
        <w:rPr>
          <w:rFonts w:ascii="Times New Roman" w:hAnsi="Times New Roman"/>
          <w:color w:val="auto"/>
          <w:sz w:val="24"/>
          <w:szCs w:val="24"/>
        </w:rPr>
      </w:pPr>
      <w:r>
        <w:rPr>
          <w:rFonts w:hint="eastAsia" w:ascii="Times New Roman" w:hAnsi="Times New Roman"/>
          <w:color w:val="auto"/>
          <w:sz w:val="24"/>
          <w:szCs w:val="24"/>
          <w:lang w:bidi="ar"/>
        </w:rPr>
        <w:t>支持本地及远端两种维护方式</w:t>
      </w:r>
      <w:r>
        <w:rPr>
          <w:rFonts w:ascii="Times New Roman" w:hAnsi="Times New Roman"/>
          <w:color w:val="auto"/>
          <w:sz w:val="24"/>
          <w:szCs w:val="24"/>
          <w:lang w:bidi="ar"/>
        </w:rPr>
        <w:t>:支持网管便捷化配置、一键式升级及图形化监测。</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IAD语音网关技术要求</w:t>
      </w:r>
    </w:p>
    <w:p>
      <w:pPr>
        <w:spacing w:line="360" w:lineRule="auto"/>
        <w:ind w:firstLine="480" w:firstLineChars="200"/>
        <w:rPr>
          <w:rFonts w:ascii="Times New Roman" w:hAnsi="Times New Roman"/>
          <w:color w:val="auto"/>
          <w:kern w:val="0"/>
          <w:sz w:val="24"/>
          <w:szCs w:val="24"/>
        </w:rPr>
      </w:pPr>
      <w:r>
        <w:rPr>
          <w:rFonts w:hint="eastAsia" w:ascii="Times New Roman" w:hAnsi="Times New Roman"/>
          <w:color w:val="auto"/>
          <w:kern w:val="0"/>
          <w:sz w:val="24"/>
          <w:szCs w:val="24"/>
        </w:rPr>
        <w:t>1）支持标准 SIP 用户协议及VOIP接入。</w:t>
      </w:r>
    </w:p>
    <w:p>
      <w:pPr>
        <w:spacing w:line="360" w:lineRule="auto"/>
        <w:ind w:firstLine="480" w:firstLineChars="200"/>
        <w:rPr>
          <w:rFonts w:ascii="Times New Roman" w:hAnsi="Times New Roman"/>
          <w:color w:val="auto"/>
          <w:kern w:val="0"/>
          <w:sz w:val="24"/>
          <w:szCs w:val="24"/>
        </w:rPr>
      </w:pPr>
      <w:r>
        <w:rPr>
          <w:rFonts w:hint="eastAsia" w:ascii="Times New Roman" w:hAnsi="Times New Roman"/>
          <w:color w:val="auto"/>
          <w:kern w:val="0"/>
          <w:sz w:val="24"/>
          <w:szCs w:val="24"/>
        </w:rPr>
        <w:t>2)支持</w:t>
      </w:r>
      <w:r>
        <w:rPr>
          <w:rFonts w:hint="eastAsia" w:ascii="Times New Roman" w:hAnsi="Times New Roman"/>
          <w:color w:val="auto"/>
          <w:kern w:val="0"/>
          <w:sz w:val="24"/>
          <w:szCs w:val="24"/>
          <w:lang w:val="en-US" w:eastAsia="zh-CN"/>
        </w:rPr>
        <w:t>不低于</w:t>
      </w:r>
      <w:r>
        <w:rPr>
          <w:rFonts w:ascii="Times New Roman" w:hAnsi="Times New Roman"/>
          <w:color w:val="auto"/>
          <w:kern w:val="0"/>
          <w:sz w:val="24"/>
          <w:szCs w:val="24"/>
        </w:rPr>
        <w:t>16</w:t>
      </w:r>
      <w:r>
        <w:rPr>
          <w:rFonts w:hint="eastAsia" w:ascii="Times New Roman" w:hAnsi="Times New Roman"/>
          <w:color w:val="auto"/>
          <w:kern w:val="0"/>
          <w:sz w:val="24"/>
          <w:szCs w:val="24"/>
          <w:lang w:val="en-US" w:eastAsia="zh-CN"/>
        </w:rPr>
        <w:t>个</w:t>
      </w:r>
      <w:r>
        <w:rPr>
          <w:rFonts w:hint="eastAsia" w:ascii="Times New Roman" w:hAnsi="Times New Roman"/>
          <w:color w:val="auto"/>
          <w:kern w:val="0"/>
          <w:sz w:val="24"/>
          <w:szCs w:val="24"/>
        </w:rPr>
        <w:t>端口。</w:t>
      </w:r>
    </w:p>
    <w:p>
      <w:pPr>
        <w:spacing w:line="360" w:lineRule="auto"/>
        <w:ind w:firstLine="480" w:firstLineChars="200"/>
        <w:rPr>
          <w:rFonts w:ascii="Times New Roman" w:hAnsi="Times New Roman"/>
          <w:color w:val="auto"/>
          <w:kern w:val="0"/>
          <w:sz w:val="24"/>
          <w:szCs w:val="24"/>
        </w:rPr>
      </w:pPr>
      <w:r>
        <w:rPr>
          <w:rFonts w:hint="eastAsia" w:ascii="Times New Roman" w:hAnsi="Times New Roman"/>
          <w:color w:val="auto"/>
          <w:kern w:val="0"/>
          <w:sz w:val="24"/>
          <w:szCs w:val="24"/>
        </w:rPr>
        <w:t>3)支持远程 web 操作，且支持 https 协议管理。</w:t>
      </w:r>
    </w:p>
    <w:p>
      <w:pPr>
        <w:spacing w:line="360" w:lineRule="auto"/>
        <w:ind w:firstLine="480" w:firstLineChars="200"/>
        <w:rPr>
          <w:rFonts w:ascii="Times New Roman" w:hAnsi="Times New Roman"/>
          <w:color w:val="auto"/>
          <w:kern w:val="0"/>
          <w:sz w:val="24"/>
          <w:szCs w:val="24"/>
        </w:rPr>
      </w:pPr>
      <w:r>
        <w:rPr>
          <w:rFonts w:hint="eastAsia" w:ascii="Times New Roman" w:hAnsi="Times New Roman"/>
          <w:color w:val="auto"/>
          <w:kern w:val="0"/>
          <w:sz w:val="24"/>
          <w:szCs w:val="24"/>
        </w:rPr>
        <w:t>4) 支持网络安全准入认证。</w:t>
      </w:r>
    </w:p>
    <w:p>
      <w:pPr>
        <w:spacing w:line="360" w:lineRule="auto"/>
        <w:ind w:firstLine="480" w:firstLineChars="200"/>
        <w:rPr>
          <w:rFonts w:hint="eastAsia" w:ascii="Times New Roman" w:hAnsi="Times New Roman"/>
          <w:color w:val="auto"/>
          <w:kern w:val="0"/>
          <w:sz w:val="24"/>
          <w:szCs w:val="24"/>
        </w:rPr>
      </w:pPr>
      <w:r>
        <w:rPr>
          <w:rFonts w:hint="eastAsia" w:ascii="Times New Roman" w:hAnsi="Times New Roman"/>
          <w:color w:val="auto"/>
          <w:kern w:val="0"/>
          <w:sz w:val="24"/>
          <w:szCs w:val="24"/>
        </w:rPr>
        <w:t>5)支持双路</w:t>
      </w:r>
      <w:r>
        <w:rPr>
          <w:rFonts w:hint="eastAsia" w:ascii="Times New Roman" w:hAnsi="Times New Roman"/>
          <w:color w:val="auto"/>
          <w:kern w:val="0"/>
          <w:sz w:val="24"/>
          <w:szCs w:val="24"/>
          <w:lang w:val="en-US" w:eastAsia="zh-CN"/>
        </w:rPr>
        <w:t>交流或直流</w:t>
      </w:r>
      <w:r>
        <w:rPr>
          <w:rFonts w:hint="eastAsia" w:ascii="Times New Roman" w:hAnsi="Times New Roman"/>
          <w:color w:val="auto"/>
          <w:kern w:val="0"/>
          <w:sz w:val="24"/>
          <w:szCs w:val="24"/>
        </w:rPr>
        <w:t>供电，接口可为FXO/FXS、配置灵活方便。</w:t>
      </w:r>
    </w:p>
    <w:p>
      <w:pPr>
        <w:spacing w:line="360" w:lineRule="auto"/>
        <w:ind w:firstLine="480" w:firstLineChars="200"/>
        <w:rPr>
          <w:rFonts w:hint="eastAsia" w:ascii="Times New Roman" w:hAnsi="Times New Roman"/>
          <w:color w:val="auto"/>
          <w:kern w:val="0"/>
          <w:sz w:val="24"/>
          <w:szCs w:val="24"/>
        </w:rPr>
      </w:pPr>
      <w:r>
        <w:rPr>
          <w:rFonts w:hint="eastAsia" w:ascii="Times New Roman" w:hAnsi="Times New Roman"/>
          <w:color w:val="auto"/>
          <w:kern w:val="0"/>
          <w:sz w:val="24"/>
          <w:szCs w:val="24"/>
          <w:lang w:val="en-US" w:eastAsia="zh-CN"/>
        </w:rPr>
        <w:t>6</w:t>
      </w:r>
      <w:r>
        <w:rPr>
          <w:rFonts w:hint="eastAsia" w:ascii="Times New Roman" w:hAnsi="Times New Roman"/>
          <w:color w:val="auto"/>
          <w:kern w:val="0"/>
          <w:sz w:val="24"/>
          <w:szCs w:val="24"/>
        </w:rPr>
        <w:t>)</w:t>
      </w:r>
      <w:r>
        <w:rPr>
          <w:rFonts w:hint="eastAsia" w:ascii="Times New Roman" w:hAnsi="Times New Roman"/>
          <w:color w:val="auto"/>
          <w:kern w:val="0"/>
          <w:sz w:val="24"/>
          <w:szCs w:val="24"/>
          <w:lang w:val="en-US" w:eastAsia="zh-CN"/>
        </w:rPr>
        <w:t>支持</w:t>
      </w:r>
      <w:r>
        <w:rPr>
          <w:rFonts w:ascii="Times New Roman" w:hAnsi="Times New Roman"/>
          <w:color w:val="auto"/>
          <w:kern w:val="0"/>
          <w:sz w:val="24"/>
          <w:szCs w:val="24"/>
          <w:lang w:bidi="ar"/>
        </w:rPr>
        <w:t>自交换，断电逃生，支持调度组呼，群呼</w:t>
      </w:r>
      <w:r>
        <w:rPr>
          <w:rFonts w:hint="eastAsia" w:ascii="Times New Roman" w:hAnsi="Times New Roman"/>
          <w:color w:val="auto"/>
          <w:kern w:val="0"/>
          <w:sz w:val="24"/>
          <w:szCs w:val="24"/>
        </w:rPr>
        <w:t>。</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中继网关技术要求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亦称中继媒体网关，负责TDM中继电路与分组网络媒体信息之间的相互转换，支持接入PRI、No.7，提供SIP接入，</w:t>
      </w:r>
      <w:r>
        <w:rPr>
          <w:rFonts w:hint="eastAsia" w:ascii="Times New Roman" w:hAnsi="Times New Roman"/>
          <w:color w:val="auto"/>
          <w:sz w:val="24"/>
          <w:szCs w:val="24"/>
          <w:lang w:val="en-US" w:eastAsia="zh-CN" w:bidi="ar"/>
        </w:rPr>
        <w:t>支持本地再生功能，</w:t>
      </w:r>
      <w:r>
        <w:rPr>
          <w:rFonts w:ascii="Times New Roman" w:hAnsi="Times New Roman"/>
          <w:color w:val="auto"/>
          <w:sz w:val="24"/>
          <w:szCs w:val="24"/>
          <w:lang w:bidi="ar"/>
        </w:rPr>
        <w:t>并提供回声抵消功能、语音包缓冲功能。</w:t>
      </w:r>
    </w:p>
    <w:p>
      <w:pPr>
        <w:pStyle w:val="50"/>
        <w:widowControl w:val="0"/>
        <w:numPr>
          <w:ilvl w:val="0"/>
          <w:numId w:val="36"/>
        </w:numPr>
        <w:topLinePunct w:val="0"/>
        <w:snapToGrid/>
        <w:spacing w:before="0" w:after="0" w:line="360" w:lineRule="auto"/>
        <w:rPr>
          <w:color w:val="auto"/>
          <w:sz w:val="24"/>
          <w:szCs w:val="24"/>
        </w:rPr>
      </w:pPr>
      <w:r>
        <w:rPr>
          <w:color w:val="auto"/>
          <w:kern w:val="0"/>
          <w:sz w:val="24"/>
          <w:szCs w:val="24"/>
          <w:lang w:bidi="ar"/>
        </w:rPr>
        <w:t>功能要求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接口要求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支持的用户接口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1) LAN 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2) PCM 数字 E1 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电路交换网侧接口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PCM 数字中继 E1 接口应符合 YDN 065-1997 的要求。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分组侧接口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中继网关应可提供 10BaseT/100BaseT/1000BaseT 自适应接口。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d) 管理接口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1) 应同时支持本地终端接口和网管接口；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2) 与网管中心接口采用 10/100M Base-T 以太网自适应接口；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3) 与本地终端接口可以是 RS-232 或 10/100M 接口。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 协议功能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中继网关连接 PSTN 和软交换网络的设备，实现 IP 包转 TDM 的功能，承载 IP 域与电路域的语音汇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接任务，具备以下协议功能：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控制协议：SIP 或 ITU-T H.248，宜采用 SIP 协议；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语音编码算法：ITU-T G.711、ITU-T G.729；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传真：ITU-T T.30（PSTN 侧）、ITU-T T.38（IP 侧）；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d) 电路侧：No.7、No.1、R2、PRI、Q-SIG；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e) 语音质量：G.168（回声抑制）、VAD（话音活动检测）、CNG（舒适噪声生成）；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f)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支持以下局域网协议：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1) 自适应 10/100M-TX/FX 以太网标准：IEEE 802.3，IEEE 802.3u；</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2) 1000M 以太网：IEEE 802.3ab 1000Base-T 和 IEEE 802.3z 1000Base-SX/FX/LX；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3) TCP/IP 协议族；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4) 802.1 P QoS 协议；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5) 802.1 Q VLAN 协议；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6) RTP 和 RTCP 协议。</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互通功能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中继网关应至少具备以下互通功能：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应支持通过No.7、No.1、PRI、Q-SIG 等信令与电路交换网互通；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应支持通过 SIP 或 ITU-T H.248 协议与软交换机的互通。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 呼叫控制与资源管理功能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中继网关应具备以下呼叫控制与资源管理功能：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中继网关应支持与软交换机之间通过信令进行呼叫处理，包括呼叫建立、维持、释放等；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中继网关应支持与软交换机之间通过信令进行资源管理与分配，包括预留媒体资源、释放媒体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资源等；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中继网关与软交换机之间应支持心跳机制，通过信令检测两者之间的通信链路状态；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d) 对于 ITU-T H.248 协议网关，应支持向软交换机发起注册、重注册、注销、认证鉴权等功能，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软交换机应实现对中继网关的电路侧、分组侧及公共资源的管理功能。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语音处理控制功能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中继网关应具备以下功能：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中继网关应具有回声抑制和抵消功能；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中继网关应具有静音检测和压缩功能；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中继网关具有舒适噪声产生功能；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d) 中继网关应设置有输入缓冲，来消除时延抖动对通话质量的影响，输入缓冲应动态调整；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e) 中继网关应具有音频编码的动态转换机制，支持 ITU-T G.711、ITU-T G.729 算法。</w:t>
      </w:r>
    </w:p>
    <w:p>
      <w:pPr>
        <w:pStyle w:val="50"/>
        <w:widowControl w:val="0"/>
        <w:numPr>
          <w:ilvl w:val="0"/>
          <w:numId w:val="36"/>
        </w:numPr>
        <w:topLinePunct w:val="0"/>
        <w:snapToGrid/>
        <w:spacing w:before="0" w:after="0" w:line="360" w:lineRule="auto"/>
        <w:rPr>
          <w:color w:val="auto"/>
          <w:sz w:val="24"/>
          <w:szCs w:val="24"/>
        </w:rPr>
      </w:pPr>
      <w:r>
        <w:rPr>
          <w:color w:val="auto"/>
          <w:kern w:val="0"/>
          <w:sz w:val="24"/>
          <w:szCs w:val="24"/>
          <w:lang w:bidi="ar"/>
        </w:rPr>
        <w:t>性能要求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中继网关应满足以下性能要求：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每秒呼叫发起数应不低于 50CAPS；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忙时呼叫完成数 BHCC 应不低于 180K；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支持 E1 数量不少于 </w:t>
      </w:r>
      <w:r>
        <w:rPr>
          <w:rFonts w:hint="eastAsia" w:ascii="Times New Roman" w:hAnsi="Times New Roman"/>
          <w:color w:val="auto"/>
          <w:sz w:val="24"/>
          <w:szCs w:val="24"/>
          <w:lang w:val="en-US" w:eastAsia="zh-CN" w:bidi="ar"/>
        </w:rPr>
        <w:t>4</w:t>
      </w:r>
      <w:r>
        <w:rPr>
          <w:rFonts w:ascii="Times New Roman" w:hAnsi="Times New Roman"/>
          <w:color w:val="auto"/>
          <w:sz w:val="24"/>
          <w:szCs w:val="24"/>
          <w:lang w:bidi="ar"/>
        </w:rPr>
        <w:t xml:space="preserve"> 个。</w:t>
      </w:r>
    </w:p>
    <w:p>
      <w:pPr>
        <w:pStyle w:val="50"/>
        <w:widowControl w:val="0"/>
        <w:numPr>
          <w:ilvl w:val="0"/>
          <w:numId w:val="36"/>
        </w:numPr>
        <w:topLinePunct w:val="0"/>
        <w:snapToGrid/>
        <w:spacing w:before="0" w:after="0" w:line="360" w:lineRule="auto"/>
        <w:rPr>
          <w:color w:val="auto"/>
          <w:sz w:val="24"/>
          <w:szCs w:val="24"/>
        </w:rPr>
      </w:pPr>
      <w:r>
        <w:rPr>
          <w:color w:val="auto"/>
          <w:kern w:val="0"/>
          <w:sz w:val="24"/>
          <w:szCs w:val="24"/>
          <w:lang w:bidi="ar"/>
        </w:rPr>
        <w:t>可靠性要求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中继网关应满足以下可靠性要求：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a) 接口模块负荷分担；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b) 系统应达到或超过 99.999%的可用性；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 xml:space="preserve">c) 支持 MTBF&gt;10 万小时，MTTR&lt;5 分钟； </w:t>
      </w:r>
    </w:p>
    <w:p>
      <w:pPr>
        <w:spacing w:line="360" w:lineRule="auto"/>
        <w:ind w:firstLine="480" w:firstLineChars="200"/>
        <w:rPr>
          <w:rFonts w:hint="eastAsia" w:ascii="Times New Roman" w:hAnsi="Times New Roman"/>
          <w:color w:val="auto"/>
          <w:sz w:val="24"/>
          <w:szCs w:val="24"/>
          <w:lang w:eastAsia="zh-CN" w:bidi="ar"/>
        </w:rPr>
      </w:pPr>
      <w:r>
        <w:rPr>
          <w:rFonts w:ascii="Times New Roman" w:hAnsi="Times New Roman"/>
          <w:color w:val="auto"/>
          <w:sz w:val="24"/>
          <w:szCs w:val="24"/>
          <w:lang w:bidi="ar"/>
        </w:rPr>
        <w:t>d) 电源 1+1 备份冗余</w:t>
      </w:r>
      <w:r>
        <w:rPr>
          <w:rFonts w:hint="eastAsia" w:ascii="Times New Roman" w:hAnsi="Times New Roman"/>
          <w:color w:val="auto"/>
          <w:sz w:val="24"/>
          <w:szCs w:val="24"/>
          <w:lang w:eastAsia="zh-CN" w:bidi="ar"/>
        </w:rPr>
        <w:t>；</w:t>
      </w:r>
    </w:p>
    <w:p>
      <w:pPr>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val="en-US" w:eastAsia="zh-CN" w:bidi="ar"/>
        </w:rPr>
        <w:t>e) 主控板冗余，</w:t>
      </w:r>
      <w:r>
        <w:rPr>
          <w:rFonts w:ascii="Times New Roman" w:hAnsi="Times New Roman"/>
          <w:color w:val="auto"/>
          <w:sz w:val="24"/>
          <w:szCs w:val="24"/>
          <w:lang w:bidi="ar"/>
        </w:rPr>
        <w:t xml:space="preserve">； </w:t>
      </w:r>
    </w:p>
    <w:p>
      <w:pPr>
        <w:spacing w:line="360" w:lineRule="auto"/>
        <w:rPr>
          <w:rFonts w:ascii="Times New Roman" w:hAnsi="Times New Roman"/>
          <w:color w:val="auto"/>
          <w:sz w:val="24"/>
          <w:szCs w:val="24"/>
        </w:rPr>
      </w:pPr>
      <w:r>
        <w:rPr>
          <w:rFonts w:ascii="Times New Roman" w:hAnsi="Times New Roman"/>
          <w:color w:val="auto"/>
          <w:sz w:val="24"/>
          <w:szCs w:val="24"/>
          <w:lang w:bidi="ar"/>
        </w:rPr>
        <w:t>e) 应采用高可靠性的软硬件平台，防恶意攻击和防病毒等，采用嵌入式操作系统或 linux 或 unix 系统。</w:t>
      </w:r>
    </w:p>
    <w:p>
      <w:pPr>
        <w:pStyle w:val="4"/>
        <w:widowControl/>
        <w:numPr>
          <w:ilvl w:val="1"/>
          <w:numId w:val="25"/>
        </w:numPr>
        <w:spacing w:line="360" w:lineRule="auto"/>
        <w:rPr>
          <w:rFonts w:ascii="Times New Roman" w:hAnsi="Times New Roman"/>
          <w:b/>
          <w:bCs/>
          <w:color w:val="auto"/>
          <w:sz w:val="24"/>
          <w:szCs w:val="24"/>
        </w:rPr>
      </w:pPr>
      <w:bookmarkStart w:id="236" w:name="_Toc24726"/>
      <w:bookmarkStart w:id="237" w:name="_Toc20205"/>
      <w:bookmarkStart w:id="238" w:name="_Toc26242"/>
      <w:bookmarkStart w:id="239" w:name="_Toc7662"/>
      <w:bookmarkStart w:id="240" w:name="_Toc17845"/>
      <w:bookmarkStart w:id="241" w:name="_Toc521"/>
      <w:bookmarkStart w:id="242" w:name="_Toc11672"/>
      <w:r>
        <w:rPr>
          <w:rFonts w:ascii="Times New Roman" w:hAnsi="Times New Roman"/>
          <w:b/>
          <w:bCs/>
          <w:color w:val="auto"/>
          <w:sz w:val="24"/>
          <w:szCs w:val="24"/>
        </w:rPr>
        <w:t>应急通信设备</w:t>
      </w:r>
      <w:bookmarkEnd w:id="236"/>
      <w:bookmarkEnd w:id="237"/>
      <w:bookmarkEnd w:id="238"/>
      <w:bookmarkEnd w:id="239"/>
      <w:bookmarkEnd w:id="240"/>
      <w:bookmarkEnd w:id="241"/>
      <w:bookmarkEnd w:id="242"/>
    </w:p>
    <w:p>
      <w:pPr>
        <w:pStyle w:val="118"/>
        <w:numPr>
          <w:ilvl w:val="2"/>
          <w:numId w:val="25"/>
        </w:numPr>
        <w:spacing w:before="0" w:after="0"/>
        <w:outlineLvl w:val="2"/>
        <w:rPr>
          <w:rFonts w:ascii="Times New Roman" w:hAnsi="Times New Roman"/>
          <w:color w:val="auto"/>
          <w:sz w:val="24"/>
          <w:szCs w:val="24"/>
          <w:lang w:bidi="ar"/>
        </w:rPr>
      </w:pPr>
      <w:r>
        <w:rPr>
          <w:rFonts w:ascii="Times New Roman" w:hAnsi="Times New Roman"/>
          <w:color w:val="auto"/>
          <w:sz w:val="24"/>
          <w:szCs w:val="24"/>
          <w:lang w:bidi="ar"/>
        </w:rPr>
        <w:t>Ka高通量卫星便携站技术要求</w:t>
      </w:r>
    </w:p>
    <w:p>
      <w:pPr>
        <w:spacing w:line="360" w:lineRule="auto"/>
        <w:ind w:firstLine="480" w:firstLineChars="200"/>
        <w:rPr>
          <w:rFonts w:ascii="Times New Roman" w:hAnsi="Times New Roman" w:cs="仿宋"/>
          <w:color w:val="auto"/>
          <w:kern w:val="0"/>
          <w:sz w:val="24"/>
          <w:szCs w:val="24"/>
          <w:lang w:val="en-GB" w:bidi="ar"/>
        </w:rPr>
      </w:pPr>
      <w:r>
        <w:rPr>
          <w:rFonts w:ascii="Times New Roman" w:hAnsi="Times New Roman" w:cs="仿宋"/>
          <w:color w:val="auto"/>
          <w:kern w:val="0"/>
          <w:sz w:val="24"/>
          <w:szCs w:val="24"/>
          <w:lang w:bidi="ar"/>
        </w:rPr>
        <w:t>Ka</w:t>
      </w:r>
      <w:r>
        <w:rPr>
          <w:rFonts w:hint="eastAsia" w:ascii="Times New Roman" w:hAnsi="Times New Roman" w:cs="仿宋"/>
          <w:color w:val="auto"/>
          <w:kern w:val="0"/>
          <w:sz w:val="24"/>
          <w:szCs w:val="24"/>
          <w:lang w:bidi="ar"/>
        </w:rPr>
        <w:t>高通量卫星便携站为轻量化、</w:t>
      </w:r>
      <w:r>
        <w:rPr>
          <w:rFonts w:hint="eastAsia" w:ascii="Times New Roman" w:hAnsi="Times New Roman" w:cs="宋体"/>
          <w:color w:val="auto"/>
          <w:sz w:val="24"/>
          <w:szCs w:val="24"/>
          <w:lang w:bidi="ar"/>
        </w:rPr>
        <w:t>一体式便携终端，集成天线、</w:t>
      </w:r>
      <w:r>
        <w:rPr>
          <w:rFonts w:ascii="Times New Roman" w:hAnsi="Times New Roman" w:cs="宋体"/>
          <w:color w:val="auto"/>
          <w:sz w:val="24"/>
          <w:szCs w:val="24"/>
          <w:lang w:bidi="ar"/>
        </w:rPr>
        <w:t>Modem</w:t>
      </w:r>
      <w:r>
        <w:rPr>
          <w:rFonts w:hint="eastAsia" w:ascii="Times New Roman" w:hAnsi="Times New Roman" w:cs="宋体"/>
          <w:color w:val="auto"/>
          <w:sz w:val="24"/>
          <w:szCs w:val="24"/>
          <w:lang w:bidi="ar"/>
        </w:rPr>
        <w:t>、</w:t>
      </w:r>
      <w:r>
        <w:rPr>
          <w:rFonts w:ascii="Times New Roman" w:hAnsi="Times New Roman" w:cs="宋体"/>
          <w:color w:val="auto"/>
          <w:sz w:val="24"/>
          <w:szCs w:val="24"/>
          <w:lang w:bidi="ar"/>
        </w:rPr>
        <w:t>BUC</w:t>
      </w:r>
      <w:r>
        <w:rPr>
          <w:rFonts w:hint="eastAsia" w:ascii="Times New Roman" w:hAnsi="Times New Roman" w:cs="宋体"/>
          <w:color w:val="auto"/>
          <w:sz w:val="24"/>
          <w:szCs w:val="24"/>
          <w:lang w:bidi="ar"/>
        </w:rPr>
        <w:t>、</w:t>
      </w:r>
      <w:r>
        <w:rPr>
          <w:rFonts w:ascii="Times New Roman" w:hAnsi="Times New Roman" w:cs="宋体"/>
          <w:color w:val="auto"/>
          <w:sz w:val="24"/>
          <w:szCs w:val="24"/>
          <w:lang w:bidi="ar"/>
        </w:rPr>
        <w:t>LNB</w:t>
      </w:r>
      <w:r>
        <w:rPr>
          <w:rFonts w:hint="eastAsia" w:ascii="Times New Roman" w:hAnsi="Times New Roman" w:cs="宋体"/>
          <w:color w:val="auto"/>
          <w:sz w:val="24"/>
          <w:szCs w:val="24"/>
          <w:lang w:bidi="ar"/>
        </w:rPr>
        <w:t>、</w:t>
      </w:r>
      <w:r>
        <w:rPr>
          <w:rFonts w:ascii="Times New Roman" w:hAnsi="Times New Roman" w:cs="宋体"/>
          <w:color w:val="auto"/>
          <w:sz w:val="24"/>
          <w:szCs w:val="24"/>
          <w:lang w:bidi="ar"/>
        </w:rPr>
        <w:t>WIFI</w:t>
      </w:r>
      <w:r>
        <w:rPr>
          <w:rFonts w:hint="eastAsia" w:ascii="Times New Roman" w:hAnsi="Times New Roman" w:cs="宋体"/>
          <w:color w:val="auto"/>
          <w:sz w:val="24"/>
          <w:szCs w:val="24"/>
          <w:lang w:bidi="ar"/>
        </w:rPr>
        <w:t>热点、和</w:t>
      </w:r>
      <w:r>
        <w:rPr>
          <w:rFonts w:ascii="Times New Roman" w:hAnsi="Times New Roman" w:cs="宋体"/>
          <w:color w:val="auto"/>
          <w:sz w:val="24"/>
          <w:szCs w:val="24"/>
          <w:lang w:bidi="ar"/>
        </w:rPr>
        <w:t>RJ-45</w:t>
      </w:r>
      <w:r>
        <w:rPr>
          <w:rFonts w:hint="eastAsia" w:ascii="Times New Roman" w:hAnsi="Times New Roman" w:cs="宋体"/>
          <w:color w:val="auto"/>
          <w:sz w:val="24"/>
          <w:szCs w:val="24"/>
          <w:lang w:bidi="ar"/>
        </w:rPr>
        <w:t>端口、蓄电池、设备箱等，采用可拆卸天线，整机体积小、重量轻。具有</w:t>
      </w:r>
      <w:r>
        <w:rPr>
          <w:rFonts w:hint="eastAsia" w:ascii="Times New Roman" w:hAnsi="Times New Roman" w:cs="仿宋"/>
          <w:color w:val="auto"/>
          <w:kern w:val="0"/>
          <w:sz w:val="24"/>
          <w:szCs w:val="24"/>
          <w:lang w:val="en-GB" w:bidi="ar"/>
        </w:rPr>
        <w:t>操作简便、超轻便携、携行方便、防水性能优异、减震性能良好的特点，具备自动对星功能，需具有完全可控自主知识产权，可为调度指挥人员提供高速卫星链路接入互联网。</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便携站信号通过卫星公网运营商回传，</w:t>
      </w:r>
      <w:r>
        <w:rPr>
          <w:rFonts w:hint="eastAsia" w:ascii="Times New Roman" w:hAnsi="Times New Roman" w:cs="仿宋"/>
          <w:color w:val="auto"/>
          <w:kern w:val="0"/>
          <w:sz w:val="24"/>
          <w:szCs w:val="24"/>
          <w:lang w:bidi="ar"/>
        </w:rPr>
        <w:t>结合南网总部应急通信综合</w:t>
      </w:r>
      <w:r>
        <w:rPr>
          <w:rFonts w:hint="eastAsia" w:ascii="Times New Roman" w:hAnsi="Times New Roman" w:cs="仿宋"/>
          <w:color w:val="auto"/>
          <w:kern w:val="0"/>
          <w:sz w:val="24"/>
          <w:szCs w:val="24"/>
          <w:lang w:val="en-GB" w:bidi="ar"/>
        </w:rPr>
        <w:t>平台</w:t>
      </w:r>
      <w:r>
        <w:rPr>
          <w:rFonts w:hint="eastAsia" w:ascii="Times New Roman" w:hAnsi="Times New Roman" w:cs="仿宋"/>
          <w:color w:val="auto"/>
          <w:kern w:val="0"/>
          <w:sz w:val="24"/>
          <w:szCs w:val="24"/>
          <w:lang w:bidi="ar"/>
        </w:rPr>
        <w:t>可对卫星便携站</w:t>
      </w:r>
      <w:r>
        <w:rPr>
          <w:rFonts w:hint="eastAsia" w:ascii="Times New Roman" w:hAnsi="Times New Roman" w:cs="仿宋"/>
          <w:color w:val="auto"/>
          <w:kern w:val="0"/>
          <w:sz w:val="24"/>
          <w:szCs w:val="24"/>
          <w:lang w:val="en-GB" w:bidi="ar"/>
        </w:rPr>
        <w:t>进行基础管理，接入的网络终端可部署平台客户端，接入的无线终端可部署</w:t>
      </w:r>
      <w:r>
        <w:rPr>
          <w:rFonts w:ascii="Times New Roman" w:hAnsi="Times New Roman" w:cs="仿宋"/>
          <w:color w:val="auto"/>
          <w:kern w:val="0"/>
          <w:sz w:val="24"/>
          <w:szCs w:val="24"/>
          <w:lang w:val="en-GB" w:bidi="ar"/>
        </w:rPr>
        <w:t>POC</w:t>
      </w: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APP</w:t>
      </w:r>
      <w:r>
        <w:rPr>
          <w:rFonts w:hint="eastAsia" w:ascii="Times New Roman" w:hAnsi="Times New Roman" w:cs="仿宋"/>
          <w:color w:val="auto"/>
          <w:kern w:val="0"/>
          <w:sz w:val="24"/>
          <w:szCs w:val="24"/>
          <w:lang w:val="en-GB" w:bidi="ar"/>
        </w:rPr>
        <w:t>，实现通信及位置功能。</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1</w:t>
      </w:r>
      <w:r>
        <w:rPr>
          <w:rFonts w:hint="eastAsia" w:ascii="Times New Roman" w:hAnsi="Times New Roman" w:cs="仿宋"/>
          <w:color w:val="auto"/>
          <w:kern w:val="0"/>
          <w:sz w:val="24"/>
          <w:szCs w:val="24"/>
          <w:lang w:val="en-GB" w:bidi="ar"/>
        </w:rPr>
        <w:t>）设备应具有超宽范围的俯仰角度、三维坐标自适应调整，适宜各种区域、地形环境的使用。</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2</w:t>
      </w:r>
      <w:r>
        <w:rPr>
          <w:rFonts w:hint="eastAsia" w:ascii="Times New Roman" w:hAnsi="Times New Roman" w:cs="仿宋"/>
          <w:color w:val="auto"/>
          <w:kern w:val="0"/>
          <w:sz w:val="24"/>
          <w:szCs w:val="24"/>
          <w:lang w:val="en-GB" w:bidi="ar"/>
        </w:rPr>
        <w:t>）卫星便携站采用一体化设计，</w:t>
      </w:r>
      <w:r>
        <w:rPr>
          <w:rFonts w:hint="eastAsia" w:ascii="Times New Roman" w:hAnsi="Times New Roman" w:cs="宋体"/>
          <w:color w:val="auto"/>
          <w:sz w:val="24"/>
          <w:szCs w:val="24"/>
          <w:lang w:bidi="ar"/>
        </w:rPr>
        <w:t>支持全自动、半自动、手动工作模式。全自动模式是指开机后自动调整方位角，水平角，俯仰角，自动寻星，自动拨号，自动连线，无需对天线做任何操作。半自动模式指操作人员在现场使用</w:t>
      </w:r>
      <w:r>
        <w:rPr>
          <w:rFonts w:ascii="Times New Roman" w:hAnsi="Times New Roman" w:cs="宋体"/>
          <w:color w:val="auto"/>
          <w:sz w:val="24"/>
          <w:szCs w:val="24"/>
          <w:lang w:bidi="ar"/>
        </w:rPr>
        <w:t>PDA</w:t>
      </w:r>
      <w:r>
        <w:rPr>
          <w:rFonts w:hint="eastAsia" w:ascii="Times New Roman" w:hAnsi="Times New Roman" w:cs="宋体"/>
          <w:color w:val="auto"/>
          <w:sz w:val="24"/>
          <w:szCs w:val="24"/>
          <w:lang w:bidi="ar"/>
        </w:rPr>
        <w:t>（手持控制终端）通过</w:t>
      </w:r>
      <w:r>
        <w:rPr>
          <w:rFonts w:ascii="Times New Roman" w:hAnsi="Times New Roman" w:cs="宋体"/>
          <w:color w:val="auto"/>
          <w:sz w:val="24"/>
          <w:szCs w:val="24"/>
          <w:lang w:bidi="ar"/>
        </w:rPr>
        <w:t>wifi</w:t>
      </w:r>
      <w:r>
        <w:rPr>
          <w:rFonts w:hint="eastAsia" w:ascii="Times New Roman" w:hAnsi="Times New Roman" w:cs="宋体"/>
          <w:color w:val="auto"/>
          <w:sz w:val="24"/>
          <w:szCs w:val="24"/>
          <w:lang w:bidi="ar"/>
        </w:rPr>
        <w:t>对天线进行控制，设置天线状态（是否在线）、方位角、俯仰角、卫星信号强度、卫星上下行速率、发送电平、接收电平等参数；手动模式指特殊情况下通过手动调节装置操作天线对准卫星。</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3</w:t>
      </w:r>
      <w:r>
        <w:rPr>
          <w:rFonts w:hint="eastAsia" w:ascii="Times New Roman" w:hAnsi="Times New Roman" w:cs="仿宋"/>
          <w:color w:val="auto"/>
          <w:kern w:val="0"/>
          <w:sz w:val="24"/>
          <w:szCs w:val="24"/>
          <w:lang w:val="en-GB" w:bidi="ar"/>
        </w:rPr>
        <w:t>）设备应支持常用卫星参数的预置，方便快速对星操作。自动对星同时自动上线入网。</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4</w:t>
      </w:r>
      <w:r>
        <w:rPr>
          <w:rFonts w:hint="eastAsia" w:ascii="Times New Roman" w:hAnsi="Times New Roman" w:cs="仿宋"/>
          <w:color w:val="auto"/>
          <w:kern w:val="0"/>
          <w:sz w:val="24"/>
          <w:szCs w:val="24"/>
          <w:lang w:val="en-GB" w:bidi="ar"/>
        </w:rPr>
        <w:t>）设备应内置基础防护功能，保证网络通信的稳定性和安全性。</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5</w:t>
      </w:r>
      <w:r>
        <w:rPr>
          <w:rFonts w:hint="eastAsia" w:ascii="Times New Roman" w:hAnsi="Times New Roman" w:cs="仿宋"/>
          <w:color w:val="auto"/>
          <w:kern w:val="0"/>
          <w:sz w:val="24"/>
          <w:szCs w:val="24"/>
          <w:lang w:val="en-GB" w:bidi="ar"/>
        </w:rPr>
        <w:t>）设备应支持市电与发电机</w:t>
      </w:r>
      <w:r>
        <w:rPr>
          <w:rFonts w:ascii="Times New Roman" w:hAnsi="Times New Roman" w:cs="仿宋"/>
          <w:color w:val="auto"/>
          <w:kern w:val="0"/>
          <w:sz w:val="24"/>
          <w:szCs w:val="24"/>
          <w:lang w:val="en-GB" w:bidi="ar"/>
        </w:rPr>
        <w:t>220V</w:t>
      </w:r>
      <w:r>
        <w:rPr>
          <w:rFonts w:hint="eastAsia" w:ascii="Times New Roman" w:hAnsi="Times New Roman" w:cs="仿宋"/>
          <w:color w:val="auto"/>
          <w:kern w:val="0"/>
          <w:sz w:val="24"/>
          <w:szCs w:val="24"/>
          <w:lang w:val="en-GB" w:bidi="ar"/>
        </w:rPr>
        <w:t>交流供电，发电机供电时要求可支持所有设备连续工作</w:t>
      </w:r>
      <w:r>
        <w:rPr>
          <w:rFonts w:ascii="Times New Roman" w:hAnsi="Times New Roman" w:cs="仿宋"/>
          <w:color w:val="auto"/>
          <w:kern w:val="0"/>
          <w:sz w:val="24"/>
          <w:szCs w:val="24"/>
          <w:lang w:val="en-GB" w:bidi="ar"/>
        </w:rPr>
        <w:t>2</w:t>
      </w:r>
      <w:r>
        <w:rPr>
          <w:rFonts w:hint="eastAsia" w:ascii="Times New Roman" w:hAnsi="Times New Roman" w:cs="仿宋"/>
          <w:color w:val="auto"/>
          <w:kern w:val="0"/>
          <w:sz w:val="24"/>
          <w:szCs w:val="24"/>
          <w:lang w:val="en-GB" w:bidi="ar"/>
        </w:rPr>
        <w:t>小时以上；卫星功放应由天线统一供电，无外接适配器。</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6</w:t>
      </w:r>
      <w:r>
        <w:rPr>
          <w:rFonts w:hint="eastAsia" w:ascii="Times New Roman" w:hAnsi="Times New Roman" w:cs="仿宋"/>
          <w:color w:val="auto"/>
          <w:kern w:val="0"/>
          <w:sz w:val="24"/>
          <w:szCs w:val="24"/>
          <w:lang w:val="en-GB" w:bidi="ar"/>
        </w:rPr>
        <w:t>）设备天线主机上应能显示天线状态及天线信号质量等信息。</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bidi="ar"/>
        </w:rPr>
        <w:t>7</w:t>
      </w:r>
      <w:r>
        <w:rPr>
          <w:rFonts w:hint="eastAsia" w:ascii="Times New Roman" w:hAnsi="Times New Roman" w:cs="仿宋"/>
          <w:color w:val="auto"/>
          <w:kern w:val="0"/>
          <w:sz w:val="24"/>
          <w:szCs w:val="24"/>
          <w:lang w:val="en-GB" w:bidi="ar"/>
        </w:rPr>
        <w:t>）设备应支持单北斗定位。</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bidi="ar"/>
        </w:rPr>
        <w:t>8</w:t>
      </w:r>
      <w:r>
        <w:rPr>
          <w:rFonts w:hint="eastAsia" w:ascii="Times New Roman" w:hAnsi="Times New Roman" w:cs="仿宋"/>
          <w:color w:val="auto"/>
          <w:kern w:val="0"/>
          <w:sz w:val="24"/>
          <w:szCs w:val="24"/>
          <w:lang w:val="en-GB" w:bidi="ar"/>
        </w:rPr>
        <w:t>）设备应支持本地一键通控制，支持多系统手机、笔记本电脑有线或无线通过</w:t>
      </w:r>
      <w:r>
        <w:rPr>
          <w:rFonts w:ascii="Times New Roman" w:hAnsi="Times New Roman" w:cs="仿宋"/>
          <w:color w:val="auto"/>
          <w:kern w:val="0"/>
          <w:sz w:val="24"/>
          <w:szCs w:val="24"/>
          <w:lang w:val="en-GB" w:bidi="ar"/>
        </w:rPr>
        <w:t>Web</w:t>
      </w:r>
      <w:r>
        <w:rPr>
          <w:rFonts w:hint="eastAsia" w:ascii="Times New Roman" w:hAnsi="Times New Roman" w:cs="仿宋"/>
          <w:color w:val="auto"/>
          <w:kern w:val="0"/>
          <w:sz w:val="24"/>
          <w:szCs w:val="24"/>
          <w:lang w:val="en-GB" w:bidi="ar"/>
        </w:rPr>
        <w:t>浏览器方式控制。</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val="en-GB" w:bidi="ar"/>
        </w:rPr>
        <w:t>9</w:t>
      </w:r>
      <w:r>
        <w:rPr>
          <w:rFonts w:hint="eastAsia" w:ascii="Times New Roman" w:hAnsi="Times New Roman" w:cs="仿宋"/>
          <w:color w:val="auto"/>
          <w:kern w:val="0"/>
          <w:sz w:val="24"/>
          <w:szCs w:val="24"/>
          <w:lang w:val="en-GB" w:bidi="ar"/>
        </w:rPr>
        <w:t>）▲便携站内置</w:t>
      </w:r>
      <w:r>
        <w:rPr>
          <w:rFonts w:ascii="Times New Roman" w:hAnsi="Times New Roman" w:cs="仿宋"/>
          <w:color w:val="auto"/>
          <w:kern w:val="0"/>
          <w:sz w:val="24"/>
          <w:szCs w:val="24"/>
          <w:lang w:val="en-GB" w:bidi="ar"/>
        </w:rPr>
        <w:t>Ka</w:t>
      </w:r>
      <w:r>
        <w:rPr>
          <w:rFonts w:hint="eastAsia" w:ascii="Times New Roman" w:hAnsi="Times New Roman" w:cs="仿宋"/>
          <w:color w:val="auto"/>
          <w:kern w:val="0"/>
          <w:sz w:val="24"/>
          <w:szCs w:val="24"/>
          <w:lang w:val="en-GB" w:bidi="ar"/>
        </w:rPr>
        <w:t>应急传输设备、三网（移动、电信、联通）融合基站、电池、同时具备外接基站能力。</w:t>
      </w:r>
    </w:p>
    <w:p>
      <w:pPr>
        <w:spacing w:line="360" w:lineRule="auto"/>
        <w:ind w:firstLine="480" w:firstLineChars="200"/>
        <w:rPr>
          <w:rFonts w:ascii="Times New Roman" w:hAnsi="Times New Roman" w:cs="仿宋"/>
          <w:color w:val="auto"/>
          <w:kern w:val="0"/>
          <w:sz w:val="24"/>
          <w:szCs w:val="24"/>
          <w:lang w:val="en-GB" w:bidi="ar"/>
        </w:rPr>
      </w:pPr>
      <w:r>
        <w:rPr>
          <w:rFonts w:hint="eastAsia" w:ascii="Times New Roman" w:hAnsi="Times New Roman" w:cs="仿宋"/>
          <w:color w:val="auto"/>
          <w:kern w:val="0"/>
          <w:sz w:val="24"/>
          <w:szCs w:val="24"/>
          <w:lang w:val="en-GB" w:bidi="ar"/>
        </w:rPr>
        <w:t>（</w:t>
      </w:r>
      <w:r>
        <w:rPr>
          <w:rFonts w:ascii="Times New Roman" w:hAnsi="Times New Roman" w:cs="仿宋"/>
          <w:color w:val="auto"/>
          <w:kern w:val="0"/>
          <w:sz w:val="24"/>
          <w:szCs w:val="24"/>
          <w:lang w:bidi="ar"/>
        </w:rPr>
        <w:t>10</w:t>
      </w:r>
      <w:r>
        <w:rPr>
          <w:rFonts w:hint="eastAsia" w:ascii="Times New Roman" w:hAnsi="Times New Roman" w:cs="仿宋"/>
          <w:color w:val="auto"/>
          <w:kern w:val="0"/>
          <w:sz w:val="24"/>
          <w:szCs w:val="24"/>
          <w:lang w:val="en-GB" w:bidi="ar"/>
        </w:rPr>
        <w:t>）设备应配置便携箱，要求将所有设备固定收置入便携箱内，使用时可方便的取出及展开。</w:t>
      </w:r>
    </w:p>
    <w:tbl>
      <w:tblPr>
        <w:tblStyle w:val="56"/>
        <w:tblW w:w="9514" w:type="dxa"/>
        <w:jc w:val="center"/>
        <w:tblLayout w:type="fixed"/>
        <w:tblCellMar>
          <w:top w:w="0" w:type="dxa"/>
          <w:left w:w="108" w:type="dxa"/>
          <w:bottom w:w="0" w:type="dxa"/>
          <w:right w:w="108" w:type="dxa"/>
        </w:tblCellMar>
      </w:tblPr>
      <w:tblGrid>
        <w:gridCol w:w="592"/>
        <w:gridCol w:w="1784"/>
        <w:gridCol w:w="7138"/>
      </w:tblGrid>
      <w:tr>
        <w:tblPrEx>
          <w:tblCellMar>
            <w:top w:w="0" w:type="dxa"/>
            <w:left w:w="108" w:type="dxa"/>
            <w:bottom w:w="0" w:type="dxa"/>
            <w:right w:w="108" w:type="dxa"/>
          </w:tblCellMar>
        </w:tblPrEx>
        <w:trPr>
          <w:trHeight w:val="272" w:hRule="atLeast"/>
          <w:tblHeader/>
          <w:jc w:val="center"/>
        </w:trPr>
        <w:tc>
          <w:tcPr>
            <w:tcW w:w="5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序号</w:t>
            </w:r>
          </w:p>
        </w:tc>
        <w:tc>
          <w:tcPr>
            <w:tcW w:w="17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指标项</w:t>
            </w:r>
          </w:p>
        </w:tc>
        <w:tc>
          <w:tcPr>
            <w:tcW w:w="7138" w:type="dxa"/>
            <w:tcBorders>
              <w:top w:val="single" w:color="auto" w:sz="4" w:space="0"/>
              <w:left w:val="nil"/>
              <w:bottom w:val="single" w:color="auto" w:sz="4" w:space="0"/>
              <w:right w:val="single" w:color="auto" w:sz="4" w:space="0"/>
            </w:tcBorders>
            <w:vAlign w:val="center"/>
          </w:tcPr>
          <w:p>
            <w:pPr>
              <w:spacing w:line="360" w:lineRule="auto"/>
              <w:ind w:firstLine="420"/>
              <w:jc w:val="center"/>
              <w:rPr>
                <w:rFonts w:cs="宋体"/>
                <w:color w:val="auto"/>
              </w:rPr>
            </w:pPr>
            <w:r>
              <w:rPr>
                <w:rFonts w:hint="eastAsia" w:cs="宋体"/>
                <w:color w:val="auto"/>
              </w:rPr>
              <w:t>指标要求</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天线口径（或等效口径）</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≤0.5m</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2</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天线类型</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波导阵列平板天线（含相控阵天线）或抛物面天线</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3</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工作频率</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接收：17.70GHz～21.20GHz；发射：27.5GHz～31.00GHz；</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4</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入网要求</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可接入中星1</w:t>
            </w:r>
            <w:r>
              <w:rPr>
                <w:rFonts w:cs="宋体"/>
                <w:color w:val="auto"/>
              </w:rPr>
              <w:t>6</w:t>
            </w:r>
            <w:r>
              <w:rPr>
                <w:rFonts w:hint="eastAsia" w:cs="宋体"/>
                <w:color w:val="auto"/>
              </w:rPr>
              <w:t>、26高通量卫星系统，具备Ka资源运营商颁发的入网证书或授权许可。具备三网融合技术标准等核心要求，同时需与运营商达成合作并通过多网互通测试。</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5</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对星模式</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采用手自一体，自动对星同时自动上线入网，搜星时间≤2分钟</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6</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接口</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终端可外接wifi天线，数据接口≥1个以太网RJ-45</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7</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传输能力</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上行传输能力≥6bps，下行传输能力≥20Mbps</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8</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极化方式</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圆极化</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9</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天线及射频</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EIRP≥45dBW,G/T≥10dB/K</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10</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方位/俯仰</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w:t>
            </w:r>
            <w:r>
              <w:rPr>
                <w:rFonts w:cs="宋体"/>
                <w:color w:val="auto"/>
              </w:rPr>
              <w:t>180</w:t>
            </w:r>
            <w:r>
              <w:rPr>
                <w:rFonts w:hint="eastAsia" w:cs="宋体"/>
                <w:color w:val="auto"/>
              </w:rPr>
              <w:t>°/</w:t>
            </w:r>
            <w:r>
              <w:rPr>
                <w:rFonts w:cs="宋体"/>
                <w:color w:val="auto"/>
              </w:rPr>
              <w:t>0°～</w:t>
            </w:r>
            <w:r>
              <w:rPr>
                <w:rFonts w:hint="eastAsia" w:cs="宋体"/>
                <w:color w:val="auto"/>
              </w:rPr>
              <w:t>75</w:t>
            </w:r>
            <w:r>
              <w:rPr>
                <w:rFonts w:cs="宋体"/>
                <w:color w:val="auto"/>
              </w:rPr>
              <w:t>°</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1</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极化角</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支持左右旋自动切换调节范围，切换时间小于5S</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12</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重量</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≤12kg（不含包装）</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13</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整机功耗</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≤300W</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14</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供电</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220V交流供电</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5</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内置锂电池</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≥160WH，使用时间≥3小时</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6</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防护等级</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≥IP66</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7</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收纳尺寸</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≤长650mm*宽550mm*高120mm（含对星支架）</w:t>
            </w:r>
          </w:p>
        </w:tc>
      </w:tr>
      <w:tr>
        <w:tblPrEx>
          <w:tblCellMar>
            <w:top w:w="0" w:type="dxa"/>
            <w:left w:w="108" w:type="dxa"/>
            <w:bottom w:w="0" w:type="dxa"/>
            <w:right w:w="108" w:type="dxa"/>
          </w:tblCellMar>
        </w:tblPrEx>
        <w:trPr>
          <w:trHeight w:val="270" w:hRule="atLeast"/>
          <w:jc w:val="center"/>
        </w:trPr>
        <w:tc>
          <w:tcPr>
            <w:tcW w:w="592"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8</w:t>
            </w:r>
          </w:p>
        </w:tc>
        <w:tc>
          <w:tcPr>
            <w:tcW w:w="1784" w:type="dxa"/>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兼容性</w:t>
            </w:r>
          </w:p>
        </w:tc>
        <w:tc>
          <w:tcPr>
            <w:tcW w:w="7138" w:type="dxa"/>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▲提供标准接口上报数据，用于接入南方电网应急通信综合应用平台，实现位置、电量等信息统一管理，并满足月度定检需求</w:t>
            </w:r>
          </w:p>
        </w:tc>
      </w:tr>
      <w:tr>
        <w:tblPrEx>
          <w:tblCellMar>
            <w:top w:w="0" w:type="dxa"/>
            <w:left w:w="108" w:type="dxa"/>
            <w:bottom w:w="0" w:type="dxa"/>
            <w:right w:w="108" w:type="dxa"/>
          </w:tblCellMar>
        </w:tblPrEx>
        <w:trPr>
          <w:trHeight w:val="270" w:hRule="atLeast"/>
          <w:jc w:val="center"/>
        </w:trPr>
        <w:tc>
          <w:tcPr>
            <w:tcW w:w="5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9</w:t>
            </w:r>
          </w:p>
        </w:tc>
        <w:tc>
          <w:tcPr>
            <w:tcW w:w="17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工作温度</w:t>
            </w:r>
          </w:p>
        </w:tc>
        <w:tc>
          <w:tcPr>
            <w:tcW w:w="7138"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cs="宋体"/>
                <w:color w:val="auto"/>
              </w:rPr>
              <w:t>-20</w:t>
            </w:r>
            <w:r>
              <w:rPr>
                <w:rFonts w:hint="eastAsia" w:cs="宋体"/>
                <w:color w:val="auto"/>
              </w:rPr>
              <w:t>℃</w:t>
            </w:r>
            <w:r>
              <w:rPr>
                <w:rFonts w:cs="宋体"/>
                <w:color w:val="auto"/>
              </w:rPr>
              <w:t xml:space="preserve"> </w:t>
            </w:r>
            <w:r>
              <w:rPr>
                <w:rFonts w:hint="eastAsia" w:cs="宋体"/>
                <w:color w:val="auto"/>
              </w:rPr>
              <w:t>～60℃</w:t>
            </w:r>
          </w:p>
        </w:tc>
      </w:tr>
      <w:tr>
        <w:tblPrEx>
          <w:tblCellMar>
            <w:top w:w="0" w:type="dxa"/>
            <w:left w:w="108" w:type="dxa"/>
            <w:bottom w:w="0" w:type="dxa"/>
            <w:right w:w="108" w:type="dxa"/>
          </w:tblCellMar>
        </w:tblPrEx>
        <w:trPr>
          <w:trHeight w:val="270" w:hRule="atLeast"/>
          <w:jc w:val="center"/>
        </w:trPr>
        <w:tc>
          <w:tcPr>
            <w:tcW w:w="5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20</w:t>
            </w:r>
          </w:p>
        </w:tc>
        <w:tc>
          <w:tcPr>
            <w:tcW w:w="17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资费</w:t>
            </w:r>
          </w:p>
        </w:tc>
        <w:tc>
          <w:tcPr>
            <w:tcW w:w="7138"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含3年流量套餐，单台便携站流量不低于60G/年。</w:t>
            </w:r>
          </w:p>
        </w:tc>
      </w:tr>
    </w:tbl>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数字集群系统技术要求</w:t>
      </w:r>
    </w:p>
    <w:p>
      <w:pPr>
        <w:pStyle w:val="822"/>
        <w:widowControl/>
        <w:numPr>
          <w:ilvl w:val="0"/>
          <w:numId w:val="37"/>
        </w:numPr>
        <w:spacing w:after="0"/>
        <w:ind w:left="0" w:firstLine="0"/>
        <w:rPr>
          <w:rFonts w:hint="default" w:ascii="Times New Roman" w:hAnsi="Times New Roman"/>
          <w:color w:val="auto"/>
          <w:sz w:val="24"/>
          <w:szCs w:val="24"/>
          <w:lang w:eastAsia="zh"/>
        </w:rPr>
      </w:pPr>
      <w:r>
        <w:rPr>
          <w:rFonts w:hint="default" w:ascii="Times New Roman" w:hAnsi="Times New Roman"/>
          <w:color w:val="auto"/>
          <w:sz w:val="24"/>
          <w:szCs w:val="24"/>
          <w:lang w:eastAsia="zh"/>
        </w:rPr>
        <w:t>总体要求</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hint="eastAsia" w:ascii="Times New Roman" w:hAnsi="Times New Roman"/>
          <w:color w:val="auto"/>
          <w:sz w:val="24"/>
          <w:szCs w:val="24"/>
          <w:lang w:val="en-US" w:eastAsia="zh-CN" w:bidi="ar"/>
        </w:rPr>
        <w:t>含天线、中转台等。</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kern w:val="0"/>
          <w:sz w:val="24"/>
          <w:szCs w:val="24"/>
          <w:lang w:bidi="en-US"/>
        </w:rPr>
        <w:t>★</w:t>
      </w:r>
      <w:r>
        <w:rPr>
          <w:rFonts w:ascii="Times New Roman" w:hAnsi="Times New Roman"/>
          <w:color w:val="auto"/>
          <w:sz w:val="24"/>
          <w:szCs w:val="24"/>
          <w:lang w:bidi="ar"/>
        </w:rPr>
        <w:t>需接入南网储能应急通信系统平台</w:t>
      </w:r>
      <w:r>
        <w:rPr>
          <w:rFonts w:hint="eastAsia" w:ascii="Times New Roman" w:hAnsi="Times New Roman"/>
          <w:color w:val="auto"/>
          <w:sz w:val="24"/>
          <w:szCs w:val="24"/>
          <w:lang w:bidi="ar"/>
        </w:rPr>
        <w:t>、融合通信平台</w:t>
      </w:r>
      <w:r>
        <w:rPr>
          <w:rFonts w:ascii="Times New Roman" w:hAnsi="Times New Roman"/>
          <w:color w:val="auto"/>
          <w:sz w:val="24"/>
          <w:szCs w:val="24"/>
          <w:lang w:bidi="ar"/>
        </w:rPr>
        <w:t>。</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须具有中华人民共和国工业和信息化部颁发的《无线电发射设备型号核准证》，</w:t>
      </w:r>
      <w:r>
        <w:rPr>
          <w:rFonts w:ascii="Times New Roman" w:hAnsi="Times New Roman"/>
          <w:b/>
          <w:color w:val="auto"/>
          <w:sz w:val="24"/>
          <w:szCs w:val="24"/>
          <w:lang w:bidi="ar"/>
        </w:rPr>
        <w:t>提供证书复印件加盖投标单位公章</w:t>
      </w:r>
      <w:r>
        <w:rPr>
          <w:rFonts w:ascii="Times New Roman" w:hAnsi="Times New Roman"/>
          <w:color w:val="auto"/>
          <w:sz w:val="24"/>
          <w:szCs w:val="24"/>
          <w:lang w:bidi="ar"/>
        </w:rPr>
        <w:t>；</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须具有国家无线电监测中心检测中心或公安部出具的设备检测报告，并提供检测报告复印件加盖投标单位公章；</w:t>
      </w:r>
    </w:p>
    <w:p>
      <w:pPr>
        <w:widowControl/>
        <w:numPr>
          <w:ilvl w:val="0"/>
          <w:numId w:val="38"/>
        </w:numPr>
        <w:spacing w:line="360" w:lineRule="auto"/>
        <w:ind w:left="0" w:firstLine="480" w:firstLineChars="200"/>
        <w:jc w:val="left"/>
        <w:rPr>
          <w:rFonts w:asciiTheme="minorEastAsia" w:hAnsiTheme="minorEastAsia" w:eastAsiaTheme="minorEastAsia"/>
          <w:color w:val="auto"/>
          <w:sz w:val="24"/>
          <w:szCs w:val="24"/>
          <w:lang w:eastAsia="zh" w:bidi="ar"/>
        </w:rPr>
      </w:pPr>
      <w:r>
        <w:rPr>
          <w:rFonts w:hint="eastAsia" w:asciiTheme="minorEastAsia" w:hAnsiTheme="minorEastAsia" w:eastAsiaTheme="minorEastAsia"/>
          <w:color w:val="auto"/>
          <w:sz w:val="24"/>
          <w:szCs w:val="24"/>
          <w:lang w:bidi="ar"/>
        </w:rPr>
        <w:t>数字模式下支持</w:t>
      </w:r>
      <w:r>
        <w:rPr>
          <w:rFonts w:asciiTheme="minorEastAsia" w:hAnsiTheme="minorEastAsia" w:eastAsiaTheme="minorEastAsia"/>
          <w:color w:val="auto"/>
          <w:sz w:val="24"/>
          <w:szCs w:val="24"/>
          <w:lang w:bidi="ar"/>
        </w:rPr>
        <w:t>IP</w:t>
      </w:r>
      <w:r>
        <w:rPr>
          <w:rFonts w:hint="eastAsia" w:asciiTheme="minorEastAsia" w:hAnsiTheme="minorEastAsia" w:eastAsiaTheme="minorEastAsia"/>
          <w:color w:val="auto"/>
          <w:sz w:val="24"/>
          <w:szCs w:val="24"/>
          <w:lang w:bidi="ar"/>
        </w:rPr>
        <w:t>互联功能。不同地区、不同频段的多个</w:t>
      </w:r>
      <w:r>
        <w:rPr>
          <w:rFonts w:hint="eastAsia" w:asciiTheme="minorEastAsia" w:hAnsiTheme="minorEastAsia" w:eastAsiaTheme="minorEastAsia"/>
          <w:color w:val="auto"/>
          <w:sz w:val="24"/>
          <w:szCs w:val="24"/>
          <w:lang w:eastAsia="zh" w:bidi="ar"/>
        </w:rPr>
        <w:t>数字集群系统</w:t>
      </w:r>
      <w:r>
        <w:rPr>
          <w:rFonts w:hint="eastAsia" w:asciiTheme="minorEastAsia" w:hAnsiTheme="minorEastAsia" w:eastAsiaTheme="minorEastAsia"/>
          <w:color w:val="auto"/>
          <w:sz w:val="24"/>
          <w:szCs w:val="24"/>
          <w:lang w:bidi="ar"/>
        </w:rPr>
        <w:t>可以通过</w:t>
      </w:r>
      <w:r>
        <w:rPr>
          <w:rFonts w:asciiTheme="minorEastAsia" w:hAnsiTheme="minorEastAsia" w:eastAsiaTheme="minorEastAsia"/>
          <w:color w:val="auto"/>
          <w:sz w:val="24"/>
          <w:szCs w:val="24"/>
          <w:lang w:bidi="ar"/>
        </w:rPr>
        <w:t>IP</w:t>
      </w:r>
      <w:r>
        <w:rPr>
          <w:rFonts w:hint="eastAsia" w:asciiTheme="minorEastAsia" w:hAnsiTheme="minorEastAsia" w:eastAsiaTheme="minorEastAsia"/>
          <w:color w:val="auto"/>
          <w:sz w:val="24"/>
          <w:szCs w:val="24"/>
          <w:lang w:bidi="ar"/>
        </w:rPr>
        <w:t>网络互连，与融合通信平台远程互联，实现不同电厂</w:t>
      </w:r>
      <w:r>
        <w:rPr>
          <w:rFonts w:hint="eastAsia" w:asciiTheme="minorEastAsia" w:hAnsiTheme="minorEastAsia" w:eastAsiaTheme="minorEastAsia"/>
          <w:color w:val="auto"/>
          <w:sz w:val="24"/>
          <w:szCs w:val="24"/>
          <w:lang w:eastAsia="zh" w:bidi="ar"/>
        </w:rPr>
        <w:t>数字集群系统</w:t>
      </w:r>
      <w:r>
        <w:rPr>
          <w:rFonts w:hint="eastAsia" w:asciiTheme="minorEastAsia" w:hAnsiTheme="minorEastAsia" w:eastAsiaTheme="minorEastAsia"/>
          <w:color w:val="auto"/>
          <w:sz w:val="24"/>
          <w:szCs w:val="24"/>
          <w:lang w:bidi="ar"/>
        </w:rPr>
        <w:t>之间的语音、数据和控制包交换。进一步扩展终端的通信覆盖范围。</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须具备数字、模拟两种工作模式，具备模数智能切换功能，可自动识别数模信号，智能中转；</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须具备受远程设备或本地设备控制功能，可协助管理人员远程监测和维护网络各个</w:t>
      </w: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运行状况；</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支持对接入</w:t>
      </w: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网络的终端进行限制管理。只有当终端的对讲机ID在</w:t>
      </w: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设置的ID范围内时，</w:t>
      </w: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才会接收该终端的语音业务和数据业务并中转出去；</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可以限制终端业务的中转时长。当某个终端的本地语音中转业务持续时长超过一定时间后，</w:t>
      </w: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将暂停该业务的中转；</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支持通过设备尾针自定义定义功能，实现跨频段的终端语音互通以及模拟与数字终端间的语音互通；</w:t>
      </w:r>
    </w:p>
    <w:p>
      <w:pPr>
        <w:widowControl/>
        <w:numPr>
          <w:ilvl w:val="0"/>
          <w:numId w:val="38"/>
        </w:numPr>
        <w:spacing w:line="360" w:lineRule="auto"/>
        <w:ind w:left="0"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数字集群系统</w:t>
      </w:r>
      <w:r>
        <w:rPr>
          <w:rFonts w:ascii="Times New Roman" w:hAnsi="Times New Roman"/>
          <w:color w:val="auto"/>
          <w:sz w:val="24"/>
          <w:szCs w:val="24"/>
          <w:lang w:bidi="ar"/>
        </w:rPr>
        <w:t>可通过IP链路进行互联组网，具备大功率发射能力，最大发射功率不低于50W；</w:t>
      </w:r>
    </w:p>
    <w:p>
      <w:pPr>
        <w:pStyle w:val="822"/>
        <w:widowControl/>
        <w:numPr>
          <w:ilvl w:val="0"/>
          <w:numId w:val="37"/>
        </w:numPr>
        <w:spacing w:after="0"/>
        <w:ind w:left="840" w:hanging="360"/>
        <w:rPr>
          <w:rFonts w:hint="default" w:ascii="Times New Roman" w:hAnsi="Times New Roman"/>
          <w:color w:val="auto"/>
          <w:sz w:val="24"/>
          <w:szCs w:val="24"/>
          <w:lang w:eastAsia="zh"/>
        </w:rPr>
      </w:pPr>
      <w:r>
        <w:rPr>
          <w:rFonts w:hint="default" w:ascii="Times New Roman" w:hAnsi="Times New Roman"/>
          <w:color w:val="auto"/>
          <w:sz w:val="24"/>
          <w:szCs w:val="24"/>
          <w:lang w:eastAsia="zh" w:bidi="ar"/>
        </w:rPr>
        <w:t>规格参数</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一般规格</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频率范围： 400-470M</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信道容量：≥16</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信道间隔：12.5KHz/20KHz/25KHz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频率稳定度：≤±0.5ppm</w:t>
      </w:r>
    </w:p>
    <w:p>
      <w:pPr>
        <w:pStyle w:val="822"/>
        <w:widowControl/>
        <w:numPr>
          <w:ilvl w:val="0"/>
          <w:numId w:val="37"/>
        </w:numPr>
        <w:spacing w:after="0"/>
        <w:ind w:left="0" w:firstLine="480"/>
        <w:rPr>
          <w:rFonts w:hint="default" w:ascii="Times New Roman" w:hAnsi="Times New Roman"/>
          <w:bCs/>
          <w:color w:val="auto"/>
          <w:sz w:val="24"/>
          <w:szCs w:val="24"/>
          <w:lang w:eastAsia="zh"/>
        </w:rPr>
      </w:pPr>
      <w:r>
        <w:rPr>
          <w:rFonts w:hint="default" w:ascii="Times New Roman" w:hAnsi="Times New Roman"/>
          <w:bCs/>
          <w:color w:val="auto"/>
          <w:sz w:val="24"/>
          <w:szCs w:val="24"/>
          <w:lang w:eastAsia="zh" w:bidi="ar"/>
        </w:rPr>
        <w:t>发射指标</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输出功率：5-50W</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FM调制方式：11K0F3E@12.5kHz、14K0F3E@20kHz、16K0F3E@25kHz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4FSK数字调制方式：12.5kHz仅数据：7K60FXD、12.5kHz数据和语音：7K60FXW</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传导/辐射发射：36dBm＜1GHz、-30dBm＞1GHz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调制限制：±2.5kHz@12.5kHz、±4.0kHz@20kHz、±5.0kHz@25kHz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FM交流声与噪声：≥40dB@12.5kHz、43dB@20KHz、45dB@25kHz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邻道功率：≥60dB@12.5kHz、70dB@20/25kHz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音频响应：+1～-3dB</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音频失真：≤3%</w:t>
      </w:r>
    </w:p>
    <w:p>
      <w:pPr>
        <w:pStyle w:val="822"/>
        <w:widowControl/>
        <w:numPr>
          <w:ilvl w:val="0"/>
          <w:numId w:val="37"/>
        </w:numPr>
        <w:spacing w:after="0"/>
        <w:ind w:left="0" w:firstLine="480"/>
        <w:rPr>
          <w:rFonts w:hint="default" w:ascii="Times New Roman" w:hAnsi="Times New Roman"/>
          <w:bCs/>
          <w:color w:val="auto"/>
          <w:sz w:val="24"/>
          <w:szCs w:val="24"/>
          <w:lang w:eastAsia="zh"/>
        </w:rPr>
      </w:pPr>
      <w:r>
        <w:rPr>
          <w:rFonts w:hint="default" w:ascii="Times New Roman" w:hAnsi="Times New Roman"/>
          <w:bCs/>
          <w:color w:val="auto"/>
          <w:sz w:val="24"/>
          <w:szCs w:val="24"/>
          <w:lang w:eastAsia="zh" w:bidi="ar"/>
        </w:rPr>
        <w:t>接收指标</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接收灵敏度：≤0.3μV/BER5%</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邻道选择性：≥65dB@12.5kHz、75dB@20/25kHz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互调：≥75dB@12.5/20/25kHz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杂散响应抑制：≥75dB@12.5/20/25kHz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阻塞：≥90dB</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交流声与噪声：≥40dB@12.5kHz、43dB@20KHz、45dB@25kHz</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额定音频失真：≤3%</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音频响应：+1～-3dB</w:t>
      </w:r>
    </w:p>
    <w:p>
      <w:pPr>
        <w:pStyle w:val="822"/>
        <w:widowControl/>
        <w:numPr>
          <w:ilvl w:val="0"/>
          <w:numId w:val="37"/>
        </w:numPr>
        <w:spacing w:after="0"/>
        <w:ind w:left="0" w:firstLine="480"/>
        <w:rPr>
          <w:rFonts w:hint="default" w:ascii="Times New Roman" w:hAnsi="Times New Roman"/>
          <w:bCs/>
          <w:color w:val="auto"/>
          <w:sz w:val="24"/>
          <w:szCs w:val="24"/>
          <w:lang w:eastAsia="zh"/>
        </w:rPr>
      </w:pPr>
      <w:r>
        <w:rPr>
          <w:rFonts w:hint="default" w:ascii="Times New Roman" w:hAnsi="Times New Roman"/>
          <w:bCs/>
          <w:color w:val="auto"/>
          <w:sz w:val="24"/>
          <w:szCs w:val="24"/>
          <w:lang w:eastAsia="zh" w:bidi="ar"/>
        </w:rPr>
        <w:t>环境指标</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工作温度范围：≥-30℃～+60℃</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储存温度范围：≥-40℃～+85℃</w:t>
      </w:r>
    </w:p>
    <w:p>
      <w:pPr>
        <w:widowControl/>
        <w:spacing w:line="360" w:lineRule="auto"/>
        <w:ind w:firstLine="480" w:firstLineChars="200"/>
        <w:jc w:val="left"/>
        <w:rPr>
          <w:rFonts w:ascii="Times New Roman" w:hAnsi="Times New Roman"/>
          <w:color w:val="auto"/>
          <w:sz w:val="24"/>
          <w:szCs w:val="24"/>
          <w:lang w:eastAsia="zh" w:bidi="ar"/>
        </w:rPr>
      </w:pPr>
      <w:r>
        <w:rPr>
          <w:rFonts w:ascii="Times New Roman" w:hAnsi="Times New Roman"/>
          <w:color w:val="auto"/>
          <w:sz w:val="24"/>
          <w:szCs w:val="24"/>
          <w:lang w:eastAsia="zh" w:bidi="ar"/>
        </w:rPr>
        <w:t>ESD（静电防护等级）：≥IEC 61000-4-2（level4）</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天通卫星电话技术要求</w:t>
      </w:r>
    </w:p>
    <w:p>
      <w:pPr>
        <w:pStyle w:val="120"/>
        <w:numPr>
          <w:ilvl w:val="3"/>
          <w:numId w:val="0"/>
        </w:numPr>
        <w:spacing w:before="0" w:after="0"/>
        <w:ind w:firstLine="482" w:firstLineChars="200"/>
        <w:rPr>
          <w:rFonts w:ascii="Times New Roman" w:hAnsi="Times New Roman"/>
          <w:color w:val="auto"/>
          <w:szCs w:val="24"/>
        </w:rPr>
      </w:pPr>
      <w:r>
        <w:rPr>
          <w:rFonts w:ascii="Times New Roman" w:hAnsi="Times New Roman"/>
          <w:color w:val="auto"/>
          <w:szCs w:val="24"/>
        </w:rPr>
        <w:t>6.3.3.1 固定式卫星电话</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支持4G全网通+天通卫星</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话音1.2/2.4/4.0Kbps</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上行1980MHz～2010MHz、下行2170MHz～2200MHz</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具备室外通信单元和室内显控单元，其中通信单元由天通通信、北斗定位、收发天线、接口、电源等功能模块组成。</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支持单北斗定位功能，支持实现实时定位及位置跟踪</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不低于1.0GHz四核</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支持主流移动操作系统</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≥5英寸显示屏幕</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电池容量不低于6500mAh，待机不低于100小时，通话不低于10小时；</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运行内存≥1GB RAM,存储内存≥8GB，可支持至少128G TF卡扩展</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防护等级</w:t>
      </w:r>
      <w:r>
        <w:rPr>
          <w:rFonts w:ascii="Times New Roman" w:hAnsi="Times New Roman"/>
          <w:color w:val="auto"/>
          <w:sz w:val="24"/>
          <w:szCs w:val="24"/>
          <w:shd w:val="clear" w:color="auto" w:fill="FFFFFF"/>
          <w:lang w:bidi="ar"/>
        </w:rPr>
        <w:tab/>
      </w:r>
      <w:r>
        <w:rPr>
          <w:rFonts w:ascii="Times New Roman" w:hAnsi="Times New Roman"/>
          <w:color w:val="auto"/>
          <w:sz w:val="24"/>
          <w:szCs w:val="24"/>
          <w:shd w:val="clear" w:color="auto" w:fill="FFFFFF"/>
          <w:lang w:bidi="ar"/>
        </w:rPr>
        <w:t>≥IP66</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全向天线</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支持交流220V的实时供电</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尺寸≤225*210*80mm</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按键应包含：返回、拨号、挂机、静音键、SOS键、免提、重拨键、标准12键、开机键</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双卡，卫星卡*1、公网卡*1</w:t>
      </w:r>
    </w:p>
    <w:p>
      <w:pPr>
        <w:numPr>
          <w:ilvl w:val="0"/>
          <w:numId w:val="39"/>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shd w:val="clear" w:color="auto" w:fill="FFFFFF"/>
          <w:lang w:bidi="ar"/>
        </w:rPr>
        <w:t>室外固定天线：需室外固定式安装，可支持15~100米有源射频线缆</w:t>
      </w:r>
    </w:p>
    <w:p>
      <w:pPr>
        <w:pStyle w:val="120"/>
        <w:numPr>
          <w:ilvl w:val="3"/>
          <w:numId w:val="0"/>
        </w:numPr>
        <w:spacing w:before="0" w:after="0"/>
        <w:ind w:firstLine="482" w:firstLineChars="200"/>
        <w:rPr>
          <w:rFonts w:ascii="Times New Roman" w:hAnsi="Times New Roman"/>
          <w:color w:val="auto"/>
          <w:szCs w:val="24"/>
        </w:rPr>
      </w:pPr>
      <w:r>
        <w:rPr>
          <w:rFonts w:ascii="Times New Roman" w:hAnsi="Times New Roman"/>
          <w:color w:val="auto"/>
          <w:szCs w:val="24"/>
        </w:rPr>
        <w:t>6.3.3.2 移动式卫星电话</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支持天通一号卫星通信制式;支持TD-LTE/LTE FDD/WCDMA/GSM制式:操作系统: 支持</w:t>
      </w:r>
      <w:r>
        <w:rPr>
          <w:rFonts w:hint="eastAsia" w:ascii="Times New Roman" w:hAnsi="Times New Roman"/>
          <w:color w:val="auto"/>
          <w:sz w:val="24"/>
          <w:szCs w:val="24"/>
          <w:shd w:val="clear" w:color="auto" w:fill="FFFFFF"/>
          <w:lang w:bidi="ar"/>
        </w:rPr>
        <w:t>主流移动操作系统</w:t>
      </w:r>
      <w:r>
        <w:rPr>
          <w:rFonts w:ascii="Times New Roman" w:hAnsi="Times New Roman"/>
          <w:color w:val="auto"/>
          <w:sz w:val="24"/>
          <w:szCs w:val="24"/>
          <w:shd w:val="clear" w:color="auto" w:fill="FFFFFF"/>
          <w:lang w:bidi="ar"/>
        </w:rPr>
        <w:t>；（需提供工信部颁发的电信设备进网试用批文）；</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天通卫星终端需提供整机型号核准证和CCC证书；</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 xml:space="preserve">支持天通卫星语音、短信功能，接收频段：2170-2200MHz；发射频段：1980-2010MHz；语音：1.2kbps/2.4kbps/4kbps；短信：单条最大长度≥140字节； </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可实现公网对讲功能，具有独立PTT对讲按键；</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支持安全指纹解锁、NFC功能；</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备厚度不超过17mm（不包含天线），外置天线的直径不超过14mm；</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终端净重量（含电池）：不超过270g；</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配置：不低于八核CPU，主频≥2.0GHz；内存≥8GB RAM+128GB ROM；支持TF卡扩展≥128G，显示屏≥5英寸，分辨率≥1920*1080，支持多点电容触摸屏；</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具备前置、后置摄像头，前置摄像头≥1600万，主摄像头≥4800万，支持闪光灯、自动对焦功能；</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包含但不少于重力感应、距离感应、光线感应、电子罗盘、陀螺等内置传感器；</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具有TYPE-C USB接口和独立的3.5mm标准耳机接口，支持耳机与充电同时工作；</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电池容量≥5000mAh，支持快充功能最大功率不低于18W；</w:t>
      </w:r>
    </w:p>
    <w:p>
      <w:pPr>
        <w:numPr>
          <w:ilvl w:val="0"/>
          <w:numId w:val="4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ascii="Times New Roman" w:hAnsi="Times New Roman"/>
          <w:color w:val="auto"/>
          <w:sz w:val="24"/>
          <w:szCs w:val="24"/>
          <w:shd w:val="clear" w:color="auto" w:fill="FFFFFF"/>
          <w:lang w:bidi="ar"/>
        </w:rPr>
        <w:t>防护等级:≥IP68</w:t>
      </w:r>
    </w:p>
    <w:p>
      <w:pPr>
        <w:pStyle w:val="118"/>
        <w:numPr>
          <w:ilvl w:val="2"/>
          <w:numId w:val="25"/>
        </w:numPr>
        <w:spacing w:before="0" w:after="0"/>
        <w:ind w:left="0" w:firstLine="482" w:firstLineChars="200"/>
        <w:outlineLvl w:val="2"/>
        <w:rPr>
          <w:rFonts w:ascii="Times New Roman" w:hAnsi="Times New Roman"/>
          <w:bCs w:val="0"/>
          <w:color w:val="auto"/>
          <w:szCs w:val="24"/>
          <w:lang w:bidi="ar"/>
        </w:rPr>
      </w:pPr>
      <w:r>
        <w:rPr>
          <w:rFonts w:hint="eastAsia" w:ascii="Times New Roman" w:hAnsi="Times New Roman"/>
          <w:bCs w:val="0"/>
          <w:color w:val="auto"/>
          <w:sz w:val="24"/>
          <w:szCs w:val="24"/>
          <w:lang w:bidi="ar"/>
        </w:rPr>
        <w:t>天通猫技术要求</w:t>
      </w:r>
    </w:p>
    <w:tbl>
      <w:tblPr>
        <w:tblStyle w:val="56"/>
        <w:tblW w:w="5000" w:type="pct"/>
        <w:jc w:val="center"/>
        <w:tblLayout w:type="autofit"/>
        <w:tblCellMar>
          <w:top w:w="0" w:type="dxa"/>
          <w:left w:w="108" w:type="dxa"/>
          <w:bottom w:w="0" w:type="dxa"/>
          <w:right w:w="108" w:type="dxa"/>
        </w:tblCellMar>
      </w:tblPr>
      <w:tblGrid>
        <w:gridCol w:w="619"/>
        <w:gridCol w:w="1423"/>
        <w:gridCol w:w="7920"/>
      </w:tblGrid>
      <w:tr>
        <w:tblPrEx>
          <w:tblCellMar>
            <w:top w:w="0" w:type="dxa"/>
            <w:left w:w="108" w:type="dxa"/>
            <w:bottom w:w="0" w:type="dxa"/>
            <w:right w:w="108" w:type="dxa"/>
          </w:tblCellMar>
        </w:tblPrEx>
        <w:trPr>
          <w:trHeight w:val="272" w:hRule="atLeast"/>
          <w:tblHeader/>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序号</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指标项</w:t>
            </w:r>
          </w:p>
        </w:tc>
        <w:tc>
          <w:tcPr>
            <w:tcW w:w="3975" w:type="pct"/>
            <w:tcBorders>
              <w:top w:val="single" w:color="auto" w:sz="4" w:space="0"/>
              <w:left w:val="nil"/>
              <w:bottom w:val="single" w:color="auto" w:sz="4" w:space="0"/>
              <w:right w:val="single" w:color="auto" w:sz="4" w:space="0"/>
            </w:tcBorders>
            <w:vAlign w:val="center"/>
          </w:tcPr>
          <w:p>
            <w:pPr>
              <w:spacing w:line="360" w:lineRule="auto"/>
              <w:ind w:firstLine="420"/>
              <w:jc w:val="center"/>
              <w:rPr>
                <w:rFonts w:cs="宋体"/>
                <w:color w:val="auto"/>
              </w:rPr>
            </w:pPr>
            <w:r>
              <w:rPr>
                <w:rFonts w:hint="eastAsia" w:cs="宋体"/>
                <w:color w:val="auto"/>
              </w:rPr>
              <w:t>指标要求</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天通语音</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支持智能设备通过远控APP进行天通语音通话</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2</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天通短信</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支持智能设备通过远控APP进行天通短信收发</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3</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定位</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支持单北斗定位功能，支持软件内可以查看卫星实时位置</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4</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熄屏功能</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终端APP应支持个人手机熄屏状态下仍可使用卫星电话及短信功能</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5</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覆盖范围</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Wifi热点不低于半径 30 米</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6</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▲用户数</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至少支持8位用户终端共享接入</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7</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CPU</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不低于四核CPU，主频不低于1.0GHz</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8</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待机时间</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≥160小时，工作时间：≥10小时</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9</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存储单元</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运行内存RAM不低于1GB，存储内存ROM不低于8GB</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10</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电池容量</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不低于7000mAh</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1</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天线</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内置全向卫星天线、北斗天线、WiFi天线</w:t>
            </w:r>
          </w:p>
        </w:tc>
      </w:tr>
      <w:tr>
        <w:tblPrEx>
          <w:tblCellMar>
            <w:top w:w="0" w:type="dxa"/>
            <w:left w:w="108" w:type="dxa"/>
            <w:bottom w:w="0" w:type="dxa"/>
            <w:right w:w="108" w:type="dxa"/>
          </w:tblCellMar>
        </w:tblPrEx>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12</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充电接口</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支持TYPE-C充电接口</w:t>
            </w:r>
          </w:p>
        </w:tc>
      </w:tr>
      <w:tr>
        <w:trPr>
          <w:trHeight w:val="270" w:hRule="atLeast"/>
          <w:jc w:val="center"/>
        </w:trPr>
        <w:tc>
          <w:tcPr>
            <w:tcW w:w="311" w:type="pct"/>
            <w:tcBorders>
              <w:top w:val="nil"/>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13</w:t>
            </w:r>
          </w:p>
        </w:tc>
        <w:tc>
          <w:tcPr>
            <w:tcW w:w="714" w:type="pct"/>
            <w:tcBorders>
              <w:top w:val="nil"/>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振动防护</w:t>
            </w:r>
          </w:p>
        </w:tc>
        <w:tc>
          <w:tcPr>
            <w:tcW w:w="3975" w:type="pct"/>
            <w:tcBorders>
              <w:top w:val="nil"/>
              <w:left w:val="nil"/>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可承受高度1m处的意外跌落</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14</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跌落防护</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满足车辆行驶中的振动防护要求</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5</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防护等级</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≥IP67防护等级</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6</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卡类型</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支持Nano SIM卡，TF卡</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7</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开关机键</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用于设备开关机</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8</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SOS按键</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用于设备一键SOS求救功能</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1</w:t>
            </w:r>
            <w:r>
              <w:rPr>
                <w:rFonts w:cs="宋体"/>
                <w:color w:val="auto"/>
              </w:rPr>
              <w:t>9</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磁吸功能</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设备底部磁吸固定设计，无需对星即可方便使用</w:t>
            </w:r>
          </w:p>
        </w:tc>
      </w:tr>
      <w:tr>
        <w:tblPrEx>
          <w:tblCellMar>
            <w:top w:w="0" w:type="dxa"/>
            <w:left w:w="108" w:type="dxa"/>
            <w:bottom w:w="0" w:type="dxa"/>
            <w:right w:w="108" w:type="dxa"/>
          </w:tblCellMar>
        </w:tblPrEx>
        <w:trPr>
          <w:trHeight w:val="349" w:hRule="atLeast"/>
          <w:jc w:val="center"/>
        </w:trPr>
        <w:tc>
          <w:tcPr>
            <w:tcW w:w="3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宋体"/>
                <w:color w:val="auto"/>
              </w:rPr>
            </w:pPr>
            <w:r>
              <w:rPr>
                <w:rFonts w:hint="eastAsia" w:cs="宋体"/>
                <w:color w:val="auto"/>
              </w:rPr>
              <w:t>20</w:t>
            </w:r>
          </w:p>
        </w:tc>
        <w:tc>
          <w:tcPr>
            <w:tcW w:w="714"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使用资费</w:t>
            </w:r>
          </w:p>
        </w:tc>
        <w:tc>
          <w:tcPr>
            <w:tcW w:w="3975" w:type="pct"/>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cs="宋体"/>
                <w:color w:val="auto"/>
              </w:rPr>
            </w:pPr>
            <w:r>
              <w:rPr>
                <w:rFonts w:hint="eastAsia" w:cs="宋体"/>
                <w:color w:val="auto"/>
              </w:rPr>
              <w:t>含1个SIM卡及3年通信资费（不少于750分钟及500条短消息），SIM卡号码统一采用南方电网应急通信号码资源</w:t>
            </w:r>
          </w:p>
        </w:tc>
      </w:tr>
    </w:tbl>
    <w:p>
      <w:pPr>
        <w:pStyle w:val="118"/>
        <w:numPr>
          <w:ilvl w:val="2"/>
          <w:numId w:val="25"/>
        </w:numPr>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 xml:space="preserve">频率申请 </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根据《国家无线电办公室关于150MHz和400MHz频段对讲机频率使用管理和设备技术要求有关事宜的通知》（国无办〔2025〕1号）相关规定，专用对讲机是指专用于相关部门、行业或单位等进行无线通信和指挥调度的对讲机。专用对讲机频率有省无线电管理机构进行规划。400MHz 频段专用对讲机同频单工和异频单工的信道间隔为12.5kHz 或6.25kHz。400MHz 频段专用对讲机异频单工的收发间隔为10MHz。</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各地遇有重大活动和任务需要临时使用由国家无线电管理机构实施许可的专用对讲机频率的，由相关省、自治区、直辖市无线电管理机构向国家无线电管理机构提出申请。</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频率分配和使用规划及频率台站以属地化管理为主：</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（1）各地无线电管理机构可在频率分配方案的基础上，结合当地实际情况，对各省(自治区、直辖市)可分配或指配的频率进行频率分配和使用的规划；</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（2）各地无线电管理机构在规划过程中，对涉及公共安全、安全生产、减灾救灾等特殊用途的使用需求，原则上应保证业务使用的延续性；</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（3）对部分具有跨区域性特点的使用需求，应和相邻省(自治区、直辖市)无线电管理机构进行充分协调。</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（4）各地规划方案实施前应报国家无线电主管部门备案。</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无线电发射设备均须取得工业和信息化部核发的无线电发射设备型号核准证。</w:t>
      </w:r>
    </w:p>
    <w:p>
      <w:pPr>
        <w:numPr>
          <w:ilvl w:val="255"/>
          <w:numId w:val="0"/>
        </w:numPr>
        <w:shd w:val="clear" w:color="auto" w:fill="FFFFFF"/>
        <w:autoSpaceDE w:val="0"/>
        <w:autoSpaceDN w:val="0"/>
        <w:adjustRightInd w:val="0"/>
        <w:spacing w:line="360" w:lineRule="auto"/>
        <w:ind w:firstLine="480" w:firstLineChars="200"/>
        <w:jc w:val="left"/>
        <w:rPr>
          <w:rFonts w:ascii="Times New Roman" w:hAnsi="Times New Roman"/>
          <w:color w:val="auto"/>
          <w:sz w:val="24"/>
          <w:szCs w:val="24"/>
          <w:shd w:val="clear" w:color="auto" w:fill="FFFFFF"/>
          <w:lang w:bidi="ar"/>
        </w:rPr>
      </w:pPr>
      <w:r>
        <w:rPr>
          <w:rFonts w:hint="eastAsia" w:ascii="Times New Roman" w:hAnsi="Times New Roman"/>
          <w:color w:val="auto"/>
          <w:sz w:val="24"/>
          <w:szCs w:val="24"/>
          <w:shd w:val="clear" w:color="auto" w:fill="FFFFFF"/>
          <w:lang w:bidi="ar"/>
        </w:rPr>
        <w:t>中标方应向广东省无线电管理机构申请本项目所需的频率，400MHz频段申请存在一定不确定性，需中标方与当地无线电管理机构提前沟通确认，避免无频率资源可用的风险。</w:t>
      </w:r>
    </w:p>
    <w:p>
      <w:pPr>
        <w:pStyle w:val="4"/>
        <w:widowControl/>
        <w:numPr>
          <w:ilvl w:val="1"/>
          <w:numId w:val="25"/>
        </w:numPr>
        <w:spacing w:line="360" w:lineRule="auto"/>
        <w:rPr>
          <w:rFonts w:ascii="Times New Roman" w:hAnsi="Times New Roman"/>
          <w:b/>
          <w:bCs/>
          <w:color w:val="auto"/>
          <w:sz w:val="24"/>
          <w:szCs w:val="24"/>
        </w:rPr>
      </w:pPr>
      <w:bookmarkStart w:id="243" w:name="_Toc22920"/>
      <w:bookmarkStart w:id="244" w:name="_Toc2292"/>
      <w:bookmarkStart w:id="245" w:name="_Toc21823"/>
      <w:bookmarkStart w:id="246" w:name="_Toc21808"/>
      <w:bookmarkStart w:id="247" w:name="_Toc22262"/>
      <w:bookmarkStart w:id="248" w:name="_Toc20731"/>
      <w:bookmarkStart w:id="249" w:name="_Toc30493"/>
      <w:r>
        <w:rPr>
          <w:rFonts w:ascii="Times New Roman" w:hAnsi="Times New Roman"/>
          <w:b/>
          <w:bCs/>
          <w:color w:val="auto"/>
          <w:sz w:val="24"/>
          <w:szCs w:val="24"/>
        </w:rPr>
        <w:t>电厂信通仪器仪表设备</w:t>
      </w:r>
      <w:bookmarkEnd w:id="243"/>
      <w:bookmarkEnd w:id="244"/>
      <w:bookmarkEnd w:id="245"/>
      <w:bookmarkEnd w:id="246"/>
      <w:bookmarkEnd w:id="247"/>
      <w:bookmarkEnd w:id="248"/>
      <w:bookmarkEnd w:id="249"/>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lang w:bidi="ar"/>
        </w:rPr>
        <w:t>数字万用表技术要求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多用途电子测量仪器，一般包含安培计、电压表、欧姆计等功能，用于基本故障诊断的便携式装置，技术要求如下：</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1）任何端子和接地之间的MAX电压：1000V；</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2）显示器（LCD）：4000次计数，每秒更新3次；</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3）工作温度：0℃至40℃；</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4）存储温度：-30℃至60℃；</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5）所有电流、频率和占空比的范围都是量程的1% 到 100 %。未指定低于量程1% 的输</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入值；</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6）通常，开路测试电压为 2.0V，短路电流 &lt;0.6 mA；</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7）规格不包括测试引线电容和电容板引起的误差(量程为40nF 时，误差 MAX 为 1.5 nF)；</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8）频率为 50 Hz或 60 Hz，占空比介于 10 % 和 90 % 之间。</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OTDR（光时域反射仪）技术要求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测量单模光纤上光连接器、光纤接头、熔接点的位置和插入损耗信息，25600个采样点，5.6英寸TFT触摸显示屏，测试里程大于100km。</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光纤端面检测仪技术要求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查看光纤端面的制作工艺及使用过程中是否存在光口脏污等问题导致的通光不良。工作波长：1300/1310/1550   光接口：FC, SC, ST  输出功率：850/1300/1310/1550/1490/1625：-6 (error:±0.2)</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光纤识别仪技术要求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可以测量信号方向及功率，宏弯检测不损伤光纤，能识别270Hz,1KHz, 2KHz的调制信号，载波识别功能。</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2M测试仪技术要求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主要用于测量通信线路数据通信的误码率和分析线路故障的原因。可方便的完成对2M系统，N×64K信道传输参数测量及日常维护测试。高达9个测试设置存储，20个测试结果存储，并具有掉电记忆功能；比特误码、编码误码、帧误码、CRC误码、E比特误码性能测试、信号丢失、AIS告警、帧远端告警、复帧远端告警、帧失步、图案失步告警测试；</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光纤在线纤序查找器套件技术要求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可以有效解决在线业务光纤的识别，无需断开业务，只要在被测尾纤的一端夹上一个音频发生器，另一端通过光纤识别仪即可查找到对应同一光路的光纤。适用光纤类型：900μm 、2mm、3mm，测试时间：小于6s。</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红光笔技术要求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大功率650nm激光发光器件，纤识别和故障定位，可输出连续光或1Hz调变闪烁，笔型设计，体积小，重量轻，易于携带。输出功率10mw。</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蓄电池内阻测试仪技术要求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在线测量电池的电压、内阻等参数.仪表在0.000mΩ-99.999mΩ测量范围自动转换量程，测试电池电压等级:2V、6V、12V、永久存储999组电池参数（每组最多500节电池）。</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视频监控测试仪（工程宝）技术要求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显示屏大于8英寸，双千兆网口，支持分辨率8K及以上。</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尾纤对号器技术要求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在线测试光纤，无需中断业务，能识别270Hz,1KHz,2KHz的调制信号，显示相对光功率。</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光缆在线监测设备技术要求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含1个2U机架，1块主控盘，1块交换盘，1块光开关，1套网管软件</w:t>
      </w:r>
      <w:r>
        <w:rPr>
          <w:rFonts w:hint="eastAsia" w:ascii="Times New Roman" w:hAnsi="Times New Roman"/>
          <w:color w:val="auto"/>
          <w:kern w:val="0"/>
          <w:sz w:val="24"/>
          <w:szCs w:val="24"/>
          <w:lang w:val="en-US" w:eastAsia="zh-CN"/>
        </w:rPr>
        <w:t>及硬件</w:t>
      </w:r>
      <w:r>
        <w:rPr>
          <w:rFonts w:ascii="Times New Roman" w:hAnsi="Times New Roman"/>
          <w:color w:val="auto"/>
          <w:kern w:val="0"/>
          <w:sz w:val="24"/>
          <w:szCs w:val="24"/>
        </w:rPr>
        <w:t>，1套BS网管客户端，配件及耗材等。</w:t>
      </w:r>
    </w:p>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蓄电池放电仪技术要求</w:t>
      </w:r>
    </w:p>
    <w:tbl>
      <w:tblPr>
        <w:tblStyle w:val="57"/>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2652"/>
        <w:gridCol w:w="6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blHeader/>
          <w:jc w:val="center"/>
        </w:trPr>
        <w:tc>
          <w:tcPr>
            <w:tcW w:w="342" w:type="pct"/>
            <w:noWrap w:val="0"/>
            <w:vAlign w:val="center"/>
          </w:tcPr>
          <w:p>
            <w:pPr>
              <w:spacing w:line="360" w:lineRule="auto"/>
              <w:ind w:firstLine="0" w:firstLineChars="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单体电压测量类型</w:t>
            </w:r>
          </w:p>
        </w:tc>
        <w:tc>
          <w:tcPr>
            <w:tcW w:w="3321" w:type="pct"/>
            <w:noWrap w:val="0"/>
            <w:vAlign w:val="center"/>
          </w:tcPr>
          <w:p>
            <w:pPr>
              <w:tabs>
                <w:tab w:val="left" w:pos="840"/>
              </w:tabs>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2V、6V、12V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单体电压测量范围</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0-16V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b w:val="0"/>
                <w:bCs w:val="0"/>
                <w:color w:val="auto"/>
                <w:sz w:val="24"/>
                <w:szCs w:val="24"/>
              </w:rPr>
              <w:t>单体电压分辨率</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2V/6V</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12V：0.0</w:t>
            </w:r>
            <w:r>
              <w:rPr>
                <w:rFonts w:hint="eastAsia" w:ascii="Times New Roman" w:hAnsi="Times New Roman" w:cs="Times New Roman"/>
                <w:color w:val="auto"/>
                <w:sz w:val="24"/>
                <w:szCs w:val="24"/>
                <w:lang w:val="en-US" w:eastAsia="zh-CN"/>
              </w:rPr>
              <w:t>0</w:t>
            </w:r>
            <w:r>
              <w:rPr>
                <w:rFonts w:hint="default" w:ascii="Times New Roman" w:hAnsi="Times New Roman" w:cs="Times New Roman"/>
                <w:color w:val="auto"/>
                <w:sz w:val="24"/>
                <w:szCs w:val="24"/>
              </w:rPr>
              <w:t>1V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b w:val="0"/>
                <w:bCs w:val="0"/>
                <w:color w:val="auto"/>
                <w:sz w:val="24"/>
                <w:szCs w:val="24"/>
              </w:rPr>
              <w:t>整组电压测量范围</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0～600V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整组电压分辨率</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0.01V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电压测试精度</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7</w:t>
            </w:r>
          </w:p>
        </w:tc>
        <w:tc>
          <w:tcPr>
            <w:tcW w:w="1335" w:type="pct"/>
            <w:noWrap w:val="0"/>
            <w:vAlign w:val="center"/>
          </w:tcPr>
          <w:p>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放电电流工作范围</w:t>
            </w:r>
          </w:p>
        </w:tc>
        <w:tc>
          <w:tcPr>
            <w:tcW w:w="3321" w:type="pct"/>
            <w:noWrap w:val="0"/>
            <w:vAlign w:val="center"/>
          </w:tcPr>
          <w:p>
            <w:pPr>
              <w:jc w:val="center"/>
              <w:rPr>
                <w:rFonts w:hint="default" w:ascii="Times New Roman" w:hAnsi="Times New Roman" w:cs="Times New Roman"/>
                <w:b w:val="0"/>
                <w:bCs w:val="0"/>
                <w:color w:val="auto"/>
                <w:sz w:val="24"/>
                <w:szCs w:val="24"/>
              </w:rPr>
            </w:pPr>
            <w:r>
              <w:rPr>
                <w:rFonts w:hint="eastAsia" w:ascii="Times New Roman" w:hAnsi="Times New Roman" w:cs="Times New Roman"/>
                <w:b w:val="0"/>
                <w:bCs w:val="0"/>
                <w:color w:val="auto"/>
                <w:sz w:val="24"/>
                <w:szCs w:val="24"/>
                <w:lang w:val="en-US" w:eastAsia="zh-CN"/>
              </w:rPr>
              <w:t>2</w:t>
            </w:r>
            <w:r>
              <w:rPr>
                <w:rFonts w:hint="default" w:ascii="Times New Roman" w:hAnsi="Times New Roman" w:cs="Times New Roman"/>
                <w:b w:val="0"/>
                <w:bCs w:val="0"/>
                <w:color w:val="auto"/>
                <w:sz w:val="24"/>
                <w:szCs w:val="24"/>
              </w:rPr>
              <w:t>A～</w:t>
            </w:r>
            <w:r>
              <w:rPr>
                <w:rFonts w:hint="eastAsia" w:ascii="Times New Roman" w:hAnsi="Times New Roman" w:cs="Times New Roman"/>
                <w:b w:val="0"/>
                <w:bCs w:val="0"/>
                <w:color w:val="auto"/>
                <w:sz w:val="24"/>
                <w:szCs w:val="24"/>
                <w:lang w:val="en-US" w:eastAsia="zh-CN"/>
              </w:rPr>
              <w:t>10</w:t>
            </w:r>
            <w:r>
              <w:rPr>
                <w:rFonts w:hint="default" w:ascii="Times New Roman" w:hAnsi="Times New Roman" w:cs="Times New Roman"/>
                <w:b w:val="0"/>
                <w:bCs w:val="0"/>
                <w:color w:val="auto"/>
                <w:sz w:val="24"/>
                <w:szCs w:val="24"/>
              </w:rPr>
              <w:t>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w:t>
            </w:r>
          </w:p>
        </w:tc>
        <w:tc>
          <w:tcPr>
            <w:tcW w:w="1335" w:type="pct"/>
            <w:noWrap w:val="0"/>
            <w:vAlign w:val="center"/>
          </w:tcPr>
          <w:p>
            <w:pPr>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恒流放电范围</w:t>
            </w:r>
          </w:p>
        </w:tc>
        <w:tc>
          <w:tcPr>
            <w:tcW w:w="3321" w:type="pct"/>
            <w:noWrap w:val="0"/>
            <w:vAlign w:val="center"/>
          </w:tcPr>
          <w:p>
            <w:pPr>
              <w:jc w:val="center"/>
              <w:rPr>
                <w:rFonts w:hint="default" w:ascii="Times New Roman" w:hAnsi="Times New Roman" w:eastAsia="宋体" w:cs="Times New Roman"/>
                <w:b w:val="0"/>
                <w:bCs w:val="0"/>
                <w:color w:val="auto"/>
                <w:spacing w:val="0"/>
                <w:kern w:val="2"/>
                <w:sz w:val="24"/>
                <w:szCs w:val="24"/>
                <w:lang w:val="en-US" w:eastAsia="zh-CN"/>
              </w:rPr>
            </w:pPr>
            <w:r>
              <w:rPr>
                <w:rFonts w:hint="default" w:ascii="Times New Roman" w:hAnsi="Times New Roman" w:cs="Times New Roman"/>
                <w:color w:val="auto"/>
                <w:sz w:val="24"/>
                <w:szCs w:val="24"/>
              </w:rPr>
              <w:t>2V/6V</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12V</w:t>
            </w:r>
            <w:r>
              <w:rPr>
                <w:rFonts w:hint="eastAsia" w:ascii="Times New Roman" w:hAnsi="Times New Roman" w:cs="Times New Roman"/>
                <w:b w:val="0"/>
                <w:bCs w:val="0"/>
                <w:color w:val="auto"/>
                <w:sz w:val="24"/>
                <w:szCs w:val="24"/>
                <w:lang w:val="en-US" w:eastAsia="zh-CN"/>
              </w:rPr>
              <w:t>蓄电池放电电流：</w:t>
            </w:r>
            <w:r>
              <w:rPr>
                <w:rFonts w:hint="eastAsia" w:ascii="Times New Roman" w:hAnsi="Times New Roman" w:eastAsia="宋体" w:cs="Times New Roman"/>
                <w:b w:val="0"/>
                <w:bCs w:val="0"/>
                <w:color w:val="auto"/>
                <w:spacing w:val="0"/>
                <w:kern w:val="2"/>
                <w:sz w:val="24"/>
                <w:szCs w:val="24"/>
                <w:lang w:val="en-US" w:eastAsia="zh-CN"/>
              </w:rPr>
              <w:t>≤</w:t>
            </w:r>
            <w:r>
              <w:rPr>
                <w:rFonts w:hint="eastAsia" w:ascii="Times New Roman" w:hAnsi="Times New Roman" w:cs="Times New Roman"/>
                <w:b w:val="0"/>
                <w:bCs w:val="0"/>
                <w:color w:val="auto"/>
                <w:sz w:val="24"/>
                <w:szCs w:val="24"/>
                <w:lang w:val="en-US" w:eastAsia="zh-CN"/>
              </w:rPr>
              <w:t>16</w:t>
            </w:r>
            <w:r>
              <w:rPr>
                <w:rFonts w:hint="default" w:ascii="Times New Roman" w:hAnsi="Times New Roman" w:cs="Times New Roman"/>
                <w:b w:val="0"/>
                <w:bCs w:val="0"/>
                <w:color w:val="auto"/>
                <w:sz w:val="24"/>
                <w:szCs w:val="24"/>
              </w:rPr>
              <w:t>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9</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放电电流控制精度</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10</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电流测试精度</w:t>
            </w:r>
          </w:p>
        </w:tc>
        <w:tc>
          <w:tcPr>
            <w:tcW w:w="3321"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11</w:t>
            </w:r>
          </w:p>
        </w:tc>
        <w:tc>
          <w:tcPr>
            <w:tcW w:w="1335" w:type="pct"/>
            <w:noWrap w:val="0"/>
            <w:vAlign w:val="center"/>
          </w:tcPr>
          <w:p>
            <w:pPr>
              <w:jc w:val="center"/>
              <w:rPr>
                <w:rFonts w:hint="default" w:ascii="Times New Roman" w:hAnsi="Times New Roman" w:cs="Times New Roman"/>
                <w:b/>
                <w:bCs/>
                <w:color w:val="auto"/>
                <w:sz w:val="24"/>
                <w:szCs w:val="24"/>
              </w:rPr>
            </w:pPr>
            <w:r>
              <w:rPr>
                <w:rFonts w:hint="eastAsia" w:ascii="Times New Roman" w:hAnsi="Times New Roman" w:cs="Times New Roman"/>
                <w:b w:val="0"/>
                <w:bCs w:val="0"/>
                <w:color w:val="auto"/>
                <w:kern w:val="0"/>
                <w:sz w:val="24"/>
                <w:szCs w:val="24"/>
                <w:lang w:val="en-US" w:eastAsia="zh-CN"/>
              </w:rPr>
              <w:t>整组蓄</w:t>
            </w:r>
            <w:r>
              <w:rPr>
                <w:rFonts w:hint="default" w:ascii="Times New Roman" w:hAnsi="Times New Roman" w:cs="Times New Roman"/>
                <w:b w:val="0"/>
                <w:bCs w:val="0"/>
                <w:color w:val="auto"/>
                <w:sz w:val="24"/>
                <w:szCs w:val="24"/>
              </w:rPr>
              <w:t>电池容量核对范围</w:t>
            </w:r>
          </w:p>
        </w:tc>
        <w:tc>
          <w:tcPr>
            <w:tcW w:w="3321" w:type="pct"/>
            <w:noWrap w:val="0"/>
            <w:vAlign w:val="center"/>
          </w:tcPr>
          <w:p>
            <w:pPr>
              <w:jc w:val="center"/>
              <w:rPr>
                <w:rFonts w:hint="default" w:ascii="Times New Roman" w:hAnsi="Times New Roman" w:cs="Times New Roman"/>
                <w:b w:val="0"/>
                <w:bCs w:val="0"/>
                <w:color w:val="auto"/>
                <w:sz w:val="24"/>
                <w:szCs w:val="24"/>
              </w:rPr>
            </w:pPr>
            <w:r>
              <w:rPr>
                <w:rFonts w:hint="eastAsia" w:ascii="Times New Roman" w:hAnsi="Times New Roman" w:cs="Times New Roman"/>
                <w:b w:val="0"/>
                <w:bCs w:val="0"/>
                <w:color w:val="auto"/>
                <w:sz w:val="24"/>
                <w:szCs w:val="24"/>
                <w:lang w:val="en-US" w:eastAsia="zh-CN"/>
              </w:rPr>
              <w:t>2</w:t>
            </w:r>
            <w:r>
              <w:rPr>
                <w:rFonts w:hint="default" w:ascii="Times New Roman" w:hAnsi="Times New Roman" w:cs="Times New Roman"/>
                <w:b w:val="0"/>
                <w:bCs w:val="0"/>
                <w:color w:val="auto"/>
                <w:sz w:val="24"/>
                <w:szCs w:val="24"/>
              </w:rPr>
              <w:t>0Ah～</w:t>
            </w:r>
            <w:r>
              <w:rPr>
                <w:rFonts w:hint="eastAsia" w:ascii="Times New Roman" w:hAnsi="Times New Roman" w:cs="Times New Roman"/>
                <w:b w:val="0"/>
                <w:bCs w:val="0"/>
                <w:color w:val="auto"/>
                <w:sz w:val="24"/>
                <w:szCs w:val="24"/>
                <w:lang w:val="en-US" w:eastAsia="zh-CN"/>
              </w:rPr>
              <w:t>16</w:t>
            </w:r>
            <w:r>
              <w:rPr>
                <w:rFonts w:hint="default" w:ascii="Times New Roman" w:hAnsi="Times New Roman" w:cs="Times New Roman"/>
                <w:b w:val="0"/>
                <w:bCs w:val="0"/>
                <w:color w:val="auto"/>
                <w:sz w:val="24"/>
                <w:szCs w:val="24"/>
              </w:rPr>
              <w:t>00Ah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12</w:t>
            </w:r>
          </w:p>
        </w:tc>
        <w:tc>
          <w:tcPr>
            <w:tcW w:w="1335" w:type="pct"/>
            <w:noWrap w:val="0"/>
            <w:vAlign w:val="center"/>
          </w:tcPr>
          <w:p>
            <w:pPr>
              <w:jc w:val="center"/>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val="0"/>
                <w:bCs w:val="0"/>
                <w:color w:val="auto"/>
                <w:kern w:val="0"/>
                <w:sz w:val="24"/>
                <w:szCs w:val="24"/>
                <w:lang w:val="en-US" w:eastAsia="zh-CN"/>
              </w:rPr>
              <w:t>蓄电池</w:t>
            </w:r>
            <w:r>
              <w:rPr>
                <w:rFonts w:hint="default" w:ascii="Times New Roman" w:hAnsi="Times New Roman" w:cs="Times New Roman"/>
                <w:b w:val="0"/>
                <w:bCs w:val="0"/>
                <w:color w:val="auto"/>
                <w:sz w:val="24"/>
                <w:szCs w:val="24"/>
              </w:rPr>
              <w:t>单体电压</w:t>
            </w:r>
            <w:r>
              <w:rPr>
                <w:rFonts w:hint="eastAsia" w:ascii="Times New Roman" w:hAnsi="Times New Roman" w:cs="Times New Roman"/>
                <w:b w:val="0"/>
                <w:bCs w:val="0"/>
                <w:color w:val="auto"/>
                <w:sz w:val="24"/>
                <w:szCs w:val="24"/>
                <w:lang w:val="en-US" w:eastAsia="zh-CN"/>
              </w:rPr>
              <w:t>数据</w:t>
            </w:r>
            <w:r>
              <w:rPr>
                <w:rFonts w:hint="default" w:ascii="Times New Roman" w:hAnsi="Times New Roman" w:cs="Times New Roman"/>
                <w:b w:val="0"/>
                <w:bCs w:val="0"/>
                <w:color w:val="auto"/>
                <w:sz w:val="24"/>
                <w:szCs w:val="24"/>
              </w:rPr>
              <w:t>采集方式</w:t>
            </w:r>
            <w:r>
              <w:rPr>
                <w:rFonts w:hint="eastAsia" w:ascii="Times New Roman" w:hAnsi="Times New Roman" w:cs="Times New Roman"/>
                <w:b w:val="0"/>
                <w:bCs w:val="0"/>
                <w:color w:val="auto"/>
                <w:sz w:val="24"/>
                <w:szCs w:val="24"/>
                <w:lang w:val="en-US" w:eastAsia="zh-CN"/>
              </w:rPr>
              <w:t>与数量</w:t>
            </w:r>
          </w:p>
        </w:tc>
        <w:tc>
          <w:tcPr>
            <w:tcW w:w="3321" w:type="pct"/>
            <w:noWrap w:val="0"/>
            <w:vAlign w:val="center"/>
          </w:tcPr>
          <w:p>
            <w:pPr>
              <w:jc w:val="left"/>
              <w:rPr>
                <w:rFonts w:hint="default" w:ascii="Times New Roman" w:hAnsi="Times New Roman" w:cs="Times New Roman"/>
                <w:b w:val="0"/>
                <w:bCs w:val="0"/>
                <w:color w:val="auto"/>
                <w:sz w:val="24"/>
                <w:szCs w:val="24"/>
              </w:rPr>
            </w:pPr>
            <w:r>
              <w:rPr>
                <w:rFonts w:hint="eastAsia" w:ascii="Times New Roman" w:hAnsi="Times New Roman" w:cs="Times New Roman"/>
                <w:b w:val="0"/>
                <w:bCs w:val="0"/>
                <w:color w:val="auto"/>
                <w:sz w:val="24"/>
                <w:szCs w:val="24"/>
                <w:lang w:val="en-US" w:eastAsia="zh-CN"/>
              </w:rPr>
              <w:t>采集模块至放电仪的数据传输支持无线方式及有线方式，采集模块至各个单体蓄电池使用</w:t>
            </w:r>
            <w:r>
              <w:rPr>
                <w:rFonts w:hint="eastAsia" w:ascii="Times New Roman" w:hAnsi="Times New Roman" w:cs="Times New Roman"/>
                <w:b w:val="0"/>
                <w:bCs w:val="0"/>
                <w:color w:val="auto"/>
                <w:kern w:val="0"/>
                <w:sz w:val="24"/>
                <w:szCs w:val="24"/>
                <w:lang w:val="en-US" w:eastAsia="zh-CN"/>
              </w:rPr>
              <w:t>钳夹类型</w:t>
            </w:r>
            <w:r>
              <w:rPr>
                <w:rFonts w:hint="eastAsia" w:ascii="Times New Roman" w:hAnsi="Times New Roman" w:cs="Times New Roman"/>
                <w:b w:val="0"/>
                <w:bCs w:val="0"/>
                <w:color w:val="auto"/>
                <w:sz w:val="24"/>
                <w:szCs w:val="24"/>
                <w:lang w:val="en-US" w:eastAsia="zh-CN"/>
              </w:rPr>
              <w:t>，采集数量上，2V蓄电池：共可采集不少于210个蓄电池，6V蓄电池：共可采集不少于80个蓄电池</w:t>
            </w:r>
            <w:r>
              <w:rPr>
                <w:rFonts w:hint="eastAsia" w:ascii="Times New Roman" w:hAnsi="Times New Roman" w:cs="Times New Roman"/>
                <w:b w:val="0"/>
                <w:bCs w:val="0"/>
                <w:color w:val="auto"/>
                <w:sz w:val="24"/>
                <w:szCs w:val="24"/>
                <w:lang w:eastAsia="zh-CN"/>
              </w:rPr>
              <w:t>，</w:t>
            </w:r>
            <w:r>
              <w:rPr>
                <w:rFonts w:hint="eastAsia" w:ascii="Times New Roman" w:hAnsi="Times New Roman" w:cs="Times New Roman"/>
                <w:b w:val="0"/>
                <w:bCs w:val="0"/>
                <w:color w:val="auto"/>
                <w:sz w:val="24"/>
                <w:szCs w:val="24"/>
                <w:lang w:val="en-US" w:eastAsia="zh-CN"/>
              </w:rPr>
              <w:t>12V蓄电池：共可采集不少于42个蓄电池</w:t>
            </w:r>
            <w:r>
              <w:rPr>
                <w:rFonts w:hint="default" w:ascii="Times New Roman" w:hAnsi="Times New Roman" w:cs="Times New Roman"/>
                <w:b w:val="0"/>
                <w:bCs w:val="0"/>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13</w:t>
            </w:r>
          </w:p>
        </w:tc>
        <w:tc>
          <w:tcPr>
            <w:tcW w:w="1335" w:type="pct"/>
            <w:noWrap w:val="0"/>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b w:val="0"/>
                <w:bCs w:val="0"/>
                <w:color w:val="auto"/>
                <w:sz w:val="24"/>
                <w:szCs w:val="24"/>
              </w:rPr>
              <w:t>显示方式</w:t>
            </w:r>
          </w:p>
        </w:tc>
        <w:tc>
          <w:tcPr>
            <w:tcW w:w="3321" w:type="pct"/>
            <w:noWrap w:val="0"/>
            <w:vAlign w:val="center"/>
          </w:tcPr>
          <w:p>
            <w:pPr>
              <w:jc w:val="center"/>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7寸LCD液晶触摸屏，分辨率1024*800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val="en-US" w:eastAsia="zh-CN"/>
              </w:rPr>
              <w:t>4</w:t>
            </w:r>
          </w:p>
        </w:tc>
        <w:tc>
          <w:tcPr>
            <w:tcW w:w="1335" w:type="pct"/>
            <w:noWrap w:val="0"/>
            <w:vAlign w:val="center"/>
          </w:tcPr>
          <w:p>
            <w:pPr>
              <w:jc w:val="center"/>
              <w:rPr>
                <w:rFonts w:hint="default" w:ascii="Times New Roman" w:hAnsi="Times New Roman" w:eastAsia="宋体" w:cs="Times New Roman"/>
                <w:b w:val="0"/>
                <w:bCs w:val="0"/>
                <w:color w:val="auto"/>
                <w:kern w:val="0"/>
                <w:sz w:val="24"/>
                <w:szCs w:val="24"/>
              </w:rPr>
            </w:pPr>
            <w:r>
              <w:rPr>
                <w:rFonts w:hint="default" w:ascii="Times New Roman" w:hAnsi="Times New Roman" w:eastAsia="宋体" w:cs="Times New Roman"/>
                <w:b w:val="0"/>
                <w:bCs w:val="0"/>
                <w:color w:val="auto"/>
                <w:kern w:val="0"/>
                <w:sz w:val="24"/>
                <w:szCs w:val="24"/>
              </w:rPr>
              <w:t>工作电压</w:t>
            </w:r>
          </w:p>
        </w:tc>
        <w:tc>
          <w:tcPr>
            <w:tcW w:w="3321" w:type="pct"/>
            <w:noWrap w:val="0"/>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0"/>
                <w:sz w:val="24"/>
                <w:szCs w:val="24"/>
              </w:rPr>
              <w:t>AC 220±15%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val="en-US" w:eastAsia="zh-CN"/>
              </w:rPr>
              <w:t>5</w:t>
            </w:r>
          </w:p>
        </w:tc>
        <w:tc>
          <w:tcPr>
            <w:tcW w:w="1335" w:type="pct"/>
            <w:noWrap w:val="0"/>
            <w:vAlign w:val="center"/>
          </w:tcPr>
          <w:p>
            <w:pPr>
              <w:jc w:val="center"/>
              <w:rPr>
                <w:rFonts w:hint="default" w:ascii="Times New Roman" w:hAnsi="Times New Roman" w:eastAsia="宋体" w:cs="Times New Roman"/>
                <w:b w:val="0"/>
                <w:bCs w:val="0"/>
                <w:color w:val="auto"/>
                <w:kern w:val="0"/>
                <w:sz w:val="24"/>
                <w:szCs w:val="24"/>
              </w:rPr>
            </w:pPr>
            <w:r>
              <w:rPr>
                <w:rFonts w:hint="default" w:ascii="Times New Roman" w:hAnsi="Times New Roman" w:eastAsia="宋体" w:cs="Times New Roman"/>
                <w:b w:val="0"/>
                <w:bCs w:val="0"/>
                <w:color w:val="auto"/>
                <w:kern w:val="0"/>
                <w:sz w:val="24"/>
                <w:szCs w:val="24"/>
              </w:rPr>
              <w:t>散热方式</w:t>
            </w:r>
          </w:p>
        </w:tc>
        <w:tc>
          <w:tcPr>
            <w:tcW w:w="3321" w:type="pct"/>
            <w:noWrap w:val="0"/>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0"/>
                <w:sz w:val="24"/>
                <w:szCs w:val="24"/>
              </w:rPr>
              <w:t>强风制冷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val="en-US" w:eastAsia="zh-CN"/>
              </w:rPr>
              <w:t>6</w:t>
            </w:r>
          </w:p>
        </w:tc>
        <w:tc>
          <w:tcPr>
            <w:tcW w:w="1335" w:type="pct"/>
            <w:noWrap w:val="0"/>
            <w:vAlign w:val="center"/>
          </w:tcPr>
          <w:p>
            <w:pPr>
              <w:jc w:val="center"/>
              <w:rPr>
                <w:rFonts w:hint="default" w:ascii="Times New Roman" w:hAnsi="Times New Roman" w:eastAsia="宋体" w:cs="Times New Roman"/>
                <w:b w:val="0"/>
                <w:bCs w:val="0"/>
                <w:color w:val="auto"/>
                <w:kern w:val="0"/>
                <w:sz w:val="24"/>
                <w:szCs w:val="24"/>
              </w:rPr>
            </w:pPr>
            <w:r>
              <w:rPr>
                <w:rFonts w:hint="default" w:ascii="Times New Roman" w:hAnsi="Times New Roman" w:eastAsia="宋体" w:cs="Times New Roman"/>
                <w:b w:val="0"/>
                <w:bCs w:val="0"/>
                <w:color w:val="auto"/>
                <w:kern w:val="0"/>
                <w:sz w:val="24"/>
                <w:szCs w:val="24"/>
              </w:rPr>
              <w:t>通讯方式</w:t>
            </w:r>
          </w:p>
        </w:tc>
        <w:tc>
          <w:tcPr>
            <w:tcW w:w="3321" w:type="pct"/>
            <w:noWrap w:val="0"/>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0"/>
                <w:sz w:val="24"/>
                <w:szCs w:val="24"/>
              </w:rPr>
              <w:t>USB口通讯</w:t>
            </w:r>
            <w:r>
              <w:rPr>
                <w:rFonts w:hint="eastAsia" w:ascii="宋体" w:hAnsi="宋体" w:eastAsia="宋体" w:cs="宋体"/>
                <w:b w:val="0"/>
                <w:bCs w:val="0"/>
                <w:color w:val="auto"/>
                <w:kern w:val="0"/>
                <w:sz w:val="24"/>
                <w:szCs w:val="24"/>
                <w:lang w:eastAsia="zh-CN"/>
              </w:rPr>
              <w:t>，</w:t>
            </w:r>
            <w:r>
              <w:rPr>
                <w:rFonts w:hint="eastAsia" w:ascii="宋体" w:hAnsi="宋体" w:eastAsia="宋体" w:cs="宋体"/>
                <w:b w:val="0"/>
                <w:bCs w:val="0"/>
                <w:color w:val="auto"/>
                <w:kern w:val="0"/>
                <w:sz w:val="24"/>
                <w:szCs w:val="24"/>
                <w:lang w:val="en-US" w:eastAsia="zh-CN"/>
              </w:rPr>
              <w:t>配专用数据导出U盘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17</w:t>
            </w:r>
          </w:p>
        </w:tc>
        <w:tc>
          <w:tcPr>
            <w:tcW w:w="1335" w:type="pct"/>
            <w:noWrap w:val="0"/>
            <w:vAlign w:val="center"/>
          </w:tcPr>
          <w:p>
            <w:pPr>
              <w:jc w:val="center"/>
              <w:rPr>
                <w:rFonts w:hint="default" w:ascii="Times New Roman" w:hAnsi="Times New Roman" w:eastAsia="宋体" w:cs="Times New Roman"/>
                <w:b w:val="0"/>
                <w:bCs w:val="0"/>
                <w:color w:val="auto"/>
                <w:kern w:val="0"/>
                <w:sz w:val="24"/>
                <w:szCs w:val="24"/>
              </w:rPr>
            </w:pPr>
            <w:r>
              <w:rPr>
                <w:rFonts w:ascii="宋体" w:hAnsi="宋体" w:eastAsia="宋体" w:cs="宋体"/>
                <w:color w:val="auto"/>
                <w:sz w:val="24"/>
                <w:szCs w:val="24"/>
              </w:rPr>
              <w:t>平均无故障工作时间</w:t>
            </w:r>
          </w:p>
        </w:tc>
        <w:tc>
          <w:tcPr>
            <w:tcW w:w="3321" w:type="pct"/>
            <w:noWrap w:val="0"/>
            <w:vAlign w:val="center"/>
          </w:tcPr>
          <w:p>
            <w:pPr>
              <w:jc w:val="center"/>
              <w:rPr>
                <w:rFonts w:hint="eastAsia" w:ascii="宋体" w:hAnsi="宋体" w:eastAsia="宋体" w:cs="宋体"/>
                <w:b w:val="0"/>
                <w:bCs w:val="0"/>
                <w:color w:val="auto"/>
                <w:kern w:val="0"/>
                <w:sz w:val="24"/>
                <w:szCs w:val="24"/>
              </w:rPr>
            </w:pPr>
            <w:r>
              <w:rPr>
                <w:rFonts w:hint="eastAsia" w:ascii="宋体" w:hAnsi="宋体" w:eastAsia="宋体" w:cs="宋体"/>
                <w:color w:val="auto"/>
                <w:sz w:val="24"/>
                <w:szCs w:val="24"/>
                <w:lang w:val="en-US" w:eastAsia="zh-CN"/>
              </w:rPr>
              <w:t>正常运行环境下</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0000h（整机）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18</w:t>
            </w:r>
          </w:p>
        </w:tc>
        <w:tc>
          <w:tcPr>
            <w:tcW w:w="1335" w:type="pct"/>
            <w:noWrap w:val="0"/>
            <w:vAlign w:val="center"/>
          </w:tcPr>
          <w:p>
            <w:pPr>
              <w:jc w:val="center"/>
              <w:rPr>
                <w:rFonts w:hint="eastAsia" w:ascii="宋体" w:hAnsi="宋体" w:eastAsia="宋体" w:cs="宋体"/>
                <w:color w:val="auto"/>
                <w:sz w:val="24"/>
                <w:szCs w:val="24"/>
                <w:lang w:val="en-US" w:eastAsia="zh-CN"/>
              </w:rPr>
            </w:pPr>
            <w:r>
              <w:rPr>
                <w:rFonts w:hint="eastAsia" w:cs="宋体"/>
                <w:color w:val="auto"/>
                <w:sz w:val="24"/>
                <w:szCs w:val="24"/>
                <w:lang w:val="en-US" w:eastAsia="zh-CN"/>
              </w:rPr>
              <w:t>安装方式</w:t>
            </w:r>
          </w:p>
        </w:tc>
        <w:tc>
          <w:tcPr>
            <w:tcW w:w="3321" w:type="pct"/>
            <w:noWrap w:val="0"/>
            <w:vAlign w:val="center"/>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便携（移动）式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19</w:t>
            </w:r>
          </w:p>
        </w:tc>
        <w:tc>
          <w:tcPr>
            <w:tcW w:w="1335" w:type="pct"/>
            <w:noWrap w:val="0"/>
            <w:vAlign w:val="center"/>
          </w:tcPr>
          <w:p>
            <w:pPr>
              <w:jc w:val="center"/>
              <w:rPr>
                <w:rFonts w:hint="default" w:cs="宋体"/>
                <w:color w:val="auto"/>
                <w:sz w:val="24"/>
                <w:szCs w:val="24"/>
                <w:lang w:val="en-US" w:eastAsia="zh-CN"/>
              </w:rPr>
            </w:pPr>
            <w:r>
              <w:rPr>
                <w:rFonts w:hint="eastAsia" w:cs="宋体"/>
                <w:color w:val="auto"/>
                <w:sz w:val="24"/>
                <w:szCs w:val="24"/>
                <w:lang w:val="en-US" w:eastAsia="zh-CN"/>
              </w:rPr>
              <w:t>报警准确度</w:t>
            </w:r>
          </w:p>
        </w:tc>
        <w:tc>
          <w:tcPr>
            <w:tcW w:w="3321" w:type="pct"/>
            <w:noWrap w:val="0"/>
            <w:vAlign w:val="center"/>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优于报警整定值的0.5%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2" w:type="pct"/>
            <w:noWrap w:val="0"/>
            <w:vAlign w:val="center"/>
          </w:tcPr>
          <w:p>
            <w:pPr>
              <w:jc w:val="center"/>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20</w:t>
            </w:r>
          </w:p>
        </w:tc>
        <w:tc>
          <w:tcPr>
            <w:tcW w:w="1335" w:type="pct"/>
            <w:noWrap w:val="0"/>
            <w:vAlign w:val="center"/>
          </w:tcPr>
          <w:p>
            <w:pPr>
              <w:jc w:val="center"/>
              <w:rPr>
                <w:rFonts w:hint="default" w:cs="宋体"/>
                <w:color w:val="auto"/>
                <w:sz w:val="24"/>
                <w:szCs w:val="24"/>
                <w:lang w:val="en-US" w:eastAsia="zh-CN"/>
              </w:rPr>
            </w:pPr>
            <w:r>
              <w:rPr>
                <w:rFonts w:hint="eastAsia" w:cs="宋体"/>
                <w:color w:val="auto"/>
                <w:sz w:val="24"/>
                <w:szCs w:val="24"/>
                <w:lang w:val="en-US" w:eastAsia="zh-CN"/>
              </w:rPr>
              <w:t>连续工作时间</w:t>
            </w:r>
          </w:p>
        </w:tc>
        <w:tc>
          <w:tcPr>
            <w:tcW w:w="3321" w:type="pct"/>
            <w:noWrap w:val="0"/>
            <w:vAlign w:val="center"/>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额定容量连续工作时间不小于12h</w:t>
            </w:r>
          </w:p>
        </w:tc>
      </w:tr>
    </w:tbl>
    <w:p>
      <w:pPr>
        <w:pStyle w:val="118"/>
        <w:numPr>
          <w:ilvl w:val="2"/>
          <w:numId w:val="25"/>
        </w:numPr>
        <w:spacing w:before="0" w:after="0"/>
        <w:outlineLvl w:val="2"/>
        <w:rPr>
          <w:rFonts w:ascii="Times New Roman" w:hAnsi="Times New Roman"/>
          <w:bCs w:val="0"/>
          <w:color w:val="auto"/>
          <w:sz w:val="24"/>
          <w:szCs w:val="24"/>
          <w:lang w:bidi="ar"/>
        </w:rPr>
      </w:pPr>
      <w:r>
        <w:rPr>
          <w:rFonts w:ascii="Times New Roman" w:hAnsi="Times New Roman"/>
          <w:bCs w:val="0"/>
          <w:color w:val="auto"/>
          <w:sz w:val="24"/>
          <w:szCs w:val="24"/>
          <w:lang w:bidi="ar"/>
        </w:rPr>
        <w:t>光功率计技术要求</w:t>
      </w:r>
    </w:p>
    <w:p>
      <w:pPr>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光功率计：应能达到 GB/T 15515-2008 光功率计技术条件中三级要求。</w:t>
      </w:r>
    </w:p>
    <w:bookmarkEnd w:id="216"/>
    <w:bookmarkEnd w:id="217"/>
    <w:bookmarkEnd w:id="218"/>
    <w:bookmarkEnd w:id="219"/>
    <w:p>
      <w:pPr>
        <w:pStyle w:val="3"/>
        <w:numPr>
          <w:ilvl w:val="0"/>
          <w:numId w:val="25"/>
        </w:numPr>
        <w:spacing w:line="360" w:lineRule="auto"/>
        <w:rPr>
          <w:rFonts w:ascii="Times New Roman" w:hAnsi="Times New Roman"/>
          <w:color w:val="auto"/>
          <w:sz w:val="24"/>
          <w:szCs w:val="24"/>
        </w:rPr>
      </w:pPr>
      <w:bookmarkStart w:id="250" w:name="_Toc167881925"/>
      <w:bookmarkStart w:id="251" w:name="_Toc25305"/>
      <w:bookmarkStart w:id="252" w:name="_Toc25902"/>
      <w:bookmarkStart w:id="253" w:name="_Toc5923"/>
      <w:bookmarkStart w:id="254" w:name="_Toc28304"/>
      <w:bookmarkStart w:id="255" w:name="_Toc23319"/>
      <w:bookmarkStart w:id="256" w:name="_Toc6029"/>
      <w:bookmarkStart w:id="257" w:name="_Toc5930"/>
      <w:bookmarkStart w:id="258" w:name="_Toc32306"/>
      <w:bookmarkStart w:id="259" w:name="_Toc13368"/>
      <w:bookmarkStart w:id="260" w:name="_Toc1177"/>
      <w:bookmarkStart w:id="261" w:name="_Toc17871"/>
      <w:bookmarkStart w:id="262" w:name="_Toc29158"/>
      <w:bookmarkStart w:id="263" w:name="_Toc20348"/>
      <w:bookmarkStart w:id="264" w:name="_Toc27579"/>
      <w:r>
        <w:rPr>
          <w:rFonts w:ascii="Times New Roman" w:hAnsi="Times New Roman"/>
          <w:color w:val="auto"/>
          <w:sz w:val="24"/>
          <w:szCs w:val="24"/>
        </w:rPr>
        <w:t>网络安全防护系统设备技术要求</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pPr>
        <w:pStyle w:val="4"/>
        <w:numPr>
          <w:ilvl w:val="1"/>
          <w:numId w:val="25"/>
        </w:numPr>
        <w:spacing w:line="360" w:lineRule="auto"/>
        <w:rPr>
          <w:rFonts w:ascii="Times New Roman" w:hAnsi="Times New Roman"/>
          <w:b/>
          <w:bCs/>
          <w:color w:val="auto"/>
          <w:sz w:val="24"/>
          <w:szCs w:val="24"/>
        </w:rPr>
      </w:pPr>
      <w:bookmarkStart w:id="265" w:name="_Toc29718"/>
      <w:bookmarkStart w:id="266" w:name="_Toc17547"/>
      <w:bookmarkStart w:id="267" w:name="_Toc7802"/>
      <w:bookmarkStart w:id="268" w:name="_Toc1053"/>
      <w:bookmarkStart w:id="269" w:name="_Toc1798"/>
      <w:bookmarkStart w:id="270" w:name="_Toc12350"/>
      <w:bookmarkStart w:id="271" w:name="_Toc6281"/>
      <w:bookmarkStart w:id="272" w:name="_Toc11050"/>
      <w:bookmarkStart w:id="273" w:name="_Toc32750"/>
      <w:bookmarkStart w:id="274" w:name="_Toc32556"/>
      <w:bookmarkStart w:id="275" w:name="_Toc18626"/>
      <w:bookmarkStart w:id="276" w:name="_Toc26797"/>
      <w:bookmarkStart w:id="277" w:name="_Toc10783"/>
      <w:bookmarkStart w:id="278" w:name="_Toc20181"/>
      <w:r>
        <w:rPr>
          <w:rFonts w:ascii="Times New Roman" w:hAnsi="Times New Roman"/>
          <w:b/>
          <w:bCs/>
          <w:color w:val="auto"/>
          <w:sz w:val="24"/>
          <w:szCs w:val="24"/>
        </w:rPr>
        <w:t>整体要求</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本期工程的网络安全防护系统相关设备需采用具备南方电网入网许可的安全可控设备。</w:t>
      </w:r>
    </w:p>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279" w:name="_Toc19634"/>
      <w:bookmarkStart w:id="280" w:name="_Toc24396"/>
      <w:bookmarkStart w:id="281" w:name="_Toc19650"/>
      <w:bookmarkStart w:id="282" w:name="_Toc14939"/>
      <w:bookmarkStart w:id="283" w:name="_Toc20288"/>
      <w:bookmarkStart w:id="284" w:name="_Toc10300"/>
      <w:bookmarkStart w:id="285" w:name="_Toc740"/>
      <w:bookmarkStart w:id="286" w:name="_Toc32118"/>
      <w:bookmarkStart w:id="287" w:name="_Toc3246"/>
      <w:bookmarkStart w:id="288" w:name="_Toc17192"/>
      <w:bookmarkStart w:id="289" w:name="_Toc25128"/>
      <w:r>
        <w:rPr>
          <w:rFonts w:ascii="Times New Roman" w:hAnsi="Times New Roman"/>
          <w:b/>
          <w:bCs/>
          <w:color w:val="auto"/>
          <w:sz w:val="24"/>
          <w:szCs w:val="24"/>
        </w:rPr>
        <w:t>防病毒服务器</w:t>
      </w:r>
      <w:bookmarkEnd w:id="279"/>
      <w:bookmarkEnd w:id="280"/>
      <w:bookmarkEnd w:id="281"/>
      <w:bookmarkEnd w:id="282"/>
      <w:bookmarkEnd w:id="283"/>
      <w:bookmarkEnd w:id="284"/>
      <w:bookmarkEnd w:id="285"/>
      <w:bookmarkEnd w:id="286"/>
      <w:bookmarkEnd w:id="287"/>
      <w:bookmarkEnd w:id="288"/>
      <w:bookmarkEnd w:id="289"/>
    </w:p>
    <w:tbl>
      <w:tblPr>
        <w:tblStyle w:val="5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8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b/>
                <w:bCs/>
                <w:color w:val="auto"/>
                <w:kern w:val="0"/>
                <w:sz w:val="24"/>
                <w:szCs w:val="24"/>
              </w:rPr>
            </w:pPr>
            <w:r>
              <w:rPr>
                <w:rFonts w:ascii="Times New Roman" w:hAnsi="Times New Roman"/>
                <w:b/>
                <w:bCs/>
                <w:color w:val="auto"/>
                <w:kern w:val="0"/>
                <w:sz w:val="24"/>
                <w:szCs w:val="24"/>
                <w:lang w:bidi="ar"/>
              </w:rPr>
              <w:t>指标项</w:t>
            </w: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b/>
                <w:bCs/>
                <w:color w:val="auto"/>
                <w:kern w:val="0"/>
                <w:sz w:val="24"/>
                <w:szCs w:val="24"/>
              </w:rPr>
            </w:pPr>
            <w:r>
              <w:rPr>
                <w:rFonts w:ascii="Times New Roman" w:hAnsi="Times New Roman"/>
                <w:b/>
                <w:bCs/>
                <w:color w:val="auto"/>
                <w:kern w:val="0"/>
                <w:sz w:val="24"/>
                <w:szCs w:val="24"/>
                <w:lang w:bidi="ar"/>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restart"/>
            <w:tcBorders>
              <w:top w:val="nil"/>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color w:val="auto"/>
                <w:kern w:val="0"/>
                <w:sz w:val="24"/>
                <w:szCs w:val="24"/>
              </w:rPr>
            </w:pPr>
            <w:r>
              <w:rPr>
                <w:rFonts w:ascii="Times New Roman" w:hAnsi="Times New Roman"/>
                <w:color w:val="auto"/>
                <w:kern w:val="0"/>
                <w:sz w:val="24"/>
                <w:szCs w:val="24"/>
                <w:lang w:bidi="ar"/>
              </w:rPr>
              <w:t>功能要求</w:t>
            </w: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系统应可以有效查杀包含而不限于国家病毒库已知病毒、未知恶意代码的攻击；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系统应支持</w:t>
            </w:r>
            <w:r>
              <w:rPr>
                <w:rFonts w:hint="eastAsia" w:ascii="Times New Roman" w:hAnsi="Times New Roman"/>
                <w:color w:val="auto"/>
                <w:kern w:val="0"/>
                <w:sz w:val="24"/>
                <w:szCs w:val="24"/>
                <w:lang w:bidi="ar"/>
              </w:rPr>
              <w:t>自主可控</w:t>
            </w:r>
            <w:r>
              <w:rPr>
                <w:rFonts w:ascii="Times New Roman" w:hAnsi="Times New Roman"/>
                <w:color w:val="auto"/>
                <w:kern w:val="0"/>
                <w:sz w:val="24"/>
                <w:szCs w:val="24"/>
                <w:lang w:bidi="ar"/>
              </w:rPr>
              <w:t>操作系统，支持虚拟化环境操作系统。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应支持对操作系统内所有可执行文件进行识别监控，可自动辨别安全和危险的可执行文件，即可识别“黑”和“白”可执行文件；I/II区范围内的系统要求严格可配置按照白名单可执行文件的运行；III区允许管理员设置是否允许未知文件的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系统具备对文件进行动态行为分析的模块，以提升系统对未知威胁判断处理的能力。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系统具备为全网可执行文件建立数据库或档案库，系统可根据数据库快速评估病毒感染的范围，提升病毒清除速度，可追溯病毒来源、传播路径并存储，提供病毒处理结果审计功能。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病毒查找功能，具备已知的病毒、木马、蠕虫的查找发现，未知可执行文件的分析功能，已知APT的查找、追溯功能，可自定义的定期查找功能、扫描日志功能。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病毒展示功能，可按终端类型、病毒类型分类展示查杀结果；后台数据库应具备全网病毒事件统计功能、具备全网高级威胁包括而不限于已知APT发现的病毒、溢出类、文档类病毒；具备基于网络拓扑结构与组织机构关系两种模型的网内终端威胁可视化功能，可清晰直观展示网内终端威胁态势；具备病毒数据排列功能如感染数量最多的客户端、未处理病毒事件统计功能；可统计未处理、已处理病毒统计信息。各类信息列表可按“升序”“降序”排列8、展示功能。可设置自定义“黑”“白”名单，具备一键查杀功能、文件隔离功能；可疑文件可根据实际情况，可选将文件转黑、转白、转待定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安全策略管理，系统具备针对不同场景下的新增文件、未知文件的管控，保证未知文件的安全运行，支持基线管理、用户自定义策略管理。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安全评估功能，管理中心数据库具备存储全网数据功能，提供界面展示各类统计数据，包括威胁文件、未知文件、违规行为、高危漏洞的统计数据，可展示文件各类详细信息包括而不限于路径、类型、级别等等。根据查杀数据提供各客户端安全评估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资产管理功能，具备网络探查功能，并以相应的拓扑展示各设备的连接信息，并具备对设备的管理功能包含而不限于增、删、改功能。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业务中心功能，提供通用、方便易懂的操作界面，引导用户通过简便的操作向导，实现病毒查杀任务。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系统管理功能，用户管理功能，允许管理员定义用户、权限、角色管理，根据需求给相应的用户分配相应的角色和权限。支持多级管理；具备所辖所有客户端管理功能。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日志管理功能，系统具备日志审计、管理功能，管理的日志包括扫描日志、策略日志、防御攻击日志、审计日志、系统安全日志及基线管理日志。根据日志可以生成威胁鉴定报告，用于相应审计或决策。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客户端功能，包括</w:t>
            </w:r>
            <w:r>
              <w:rPr>
                <w:rFonts w:hint="eastAsia" w:ascii="Times New Roman" w:hAnsi="Times New Roman"/>
                <w:color w:val="auto"/>
                <w:kern w:val="0"/>
                <w:sz w:val="24"/>
                <w:szCs w:val="24"/>
                <w:lang w:bidi="ar"/>
              </w:rPr>
              <w:t>符合安全要求</w:t>
            </w:r>
            <w:r>
              <w:rPr>
                <w:rFonts w:ascii="Times New Roman" w:hAnsi="Times New Roman"/>
                <w:color w:val="auto"/>
                <w:kern w:val="0"/>
                <w:sz w:val="24"/>
                <w:szCs w:val="24"/>
                <w:lang w:bidi="ar"/>
              </w:rPr>
              <w:t>客户端，客户端应和服务端实时连接，具备和服务端相同的病毒查杀、实时监控保护、漏洞检测功能。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升级中心：部署在防病毒中心服务器（应支持基于云平台虚拟机部署）。升级中心根据安全U盘下载的离线病毒库、恶意代码库，实现上下级防病毒管理中心的升级管理，同时分发到所辖各服务器、工作站终端。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restart"/>
            <w:tcBorders>
              <w:top w:val="nil"/>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color w:val="auto"/>
                <w:kern w:val="0"/>
                <w:sz w:val="24"/>
                <w:szCs w:val="24"/>
              </w:rPr>
            </w:pPr>
            <w:r>
              <w:rPr>
                <w:rFonts w:ascii="Times New Roman" w:hAnsi="Times New Roman"/>
                <w:color w:val="auto"/>
                <w:kern w:val="0"/>
                <w:sz w:val="24"/>
                <w:szCs w:val="24"/>
                <w:lang w:bidi="ar"/>
              </w:rPr>
              <w:t>性能要求</w:t>
            </w: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系统启动病毒查杀扫描的CPU平均负载率不大于30%。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恶意代码防范中心与各客户端更新病毒库时，网络占用带宽应不大于300kb/s。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系统病毒查杀率不小于98%。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系统病毒误报率不大于1%。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hint="eastAsia" w:ascii="Times New Roman" w:hAnsi="Times New Roman"/>
                <w:color w:val="auto"/>
                <w:kern w:val="0"/>
                <w:sz w:val="24"/>
                <w:szCs w:val="24"/>
                <w:lang w:bidi="ar"/>
              </w:rPr>
              <w:t>包括防病毒管理平台及含200个防病毒客户端授权</w:t>
            </w:r>
            <w:r>
              <w:rPr>
                <w:rFonts w:ascii="Times New Roman" w:hAnsi="Times New Roman"/>
                <w:color w:val="auto"/>
                <w:kern w:val="0"/>
                <w:sz w:val="24"/>
                <w:szCs w:val="24"/>
                <w:lang w:bidi="ar"/>
              </w:rPr>
              <w:t>，3年以上特征库升级license。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color w:val="auto"/>
                <w:kern w:val="0"/>
                <w:sz w:val="24"/>
                <w:szCs w:val="24"/>
              </w:rPr>
            </w:pPr>
            <w:r>
              <w:rPr>
                <w:rFonts w:ascii="Times New Roman" w:hAnsi="Times New Roman"/>
                <w:color w:val="auto"/>
                <w:kern w:val="0"/>
                <w:sz w:val="24"/>
                <w:szCs w:val="24"/>
                <w:lang w:bidi="ar"/>
              </w:rPr>
              <w:t>结构</w:t>
            </w: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机架式安装，可安装到工业标准机柜中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color w:val="auto"/>
                <w:kern w:val="0"/>
                <w:sz w:val="24"/>
                <w:szCs w:val="24"/>
              </w:rPr>
            </w:pPr>
            <w:r>
              <w:rPr>
                <w:rFonts w:ascii="Times New Roman" w:hAnsi="Times New Roman"/>
                <w:color w:val="auto"/>
                <w:kern w:val="0"/>
                <w:sz w:val="24"/>
                <w:szCs w:val="24"/>
                <w:lang w:bidi="ar"/>
              </w:rPr>
              <w:t>资质要求</w:t>
            </w:r>
          </w:p>
        </w:tc>
        <w:tc>
          <w:tcPr>
            <w:tcW w:w="4245"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Times New Roman" w:hAnsi="Times New Roman"/>
                <w:color w:val="auto"/>
                <w:kern w:val="0"/>
                <w:sz w:val="24"/>
                <w:szCs w:val="24"/>
              </w:rPr>
            </w:pPr>
            <w:r>
              <w:rPr>
                <w:rFonts w:ascii="Times New Roman" w:hAnsi="Times New Roman"/>
                <w:color w:val="auto"/>
                <w:kern w:val="0"/>
                <w:sz w:val="24"/>
                <w:szCs w:val="24"/>
                <w:lang w:bidi="ar"/>
              </w:rPr>
              <w:t>具备公安部颁发的《计算机信息系统安全专用产品销售许可证》。</w:t>
            </w:r>
          </w:p>
        </w:tc>
      </w:tr>
    </w:tbl>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290" w:name="_Toc20478"/>
      <w:bookmarkStart w:id="291" w:name="_Toc19121"/>
      <w:bookmarkStart w:id="292" w:name="_Toc25065"/>
      <w:bookmarkStart w:id="293" w:name="_Toc15962"/>
      <w:bookmarkStart w:id="294" w:name="_Toc27346"/>
      <w:bookmarkStart w:id="295" w:name="_Toc441"/>
      <w:bookmarkStart w:id="296" w:name="_Toc20968"/>
      <w:bookmarkStart w:id="297" w:name="_Toc3981"/>
      <w:bookmarkStart w:id="298" w:name="_Toc32663"/>
      <w:bookmarkStart w:id="299" w:name="_Toc21296"/>
      <w:bookmarkStart w:id="300" w:name="_Toc9249"/>
      <w:r>
        <w:rPr>
          <w:rFonts w:ascii="Times New Roman" w:hAnsi="Times New Roman"/>
          <w:b/>
          <w:bCs/>
          <w:color w:val="auto"/>
          <w:sz w:val="24"/>
          <w:szCs w:val="24"/>
        </w:rPr>
        <w:t>流量回溯分析装置</w:t>
      </w:r>
      <w:bookmarkEnd w:id="290"/>
      <w:bookmarkEnd w:id="291"/>
      <w:bookmarkEnd w:id="292"/>
      <w:bookmarkEnd w:id="293"/>
      <w:bookmarkEnd w:id="294"/>
      <w:bookmarkEnd w:id="295"/>
      <w:bookmarkEnd w:id="296"/>
      <w:bookmarkEnd w:id="297"/>
      <w:bookmarkEnd w:id="298"/>
      <w:bookmarkEnd w:id="299"/>
      <w:bookmarkEnd w:id="300"/>
    </w:p>
    <w:tbl>
      <w:tblPr>
        <w:tblStyle w:val="56"/>
        <w:tblW w:w="5000" w:type="pct"/>
        <w:tblInd w:w="0" w:type="dxa"/>
        <w:tblLayout w:type="fixed"/>
        <w:tblCellMar>
          <w:top w:w="0" w:type="dxa"/>
          <w:left w:w="108" w:type="dxa"/>
          <w:bottom w:w="0" w:type="dxa"/>
          <w:right w:w="108" w:type="dxa"/>
        </w:tblCellMar>
      </w:tblPr>
      <w:tblGrid>
        <w:gridCol w:w="1481"/>
        <w:gridCol w:w="8481"/>
      </w:tblGrid>
      <w:tr>
        <w:tblPrEx>
          <w:tblCellMar>
            <w:top w:w="0" w:type="dxa"/>
            <w:left w:w="108" w:type="dxa"/>
            <w:bottom w:w="0" w:type="dxa"/>
            <w:right w:w="108" w:type="dxa"/>
          </w:tblCellMar>
        </w:tblPrEx>
        <w:trPr>
          <w:trHeight w:val="417" w:hRule="atLeast"/>
        </w:trPr>
        <w:tc>
          <w:tcPr>
            <w:tcW w:w="743" w:type="pct"/>
            <w:tcBorders>
              <w:top w:val="single" w:color="000000" w:sz="8"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b/>
                <w:bCs/>
                <w:color w:val="auto"/>
                <w:kern w:val="0"/>
                <w:sz w:val="24"/>
                <w:szCs w:val="24"/>
                <w:lang w:bidi="ar"/>
              </w:rPr>
              <w:t>指标项</w:t>
            </w:r>
          </w:p>
        </w:tc>
        <w:tc>
          <w:tcPr>
            <w:tcW w:w="4256" w:type="pct"/>
            <w:tcBorders>
              <w:top w:val="single" w:color="000000" w:sz="8" w:space="0"/>
              <w:left w:val="nil"/>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参数及功能要求</w:t>
            </w:r>
          </w:p>
        </w:tc>
      </w:tr>
      <w:tr>
        <w:tblPrEx>
          <w:tblCellMar>
            <w:top w:w="0" w:type="dxa"/>
            <w:left w:w="108" w:type="dxa"/>
            <w:bottom w:w="0" w:type="dxa"/>
            <w:right w:w="108" w:type="dxa"/>
          </w:tblCellMar>
        </w:tblPrEx>
        <w:trPr>
          <w:trHeight w:val="1222" w:hRule="atLeast"/>
        </w:trPr>
        <w:tc>
          <w:tcPr>
            <w:tcW w:w="743" w:type="pct"/>
            <w:tcBorders>
              <w:top w:val="nil"/>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硬件指标</w:t>
            </w:r>
          </w:p>
        </w:tc>
        <w:tc>
          <w:tcPr>
            <w:tcW w:w="4256" w:type="pct"/>
            <w:tcBorders>
              <w:top w:val="nil"/>
              <w:left w:val="nil"/>
              <w:bottom w:val="single" w:color="000000" w:sz="4" w:space="0"/>
              <w:right w:val="single" w:color="000000" w:sz="4" w:space="0"/>
            </w:tcBorders>
            <w:vAlign w:val="center"/>
          </w:tcPr>
          <w:p>
            <w:pPr>
              <w:widowControl/>
              <w:spacing w:line="360" w:lineRule="auto"/>
              <w:jc w:val="left"/>
              <w:textAlignment w:val="center"/>
              <w:rPr>
                <w:rFonts w:hint="eastAsia" w:ascii="Times New Roman" w:hAnsi="Times New Roman"/>
                <w:color w:val="auto"/>
                <w:sz w:val="24"/>
                <w:szCs w:val="24"/>
                <w:lang w:bidi="ar"/>
              </w:rPr>
            </w:pPr>
            <w:r>
              <w:rPr>
                <w:rFonts w:ascii="Times New Roman" w:hAnsi="Times New Roman"/>
                <w:color w:val="auto"/>
                <w:kern w:val="0"/>
                <w:sz w:val="24"/>
                <w:szCs w:val="24"/>
                <w:lang w:bidi="ar"/>
              </w:rPr>
              <w:t>▲流量处理能力：≥1000Mbps；</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硬盘：≥8TB 支持热插拔；</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监控端口：≥4个1000M以太网口；</w:t>
            </w:r>
            <w:r>
              <w:rPr>
                <w:rFonts w:ascii="Times New Roman" w:hAnsi="Times New Roman"/>
                <w:color w:val="auto"/>
                <w:kern w:val="0"/>
                <w:sz w:val="24"/>
                <w:szCs w:val="24"/>
                <w:lang w:bidi="ar"/>
              </w:rPr>
              <w:br w:type="textWrapping"/>
            </w:r>
            <w:r>
              <w:rPr>
                <w:rFonts w:hint="eastAsia" w:ascii="Times New Roman" w:hAnsi="Times New Roman"/>
                <w:color w:val="auto"/>
                <w:kern w:val="0"/>
                <w:sz w:val="24"/>
                <w:szCs w:val="24"/>
                <w:lang w:bidi="ar"/>
              </w:rPr>
              <w:t>数据包处理能力：</w:t>
            </w:r>
            <w:r>
              <w:rPr>
                <w:rFonts w:ascii="Times New Roman" w:hAnsi="Times New Roman"/>
                <w:color w:val="auto"/>
                <w:kern w:val="0"/>
                <w:sz w:val="24"/>
                <w:szCs w:val="24"/>
                <w:lang w:bidi="ar"/>
              </w:rPr>
              <w:t>30,000pps</w:t>
            </w:r>
            <w:r>
              <w:rPr>
                <w:rFonts w:hint="eastAsia" w:ascii="Times New Roman" w:hAnsi="Times New Roman"/>
                <w:color w:val="auto"/>
                <w:kern w:val="0"/>
                <w:sz w:val="24"/>
                <w:szCs w:val="24"/>
                <w:lang w:bidi="ar"/>
              </w:rPr>
              <w:t>；</w:t>
            </w:r>
            <w:r>
              <w:rPr>
                <w:rFonts w:hint="eastAsia" w:ascii="Times New Roman" w:hAnsi="Times New Roman"/>
                <w:color w:val="auto"/>
                <w:kern w:val="0"/>
                <w:sz w:val="24"/>
                <w:szCs w:val="24"/>
                <w:lang w:val="en-US" w:eastAsia="zh-CN" w:bidi="ar"/>
              </w:rPr>
              <w:t xml:space="preserve"> </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管理端口：≥1个10/100/1000M以太网接电口；</w:t>
            </w:r>
          </w:p>
        </w:tc>
      </w:tr>
      <w:tr>
        <w:tblPrEx>
          <w:tblCellMar>
            <w:top w:w="0" w:type="dxa"/>
            <w:left w:w="108" w:type="dxa"/>
            <w:bottom w:w="0" w:type="dxa"/>
            <w:right w:w="108" w:type="dxa"/>
          </w:tblCellMar>
        </w:tblPrEx>
        <w:trPr>
          <w:trHeight w:val="81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链路配置</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探针服务器的物理口支持根据镜像流量中的VLAN、ISLVLAN、MPLS TAG、VXLAN、NETFLOW、GRE、IP网段、物理地址、GENEVE等标识设置独立的逻辑分析链路，上述标识支持在多个不同采集口下识别并聚合为同一条逻辑分析链路，逻辑分析链路具备和物理采集口链路一致分析功能。</w:t>
            </w:r>
          </w:p>
        </w:tc>
      </w:tr>
      <w:tr>
        <w:tblPrEx>
          <w:tblCellMar>
            <w:top w:w="0" w:type="dxa"/>
            <w:left w:w="108" w:type="dxa"/>
            <w:bottom w:w="0" w:type="dxa"/>
            <w:right w:w="108" w:type="dxa"/>
          </w:tblCellMar>
        </w:tblPrEx>
        <w:trPr>
          <w:trHeight w:val="102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链路聚合</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支持将多台探针形成集群部署，流量镜像通过负载均衡的方式输入多台探针，由探针集群的主设备进行跨设备的流量聚合，聚合后的链路与单探针链路功能一致，下载数据包时能自动将分散在不同探针上的数据包整合到同一份数据包中。</w:t>
            </w:r>
          </w:p>
        </w:tc>
      </w:tr>
      <w:tr>
        <w:tblPrEx>
          <w:tblCellMar>
            <w:top w:w="0" w:type="dxa"/>
            <w:left w:w="108" w:type="dxa"/>
            <w:bottom w:w="0" w:type="dxa"/>
            <w:right w:w="108" w:type="dxa"/>
          </w:tblCellMar>
        </w:tblPrEx>
        <w:trPr>
          <w:trHeight w:val="104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设备监控</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管理中心支持对探针设备的各项参数和全部状态进行监控，如监控探针设备的名称、连接状态、IP、版本号、CPU、内存、每一块硬盘、风扇、电源的运行状态，在某一单个硬盘、风扇、电源出现异常时，中心能够同步显示并能配置成告警第一时间推送提醒。</w:t>
            </w:r>
          </w:p>
        </w:tc>
      </w:tr>
      <w:tr>
        <w:tblPrEx>
          <w:tblCellMar>
            <w:top w:w="0" w:type="dxa"/>
            <w:left w:w="108" w:type="dxa"/>
            <w:bottom w:w="0" w:type="dxa"/>
            <w:right w:w="108" w:type="dxa"/>
          </w:tblCellMar>
        </w:tblPrEx>
        <w:trPr>
          <w:trHeight w:val="104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数据查看方式</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专用的客户端软件（非浏览器）才能对捕数据获进行调取、下载，且客户端与数据设备之间的通讯连接必须经过加密，保证平台采集网络数据的安全性，系统可限制最大客户端连接数，并支持将在线用户踢出下线。</w:t>
            </w:r>
          </w:p>
        </w:tc>
      </w:tr>
      <w:tr>
        <w:tblPrEx>
          <w:tblCellMar>
            <w:top w:w="0" w:type="dxa"/>
            <w:left w:w="108" w:type="dxa"/>
            <w:bottom w:w="0" w:type="dxa"/>
            <w:right w:w="108" w:type="dxa"/>
          </w:tblCellMar>
        </w:tblPrEx>
        <w:trPr>
          <w:trHeight w:val="98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数据包去重</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支持数据包去重功能，去重方式支持二层去重和三层重功能，并支持去重时间间隔配置，如配置规则为按数据包二层且时间间隔小于5毫秒去除重复数据包。</w:t>
            </w:r>
          </w:p>
        </w:tc>
      </w:tr>
      <w:tr>
        <w:tblPrEx>
          <w:tblCellMar>
            <w:top w:w="0" w:type="dxa"/>
            <w:left w:w="108" w:type="dxa"/>
            <w:bottom w:w="0" w:type="dxa"/>
            <w:right w:w="108" w:type="dxa"/>
          </w:tblCellMar>
        </w:tblPrEx>
        <w:trPr>
          <w:trHeight w:val="96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数据包裁剪</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设备需体现全流量特性，默认全量存储数完整据包，有裁剪需求时按需开启裁剪策略，支持通过链路、应用、协议、vlan、vxlan等标识按需进行数据包裁剪，支持根据协议指定从会话的第N个数据包开始裁剪，数据包裁剪长度可任意指定。例如，针对SSH、HTTPS等协议的数据流保留完整的密钥交换数据包，后续包开始裁剪；数据包裁剪长度可任意指定。</w:t>
            </w:r>
          </w:p>
        </w:tc>
      </w:tr>
      <w:tr>
        <w:tblPrEx>
          <w:tblCellMar>
            <w:top w:w="0" w:type="dxa"/>
            <w:left w:w="108" w:type="dxa"/>
            <w:bottom w:w="0" w:type="dxa"/>
            <w:right w:w="108" w:type="dxa"/>
          </w:tblCellMar>
        </w:tblPrEx>
        <w:trPr>
          <w:trHeight w:val="92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数据存储</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支持统计数据与原始数据包单独存储，各存储空间灵活可调整，支持为重点链路数据划分单独存储空间。</w:t>
            </w:r>
          </w:p>
        </w:tc>
      </w:tr>
      <w:tr>
        <w:tblPrEx>
          <w:tblCellMar>
            <w:top w:w="0" w:type="dxa"/>
            <w:left w:w="108" w:type="dxa"/>
            <w:bottom w:w="0" w:type="dxa"/>
            <w:right w:w="108" w:type="dxa"/>
          </w:tblCellMar>
        </w:tblPrEx>
        <w:trPr>
          <w:trHeight w:val="117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数据包回放</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多格式数据包回放功能，能够将已捕获的数据包文件在系统上进行回放分析；实现与实时采集链路相同的分析功能，回放数据包大小无限制；回放数据包格式应包括sniffer、tcpdump、wireshark等抓包软件常用格式，例如：cap、pcap、rapkt、cscpkt、rawpkt、5vw、pkt、TRC0、TRC1、tr1、pcapng、pcapng.gz、ntar、ntar.gz、Snoop等。</w:t>
            </w:r>
          </w:p>
        </w:tc>
      </w:tr>
      <w:tr>
        <w:tblPrEx>
          <w:tblCellMar>
            <w:top w:w="0" w:type="dxa"/>
            <w:left w:w="108" w:type="dxa"/>
            <w:bottom w:w="0" w:type="dxa"/>
            <w:right w:w="108" w:type="dxa"/>
          </w:tblCellMar>
        </w:tblPrEx>
        <w:trPr>
          <w:trHeight w:val="111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基础功能</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具有自主可控知识产权的数据包解码软件，数据包解码软件支持独立部署在PC端，可单独运行实现快速便捷的数据包解码分析，支持数据包2-7层的解码展现，解码字段支持中英文双语显示，支持对SSL国密加密数据包解码分析。提供软件著作权证书。</w:t>
            </w:r>
          </w:p>
        </w:tc>
      </w:tr>
      <w:tr>
        <w:tblPrEx>
          <w:tblCellMar>
            <w:top w:w="0" w:type="dxa"/>
            <w:left w:w="108" w:type="dxa"/>
            <w:bottom w:w="0" w:type="dxa"/>
            <w:right w:w="108" w:type="dxa"/>
          </w:tblCellMar>
        </w:tblPrEx>
        <w:trPr>
          <w:trHeight w:val="112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分析功能</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数据包解码支持可视化展示时序图功能，能够图形化显示数据传输中的时间间隔，支持异常点突出显示功能，例如：时延越大，相邻会话流间距越大；丢包位置颜色标注等场景，便于快速发现问题点，提高问题分析效率。</w:t>
            </w:r>
          </w:p>
        </w:tc>
      </w:tr>
      <w:tr>
        <w:tblPrEx>
          <w:tblCellMar>
            <w:top w:w="0" w:type="dxa"/>
            <w:left w:w="108" w:type="dxa"/>
            <w:bottom w:w="0" w:type="dxa"/>
            <w:right w:w="108" w:type="dxa"/>
          </w:tblCellMar>
        </w:tblPrEx>
        <w:trPr>
          <w:trHeight w:val="129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日志分析功能</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数据包解码软件支持自动生成日志信息，包括但不限于DNS日志、HTTP日志、邮件日志、SSL日志等，所有日志支持跨会话流全局检索功能，检索条件支持请求url、方法、返回码、x-forwarded-for、DNS域名检索、DNS状态、DNS查询结果等</w:t>
            </w:r>
          </w:p>
        </w:tc>
      </w:tr>
      <w:tr>
        <w:tblPrEx>
          <w:tblCellMar>
            <w:top w:w="0" w:type="dxa"/>
            <w:left w:w="108" w:type="dxa"/>
            <w:bottom w:w="0" w:type="dxa"/>
            <w:right w:w="108" w:type="dxa"/>
          </w:tblCellMar>
        </w:tblPrEx>
        <w:trPr>
          <w:trHeight w:val="75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扩展功能</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解码软件需支持扩展功能，内置编码转换工具、IP地理位置查询工具、数据包打流工具、数据包构造工具、、Ping扫描工具、MAC扫描工具等扩展功能，提高内网使用便捷性安全性。</w:t>
            </w:r>
          </w:p>
        </w:tc>
      </w:tr>
      <w:tr>
        <w:tblPrEx>
          <w:tblCellMar>
            <w:top w:w="0" w:type="dxa"/>
            <w:left w:w="108" w:type="dxa"/>
            <w:bottom w:w="0" w:type="dxa"/>
            <w:right w:w="108" w:type="dxa"/>
          </w:tblCellMar>
        </w:tblPrEx>
        <w:trPr>
          <w:trHeight w:val="5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IPv6流量分析</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能够识别并存储IPv6分段报文，支持数据包提取，能够基于IPV6地址定义应用协议、站点，支持下钻查看IPV6主机、通信对的性能指标。</w:t>
            </w:r>
          </w:p>
        </w:tc>
      </w:tr>
      <w:tr>
        <w:tblPrEx>
          <w:tblCellMar>
            <w:top w:w="0" w:type="dxa"/>
            <w:left w:w="108" w:type="dxa"/>
            <w:bottom w:w="0" w:type="dxa"/>
            <w:right w:w="108" w:type="dxa"/>
          </w:tblCellMar>
        </w:tblPrEx>
        <w:trPr>
          <w:trHeight w:val="5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资产定义</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支持IPv4、IPv6、MAC地址、Netflow接口标识等设置资产别名功能，分析及监控维度支持地址+资产名称方式进行绑定展示。定义数量无限制</w:t>
            </w:r>
          </w:p>
        </w:tc>
      </w:tr>
      <w:tr>
        <w:tblPrEx>
          <w:tblCellMar>
            <w:top w:w="0" w:type="dxa"/>
            <w:left w:w="108" w:type="dxa"/>
            <w:bottom w:w="0" w:type="dxa"/>
            <w:right w:w="108" w:type="dxa"/>
          </w:tblCellMar>
        </w:tblPrEx>
        <w:trPr>
          <w:trHeight w:val="10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时间精度</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1、分析功能的时间精度：IP地址、IP会话、TCP会话、交易分析等分析功能等所有分析指标（至少包含IP地址、IP会话、TCP会话、交易分析功能项列出指标）支持1秒、1分钟级精度的实时刷新及分析；</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2、并且以上列出分析指标（至少包含IP地址、IP会话、TCP会话、交易分析功能项列出指标）支持绘制1秒级、1分钟精度趋势图。</w:t>
            </w:r>
          </w:p>
        </w:tc>
      </w:tr>
      <w:tr>
        <w:tblPrEx>
          <w:tblCellMar>
            <w:top w:w="0" w:type="dxa"/>
            <w:left w:w="108" w:type="dxa"/>
            <w:bottom w:w="0" w:type="dxa"/>
            <w:right w:w="108" w:type="dxa"/>
          </w:tblCellMar>
        </w:tblPrEx>
        <w:trPr>
          <w:trHeight w:val="7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常用协议解码</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常用HTTP、DHCP、DNS、TELNET、FTP等协议支持在分析界面快速查看完整交易内容，无需对数据包进行解码分析，如能够支持HTTP协议在交易分析界面中快速查看传输完整内容。</w:t>
            </w:r>
          </w:p>
        </w:tc>
      </w:tr>
      <w:tr>
        <w:tblPrEx>
          <w:tblCellMar>
            <w:top w:w="0" w:type="dxa"/>
            <w:left w:w="108" w:type="dxa"/>
            <w:bottom w:w="0" w:type="dxa"/>
            <w:right w:w="108" w:type="dxa"/>
          </w:tblCellMar>
        </w:tblPrEx>
        <w:trPr>
          <w:trHeight w:val="80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国产数据库解码</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sz w:val="24"/>
                <w:szCs w:val="24"/>
              </w:rPr>
              <w:t>▲</w:t>
            </w:r>
            <w:r>
              <w:rPr>
                <w:rFonts w:ascii="Times New Roman" w:hAnsi="Times New Roman"/>
                <w:color w:val="auto"/>
                <w:kern w:val="0"/>
                <w:sz w:val="24"/>
                <w:szCs w:val="24"/>
                <w:lang w:bidi="ar"/>
              </w:rPr>
              <w:t>产品内置</w:t>
            </w:r>
            <w:r>
              <w:rPr>
                <w:rFonts w:hint="eastAsia" w:ascii="Times New Roman" w:hAnsi="Times New Roman"/>
                <w:color w:val="auto"/>
                <w:kern w:val="0"/>
                <w:sz w:val="24"/>
                <w:szCs w:val="24"/>
                <w:lang w:bidi="ar"/>
              </w:rPr>
              <w:t>自主可控</w:t>
            </w:r>
            <w:r>
              <w:rPr>
                <w:rFonts w:ascii="Times New Roman" w:hAnsi="Times New Roman"/>
                <w:color w:val="auto"/>
                <w:kern w:val="0"/>
                <w:sz w:val="24"/>
                <w:szCs w:val="24"/>
                <w:lang w:bidi="ar"/>
              </w:rPr>
              <w:t>数据库交易解码功能，支持对交易量、耗时、成功率、响应率等指标进行统计；以上所有分析指标支持1秒级、10秒、1分钟精度检索呈现；并且以上列出分析指标支持绘制1秒级、10秒、1分钟精度趋势图。</w:t>
            </w:r>
          </w:p>
        </w:tc>
      </w:tr>
      <w:tr>
        <w:tblPrEx>
          <w:tblCellMar>
            <w:top w:w="0" w:type="dxa"/>
            <w:left w:w="108" w:type="dxa"/>
            <w:bottom w:w="0" w:type="dxa"/>
            <w:right w:w="108" w:type="dxa"/>
          </w:tblCellMar>
        </w:tblPrEx>
        <w:trPr>
          <w:trHeight w:val="104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非国产数据库解码</w:t>
            </w:r>
          </w:p>
        </w:tc>
        <w:tc>
          <w:tcPr>
            <w:tcW w:w="4256" w:type="pct"/>
            <w:tcBorders>
              <w:top w:val="single" w:color="000000" w:sz="4" w:space="0"/>
              <w:left w:val="nil"/>
              <w:bottom w:val="single" w:color="000000" w:sz="4" w:space="0"/>
              <w:right w:val="single" w:color="000000" w:sz="4" w:space="0"/>
            </w:tcBorders>
            <w:noWrap/>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产品</w:t>
            </w:r>
            <w:r>
              <w:rPr>
                <w:rFonts w:hint="eastAsia" w:ascii="Times New Roman" w:hAnsi="Times New Roman"/>
                <w:color w:val="auto"/>
                <w:kern w:val="0"/>
                <w:sz w:val="24"/>
                <w:szCs w:val="24"/>
                <w:lang w:bidi="ar"/>
              </w:rPr>
              <w:t>支持主流关系型及非关系型数据库解码功能</w:t>
            </w:r>
            <w:r>
              <w:rPr>
                <w:rFonts w:ascii="Times New Roman" w:hAnsi="Times New Roman"/>
                <w:color w:val="auto"/>
                <w:kern w:val="0"/>
                <w:sz w:val="24"/>
                <w:szCs w:val="24"/>
                <w:lang w:bidi="ar"/>
              </w:rPr>
              <w:t>，支持对交易量、耗时、成功率、响应率等指标进行统计；以上所有分析指标支持1秒级、10秒、1分钟精度检索呈现；并且以上列出分析指标</w:t>
            </w:r>
            <w:bookmarkStart w:id="3508" w:name="_GoBack"/>
            <w:bookmarkEnd w:id="3508"/>
            <w:r>
              <w:rPr>
                <w:rFonts w:ascii="Times New Roman" w:hAnsi="Times New Roman"/>
                <w:color w:val="auto"/>
                <w:kern w:val="0"/>
                <w:sz w:val="24"/>
                <w:szCs w:val="24"/>
                <w:lang w:bidi="ar"/>
              </w:rPr>
              <w:t>支持绘制1秒级、10秒、1分钟精度趋势图。</w:t>
            </w:r>
          </w:p>
        </w:tc>
      </w:tr>
      <w:tr>
        <w:tblPrEx>
          <w:tblCellMar>
            <w:top w:w="0" w:type="dxa"/>
            <w:left w:w="108" w:type="dxa"/>
            <w:bottom w:w="0" w:type="dxa"/>
            <w:right w:w="108" w:type="dxa"/>
          </w:tblCellMar>
        </w:tblPrEx>
        <w:trPr>
          <w:trHeight w:val="83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自定义交易解析</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支持自定义交易解析，根据TCP/HTTP负载部分进行字段偏移位取值解析，支持交易量、耗时、成功率、响应率等维度进行趋势图展示，支持 1 秒时间精度分析及刷新</w:t>
            </w:r>
          </w:p>
        </w:tc>
      </w:tr>
      <w:tr>
        <w:tblPrEx>
          <w:tblCellMar>
            <w:top w:w="0" w:type="dxa"/>
            <w:left w:w="108" w:type="dxa"/>
            <w:bottom w:w="0" w:type="dxa"/>
            <w:right w:w="108" w:type="dxa"/>
          </w:tblCellMar>
        </w:tblPrEx>
        <w:trPr>
          <w:trHeight w:val="8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流量指标告警</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指定分析链路、应用系统进行标预警规则，包括链路利用率、比特率、字节数、包数、连接数、建连成功率、包率、平均包长、重传率、SYN、SYN&amp;ACK、FIN、零窗口、RST、网络时延（区分服务器、客户端）、数据传输时间（区分服务器、客户端）、服务器响应时间、客户端等待时间的指标设置与或关系的告警。</w:t>
            </w:r>
          </w:p>
        </w:tc>
      </w:tr>
      <w:tr>
        <w:tblPrEx>
          <w:tblCellMar>
            <w:top w:w="0" w:type="dxa"/>
            <w:left w:w="108" w:type="dxa"/>
            <w:bottom w:w="0" w:type="dxa"/>
            <w:right w:w="108" w:type="dxa"/>
          </w:tblCellMar>
        </w:tblPrEx>
        <w:trPr>
          <w:trHeight w:val="4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隐蔽端口预警</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支持常用协议运行在非标准端口上的识别监测，如协议为远程桌面且端口不为3389，如协议为SSH且端口不为22，则触发告警。</w:t>
            </w:r>
          </w:p>
        </w:tc>
      </w:tr>
      <w:tr>
        <w:tblPrEx>
          <w:tblCellMar>
            <w:top w:w="0" w:type="dxa"/>
            <w:left w:w="108" w:type="dxa"/>
            <w:bottom w:w="0" w:type="dxa"/>
            <w:right w:w="108" w:type="dxa"/>
          </w:tblCellMar>
        </w:tblPrEx>
        <w:trPr>
          <w:trHeight w:val="97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专线报表</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支持工作时段与非工作时段专线带宽使用情况统计。支持专线升速、降速、撤销条件评估，需要自定义带宽阈值、超阈值累计时间、超阈值连续天数。</w:t>
            </w:r>
          </w:p>
        </w:tc>
      </w:tr>
      <w:tr>
        <w:tblPrEx>
          <w:tblCellMar>
            <w:top w:w="0" w:type="dxa"/>
            <w:left w:w="108" w:type="dxa"/>
            <w:bottom w:w="0" w:type="dxa"/>
            <w:right w:w="108" w:type="dxa"/>
          </w:tblCellMar>
        </w:tblPrEx>
        <w:trPr>
          <w:trHeight w:val="51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报表指标精度</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支持自定义报表以日、周、月为周期输出1分钟颗粒度的链路流量趋势图。</w:t>
            </w:r>
          </w:p>
        </w:tc>
      </w:tr>
      <w:tr>
        <w:tblPrEx>
          <w:tblCellMar>
            <w:top w:w="0" w:type="dxa"/>
            <w:left w:w="108" w:type="dxa"/>
            <w:bottom w:w="0" w:type="dxa"/>
            <w:right w:w="108" w:type="dxa"/>
          </w:tblCellMar>
        </w:tblPrEx>
        <w:trPr>
          <w:trHeight w:val="100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QoS分析功能</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对不同链路的同一DSCP值分别进行命名定义；支持指定队列的二次数据展开详细分析，展示当前队列内的IP、IP会话、TCP会话数据和指标趋势图；支持查看某条链路的关键队列与非关键队列的上下行的比特率、上下行的丢包率、上下行的重传率、ICMP延时、连接无响应率、连接重置率指标，并支持1秒级精度实时刷新。</w:t>
            </w:r>
          </w:p>
        </w:tc>
      </w:tr>
      <w:tr>
        <w:tblPrEx>
          <w:tblCellMar>
            <w:top w:w="0" w:type="dxa"/>
            <w:left w:w="108" w:type="dxa"/>
            <w:bottom w:w="0" w:type="dxa"/>
            <w:right w:w="108" w:type="dxa"/>
          </w:tblCellMar>
        </w:tblPrEx>
        <w:trPr>
          <w:trHeight w:val="81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网络设备监控</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textAlignment w:val="center"/>
              <w:rPr>
                <w:rFonts w:ascii="Times New Roman" w:hAnsi="Times New Roman"/>
                <w:color w:val="auto"/>
                <w:sz w:val="24"/>
                <w:szCs w:val="24"/>
              </w:rPr>
            </w:pPr>
            <w:r>
              <w:rPr>
                <w:rFonts w:ascii="Times New Roman" w:hAnsi="Times New Roman"/>
                <w:color w:val="auto"/>
                <w:kern w:val="0"/>
                <w:sz w:val="24"/>
                <w:szCs w:val="24"/>
                <w:lang w:bidi="ar"/>
              </w:rPr>
              <w:t>支持通过SNMP 方式获取监控网络设备（如防火墙、路由器和交换机）的性能指标。指标项支持自定义,通过 OID 添加设备的任意属性值，如各物理接口实时速率、CPU 利用率、内存利用率和温度等。</w:t>
            </w:r>
          </w:p>
        </w:tc>
      </w:tr>
      <w:tr>
        <w:tblPrEx>
          <w:tblCellMar>
            <w:top w:w="0" w:type="dxa"/>
            <w:left w:w="108" w:type="dxa"/>
            <w:bottom w:w="0" w:type="dxa"/>
            <w:right w:w="108" w:type="dxa"/>
          </w:tblCellMar>
        </w:tblPrEx>
        <w:trPr>
          <w:trHeight w:val="113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负载均衡对接</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在线或离线获取F5配置信息并与流量融合，可以以关系图的方式展示VS、Pool和member之间的关系状态，并可详细展示vs和member的IP/域名、端口、应用、分配比例及对应的探针；同时系统支持VS警报及member监控警报，可配置警报时间桶、警报对象以及警报触发条件等，支持设置member异常负载不均衡告警，第一时间发现异常pool避免剩余成员负载过大影响业务运行。</w:t>
            </w:r>
          </w:p>
        </w:tc>
      </w:tr>
      <w:tr>
        <w:tblPrEx>
          <w:tblCellMar>
            <w:top w:w="0" w:type="dxa"/>
            <w:left w:w="108" w:type="dxa"/>
            <w:bottom w:w="0" w:type="dxa"/>
            <w:right w:w="108" w:type="dxa"/>
          </w:tblCellMar>
        </w:tblPrEx>
        <w:trPr>
          <w:trHeight w:val="675"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云上流量监控</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支持与</w:t>
            </w:r>
            <w:r>
              <w:rPr>
                <w:rFonts w:hint="eastAsia" w:ascii="Times New Roman" w:hAnsi="Times New Roman"/>
                <w:color w:val="auto"/>
                <w:kern w:val="0"/>
                <w:sz w:val="24"/>
                <w:szCs w:val="24"/>
                <w:lang w:bidi="ar"/>
              </w:rPr>
              <w:t>主流</w:t>
            </w:r>
            <w:r>
              <w:rPr>
                <w:rFonts w:ascii="Times New Roman" w:hAnsi="Times New Roman"/>
                <w:color w:val="auto"/>
                <w:kern w:val="0"/>
                <w:sz w:val="24"/>
                <w:szCs w:val="24"/>
                <w:lang w:bidi="ar"/>
              </w:rPr>
              <w:t>云管平台对接，支持云上云下端到端监控与关联分析。支持虚拟探针部署在目标宿主机中，通过虚拟交换机采集原始数据包；支持Agent部署自动化，agent支持前置与后置两种部署模式，前置模式无需侵入业务进程，实现本地流量的前置计算；后置模式支持原始流量引流；支持部署在K8S节点中，对POD之间或跨Node之间的所有流量进行采集及分析。</w:t>
            </w:r>
          </w:p>
        </w:tc>
      </w:tr>
      <w:tr>
        <w:tblPrEx>
          <w:tblCellMar>
            <w:top w:w="0" w:type="dxa"/>
            <w:left w:w="108" w:type="dxa"/>
            <w:bottom w:w="0" w:type="dxa"/>
            <w:right w:w="108" w:type="dxa"/>
          </w:tblCellMar>
        </w:tblPrEx>
        <w:trPr>
          <w:trHeight w:val="482"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第三方接口对接</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支持对接CMDB平台、SSO系统、统一告警平台、kafka等</w:t>
            </w:r>
          </w:p>
        </w:tc>
      </w:tr>
      <w:tr>
        <w:tblPrEx>
          <w:tblCellMar>
            <w:top w:w="0" w:type="dxa"/>
            <w:left w:w="108" w:type="dxa"/>
            <w:bottom w:w="0" w:type="dxa"/>
            <w:right w:w="108" w:type="dxa"/>
          </w:tblCellMar>
        </w:tblPrEx>
        <w:trPr>
          <w:trHeight w:val="770" w:hRule="atLeast"/>
        </w:trPr>
        <w:tc>
          <w:tcPr>
            <w:tcW w:w="743" w:type="pct"/>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协议元数据能力</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支持提取协议元数据功能，例如：IPv4、IPv6、icmpv4/v6、OSPF、BGP等不低于100种协议元数据、元数据内容包括所有协议标记字段将，例如，OSPF的nbr_address邻居地址、LinkStateID链路状态ID等；提取的元数据支持输出至第三方平台进行大数据分析，输出执行频率支持1秒1次。</w:t>
            </w:r>
          </w:p>
        </w:tc>
      </w:tr>
      <w:tr>
        <w:tblPrEx>
          <w:tblCellMar>
            <w:top w:w="0" w:type="dxa"/>
            <w:left w:w="108" w:type="dxa"/>
            <w:bottom w:w="0" w:type="dxa"/>
            <w:right w:w="108" w:type="dxa"/>
          </w:tblCellMar>
        </w:tblPrEx>
        <w:trPr>
          <w:trHeight w:val="770" w:hRule="atLeast"/>
        </w:trPr>
        <w:tc>
          <w:tcPr>
            <w:tcW w:w="743" w:type="pct"/>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联动能力</w:t>
            </w:r>
          </w:p>
        </w:tc>
        <w:tc>
          <w:tcPr>
            <w:tcW w:w="4256" w:type="pct"/>
            <w:tcBorders>
              <w:top w:val="single" w:color="000000" w:sz="4" w:space="0"/>
              <w:left w:val="nil"/>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采集数据能上传至公司总部网络回溯监控展示平台，并通过网络回溯监控展示平台实现统一呈现。</w:t>
            </w:r>
          </w:p>
        </w:tc>
      </w:tr>
    </w:tbl>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301" w:name="_Toc10388"/>
      <w:bookmarkStart w:id="302" w:name="_Toc16275"/>
      <w:bookmarkStart w:id="303" w:name="_Toc20735"/>
      <w:bookmarkStart w:id="304" w:name="_Toc30640"/>
      <w:bookmarkStart w:id="305" w:name="_Toc26593"/>
      <w:bookmarkStart w:id="306" w:name="_Toc2007"/>
      <w:bookmarkStart w:id="307" w:name="_Toc4894"/>
      <w:bookmarkStart w:id="308" w:name="_Toc16316"/>
      <w:bookmarkStart w:id="309" w:name="_Toc14353"/>
      <w:bookmarkStart w:id="310" w:name="_Toc13455"/>
      <w:bookmarkStart w:id="311" w:name="_Toc32767"/>
      <w:r>
        <w:rPr>
          <w:rFonts w:ascii="Times New Roman" w:hAnsi="Times New Roman"/>
          <w:b/>
          <w:bCs/>
          <w:color w:val="auto"/>
          <w:sz w:val="24"/>
          <w:szCs w:val="24"/>
        </w:rPr>
        <w:t>入侵防御装置</w:t>
      </w:r>
      <w:bookmarkEnd w:id="301"/>
      <w:bookmarkEnd w:id="302"/>
      <w:bookmarkEnd w:id="303"/>
      <w:bookmarkEnd w:id="304"/>
      <w:bookmarkEnd w:id="305"/>
      <w:bookmarkEnd w:id="306"/>
      <w:bookmarkEnd w:id="307"/>
      <w:bookmarkEnd w:id="308"/>
      <w:bookmarkEnd w:id="309"/>
      <w:bookmarkEnd w:id="310"/>
      <w:bookmarkEnd w:id="311"/>
    </w:p>
    <w:tbl>
      <w:tblPr>
        <w:tblStyle w:val="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8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4"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指标项</w:t>
            </w:r>
          </w:p>
        </w:tc>
        <w:tc>
          <w:tcPr>
            <w:tcW w:w="4209"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硬件规格</w:t>
            </w:r>
          </w:p>
        </w:tc>
        <w:tc>
          <w:tcPr>
            <w:tcW w:w="4209"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1U机架式设备，基于自主可控处理器硬件平台及操作系统，内置存储容量≥128G，网络接口配置≥4*GE电口+4*GE光口,双电源</w:t>
            </w:r>
            <w:r>
              <w:rPr>
                <w:rFonts w:ascii="Times New Roman" w:hAnsi="Times New Roman"/>
                <w:color w:val="auto"/>
                <w:kern w:val="0"/>
                <w:sz w:val="24"/>
                <w:szCs w:val="24"/>
                <w:lang w:bidi="ar"/>
              </w:rPr>
              <w:t>，内存≥16G。提供3年特征库升级及硬件维保服务。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imes New Roman" w:hAnsi="Times New Roman"/>
                <w:color w:val="auto"/>
                <w:kern w:val="0"/>
                <w:sz w:val="24"/>
                <w:szCs w:val="24"/>
              </w:rPr>
            </w:pPr>
            <w:r>
              <w:rPr>
                <w:rFonts w:ascii="Times New Roman" w:hAnsi="Times New Roman"/>
                <w:color w:val="auto"/>
                <w:kern w:val="0"/>
                <w:sz w:val="24"/>
                <w:szCs w:val="24"/>
                <w:lang w:bidi="ar"/>
              </w:rPr>
              <w:t>性能指标</w:t>
            </w:r>
          </w:p>
        </w:tc>
        <w:tc>
          <w:tcPr>
            <w:tcW w:w="4209"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sz w:val="24"/>
                <w:szCs w:val="24"/>
              </w:rPr>
              <w:t>▲</w:t>
            </w:r>
            <w:r>
              <w:rPr>
                <w:rFonts w:ascii="Times New Roman" w:hAnsi="Times New Roman"/>
                <w:color w:val="auto"/>
                <w:kern w:val="0"/>
                <w:sz w:val="24"/>
                <w:szCs w:val="24"/>
                <w:lang w:bidi="ar"/>
              </w:rPr>
              <w:t>网络层吞吐量≥4Gbps，应用层吞吐≥1G，最大并发连接数≥300万；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网络部署</w:t>
            </w:r>
          </w:p>
        </w:tc>
        <w:tc>
          <w:tcPr>
            <w:tcW w:w="4209" w:type="pct"/>
            <w:tcBorders>
              <w:top w:val="single" w:color="auto" w:sz="4" w:space="0"/>
              <w:left w:val="single" w:color="auto" w:sz="4" w:space="0"/>
              <w:bottom w:val="single" w:color="auto" w:sz="4" w:space="0"/>
              <w:right w:val="single" w:color="auto" w:sz="4" w:space="0"/>
            </w:tcBorders>
          </w:tcPr>
          <w:p>
            <w:pPr>
              <w:numPr>
                <w:ilvl w:val="0"/>
                <w:numId w:val="41"/>
              </w:numPr>
              <w:spacing w:line="360" w:lineRule="auto"/>
              <w:rPr>
                <w:rFonts w:ascii="Times New Roman" w:hAnsi="Times New Roman"/>
                <w:color w:val="auto"/>
                <w:sz w:val="24"/>
                <w:szCs w:val="24"/>
              </w:rPr>
            </w:pPr>
            <w:r>
              <w:rPr>
                <w:rFonts w:ascii="Times New Roman" w:hAnsi="Times New Roman"/>
                <w:color w:val="auto"/>
                <w:kern w:val="0"/>
                <w:sz w:val="24"/>
                <w:szCs w:val="24"/>
                <w:lang w:bidi="ar"/>
              </w:rPr>
              <w:t>系统应支持HA，包括主主模式和主备模式</w:t>
            </w:r>
          </w:p>
          <w:p>
            <w:pPr>
              <w:numPr>
                <w:ilvl w:val="0"/>
                <w:numId w:val="41"/>
              </w:numPr>
              <w:spacing w:line="360" w:lineRule="auto"/>
              <w:rPr>
                <w:rFonts w:ascii="Times New Roman" w:hAnsi="Times New Roman"/>
                <w:color w:val="auto"/>
                <w:sz w:val="24"/>
                <w:szCs w:val="24"/>
              </w:rPr>
            </w:pPr>
            <w:r>
              <w:rPr>
                <w:rFonts w:ascii="Times New Roman" w:hAnsi="Times New Roman"/>
                <w:color w:val="auto"/>
                <w:kern w:val="0"/>
                <w:sz w:val="24"/>
                <w:szCs w:val="24"/>
                <w:lang w:bidi="ar"/>
              </w:rPr>
              <w:t>系统具备丰富的网络适应性，支持部署在IPV6，VLAN，QINQ，MPLS，GRE，VXLAN，PPPOE等常见协议封装的环境中，可检测和拦截攻击行为；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入侵防护</w:t>
            </w:r>
          </w:p>
        </w:tc>
        <w:tc>
          <w:tcPr>
            <w:tcW w:w="4209" w:type="pct"/>
            <w:tcBorders>
              <w:top w:val="single" w:color="auto" w:sz="4" w:space="0"/>
              <w:left w:val="single" w:color="auto" w:sz="4" w:space="0"/>
              <w:bottom w:val="single" w:color="auto" w:sz="4" w:space="0"/>
              <w:right w:val="single" w:color="auto" w:sz="4" w:space="0"/>
            </w:tcBorders>
          </w:tcPr>
          <w:p>
            <w:pPr>
              <w:numPr>
                <w:ilvl w:val="0"/>
                <w:numId w:val="42"/>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系统应默认内置不少于10种规则集，至少包括严格检测模板、物联网检测模板、WEB服务器模板、僵木蠕检测模板等，满足不同部署环境下的安全防护需求</w:t>
            </w:r>
          </w:p>
          <w:p>
            <w:pPr>
              <w:numPr>
                <w:ilvl w:val="0"/>
                <w:numId w:val="42"/>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入侵防护规则详情查看应至少包含规则ID、规则名称、威胁级别、影响系统、影响服务、影响应用、事件处理流程和判定，并支持攻击阶段、攻击结果、精确度、ATT&amp;CK编号及概述措施（提供截图证明）</w:t>
            </w:r>
          </w:p>
          <w:p>
            <w:pPr>
              <w:numPr>
                <w:ilvl w:val="0"/>
                <w:numId w:val="42"/>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规则应支持双向检测功能，根据双向流量检测攻击，输出检测结果包含正在利用、攻击成功，应支持HTTP请求/响应缓存</w:t>
            </w:r>
          </w:p>
          <w:p>
            <w:pPr>
              <w:numPr>
                <w:ilvl w:val="0"/>
                <w:numId w:val="42"/>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支持SQL注入防护和XSS攻击防护，检测点至少支持URL、Cookie、Reference、Form、User-Agent、X-Forwarded-For，内置AI检测模型，利用机器学习技术对SQL注入报文进行分析，检测和识别SQL注入行为。（提供第三方权威机构出具的CNAS或CMA的检测报告复印件并加盖公章）</w:t>
            </w:r>
          </w:p>
          <w:p>
            <w:pPr>
              <w:numPr>
                <w:ilvl w:val="0"/>
                <w:numId w:val="42"/>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系统需具有多种防web扫描能力，包括如下能力：防爬虫、防止CGI和漏洞扫描等，并支持阻断扫描行为和并记录日志，系统支持设置扫描容忍程度，方便安全管理者采用不同安全级别的行为控制。（提供截图证明）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内容过滤</w:t>
            </w:r>
          </w:p>
        </w:tc>
        <w:tc>
          <w:tcPr>
            <w:tcW w:w="4209" w:type="pct"/>
            <w:tcBorders>
              <w:top w:val="single" w:color="auto" w:sz="4" w:space="0"/>
              <w:left w:val="single" w:color="auto" w:sz="4" w:space="0"/>
              <w:bottom w:val="single" w:color="auto" w:sz="4" w:space="0"/>
              <w:right w:val="single" w:color="auto" w:sz="4" w:space="0"/>
            </w:tcBorders>
          </w:tcPr>
          <w:p>
            <w:pPr>
              <w:numPr>
                <w:ilvl w:val="0"/>
                <w:numId w:val="43"/>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系统应支持敏感信息防护，至少包含财务数据、机密/技术文档、身份证号码、手机号码、银行卡/信用卡等信息（提供截图证明）</w:t>
            </w:r>
          </w:p>
          <w:p>
            <w:pPr>
              <w:numPr>
                <w:ilvl w:val="0"/>
                <w:numId w:val="43"/>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系统应支持邮件过滤，对邮件标题、邮件正文、附件名称、附件内容过滤，可阻断并支持邮件提醒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安全运维</w:t>
            </w:r>
          </w:p>
        </w:tc>
        <w:tc>
          <w:tcPr>
            <w:tcW w:w="4209" w:type="pct"/>
            <w:tcBorders>
              <w:top w:val="single" w:color="auto" w:sz="4" w:space="0"/>
              <w:left w:val="single" w:color="auto" w:sz="4" w:space="0"/>
              <w:bottom w:val="single" w:color="auto" w:sz="4" w:space="0"/>
              <w:right w:val="single" w:color="auto" w:sz="4" w:space="0"/>
            </w:tcBorders>
          </w:tcPr>
          <w:p>
            <w:pPr>
              <w:numPr>
                <w:ilvl w:val="0"/>
                <w:numId w:val="44"/>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系统应内置智能分析能力，具备阻断的活动专项分析和综合威胁告警分析，其中阻断的活动应包括阻断的威胁、阻断的文件和阻断的IP专项分析</w:t>
            </w:r>
          </w:p>
          <w:p>
            <w:pPr>
              <w:numPr>
                <w:ilvl w:val="0"/>
                <w:numId w:val="44"/>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支持策略调优，分析日志自动关联配置可一键修订规则动作和模板响应方式，具备详细的策略调优记录包含操作时间、操作模块、操作对象、动作、调优结果等（提供截图证明）</w:t>
            </w:r>
          </w:p>
          <w:p>
            <w:pPr>
              <w:numPr>
                <w:ilvl w:val="0"/>
                <w:numId w:val="44"/>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支持告警标识，包含确认攻击、误报、忽略操作，具备详细的标识记录包含标识时间、状态等；支持告警处置，包含一键加白和临时封禁，并具备详细的处置记录包含处置时间、处置方式、处置动作等（提供截图证明）</w:t>
            </w:r>
          </w:p>
          <w:p>
            <w:pPr>
              <w:numPr>
                <w:ilvl w:val="0"/>
                <w:numId w:val="44"/>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系统应支持威胁分析功能，通过与威胁情报、全流取证、网络负载、内置解码工具、事件处理流程、事件性质判定等信息综合对威胁进行分析判断。</w:t>
            </w:r>
          </w:p>
          <w:p>
            <w:pPr>
              <w:numPr>
                <w:ilvl w:val="0"/>
                <w:numId w:val="44"/>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设备监控指标至少包含CPU利用率,内存利用率,硬盘利用率,授权有效性,日志存储量，接口等。设备监控告警条件应支持持续时间、阈值配置、告警频率，告警方式支持邮件告警和推送到本地消息中心。设备巡检包括硬件巡检、运行状态巡检、网络巡检等，巡检报告支持邮件与群通知（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日志报表</w:t>
            </w:r>
          </w:p>
        </w:tc>
        <w:tc>
          <w:tcPr>
            <w:tcW w:w="4209" w:type="pct"/>
            <w:tcBorders>
              <w:top w:val="single" w:color="auto" w:sz="4" w:space="0"/>
              <w:left w:val="single" w:color="auto" w:sz="4" w:space="0"/>
              <w:bottom w:val="single" w:color="auto" w:sz="4" w:space="0"/>
              <w:right w:val="single" w:color="auto" w:sz="4" w:space="0"/>
            </w:tcBorders>
          </w:tcPr>
          <w:p>
            <w:pPr>
              <w:numPr>
                <w:ilvl w:val="0"/>
                <w:numId w:val="45"/>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系统支持日志外发包括Syslog和Kafka协议</w:t>
            </w:r>
          </w:p>
          <w:p>
            <w:pPr>
              <w:numPr>
                <w:ilvl w:val="0"/>
                <w:numId w:val="45"/>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系统具备日志分类概览能力，通过分类概览引导日志检索，提升日志搜索的针对性和效率。</w:t>
            </w:r>
          </w:p>
          <w:p>
            <w:pPr>
              <w:numPr>
                <w:ilvl w:val="0"/>
                <w:numId w:val="45"/>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内置不少于5种日志外发模板，至少兼容能源行业和全国信息安全标准化技术委员会发布的网络安全产品互联互通告警信息格式，应支持自定义日志发送格式，包括自定义分隔符、连字符，字段名称等。（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系统管理</w:t>
            </w:r>
          </w:p>
        </w:tc>
        <w:tc>
          <w:tcPr>
            <w:tcW w:w="4209" w:type="pct"/>
            <w:tcBorders>
              <w:top w:val="single" w:color="auto" w:sz="4" w:space="0"/>
              <w:left w:val="single" w:color="auto" w:sz="4" w:space="0"/>
              <w:bottom w:val="single" w:color="auto" w:sz="4" w:space="0"/>
              <w:right w:val="single" w:color="auto" w:sz="4" w:space="0"/>
            </w:tcBorders>
          </w:tcPr>
          <w:p>
            <w:pPr>
              <w:numPr>
                <w:ilvl w:val="0"/>
                <w:numId w:val="46"/>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系统应支持三权分立，不少于五种认证方式，至少包括密码、双因子认证、超级SIM认证等</w:t>
            </w:r>
          </w:p>
          <w:p>
            <w:pPr>
              <w:numPr>
                <w:ilvl w:val="0"/>
                <w:numId w:val="46"/>
              </w:numPr>
              <w:adjustRightInd w:val="0"/>
              <w:spacing w:line="360" w:lineRule="auto"/>
              <w:textAlignment w:val="baseline"/>
              <w:rPr>
                <w:rFonts w:ascii="Times New Roman" w:hAnsi="Times New Roman"/>
                <w:color w:val="auto"/>
                <w:sz w:val="24"/>
                <w:szCs w:val="24"/>
              </w:rPr>
            </w:pPr>
            <w:r>
              <w:rPr>
                <w:rFonts w:ascii="Times New Roman" w:hAnsi="Times New Roman"/>
                <w:color w:val="auto"/>
                <w:kern w:val="0"/>
                <w:sz w:val="24"/>
                <w:szCs w:val="24"/>
                <w:lang w:bidi="ar"/>
              </w:rPr>
              <w:t>系统支持用户密码过期配置，同时在线用户数限制，唯一性检测，防暴力破解等安全访问配置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lang w:bidi="ar"/>
              </w:rPr>
              <w:t>产品资质</w:t>
            </w:r>
          </w:p>
        </w:tc>
        <w:tc>
          <w:tcPr>
            <w:tcW w:w="4209"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color w:val="auto"/>
                <w:sz w:val="24"/>
                <w:szCs w:val="24"/>
              </w:rPr>
            </w:pPr>
            <w:r>
              <w:rPr>
                <w:rFonts w:ascii="Times New Roman" w:hAnsi="Times New Roman"/>
                <w:color w:val="auto"/>
                <w:sz w:val="24"/>
                <w:szCs w:val="24"/>
                <w:lang w:bidi="ar"/>
              </w:rPr>
              <w:t>产品具备《</w:t>
            </w:r>
            <w:r>
              <w:rPr>
                <w:rFonts w:ascii="Times New Roman" w:hAnsi="Times New Roman"/>
                <w:color w:val="auto"/>
                <w:kern w:val="0"/>
                <w:sz w:val="24"/>
                <w:szCs w:val="24"/>
                <w:lang w:bidi="ar"/>
              </w:rPr>
              <w:t>网络关键设备和网络安全专用产品安全认证证书》</w:t>
            </w:r>
            <w:r>
              <w:rPr>
                <w:rFonts w:ascii="Times New Roman" w:hAnsi="Times New Roman"/>
                <w:color w:val="auto"/>
                <w:sz w:val="24"/>
                <w:szCs w:val="24"/>
                <w:lang w:bidi="ar"/>
              </w:rPr>
              <w:t>。提供有效资质证明复印件并加盖制造商公章。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售后服务</w:t>
            </w:r>
          </w:p>
        </w:tc>
        <w:tc>
          <w:tcPr>
            <w:tcW w:w="420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olor w:val="auto"/>
                <w:sz w:val="24"/>
                <w:szCs w:val="24"/>
                <w:lang w:bidi="ar"/>
              </w:rPr>
            </w:pPr>
            <w:r>
              <w:rPr>
                <w:rFonts w:ascii="Times New Roman" w:hAnsi="Times New Roman"/>
                <w:color w:val="auto"/>
                <w:sz w:val="24"/>
                <w:szCs w:val="24"/>
                <w:lang w:eastAsia="zh" w:bidi="ar"/>
              </w:rPr>
              <w:t>5</w:t>
            </w:r>
            <w:r>
              <w:rPr>
                <w:rFonts w:ascii="Times New Roman" w:hAnsi="Times New Roman"/>
                <w:color w:val="auto"/>
                <w:sz w:val="24"/>
                <w:szCs w:val="24"/>
                <w:lang w:bidi="ar"/>
              </w:rPr>
              <w:t>年免费软件升级，</w:t>
            </w:r>
            <w:r>
              <w:rPr>
                <w:rFonts w:ascii="Times New Roman" w:hAnsi="Times New Roman"/>
                <w:color w:val="auto"/>
                <w:sz w:val="24"/>
                <w:szCs w:val="24"/>
                <w:lang w:eastAsia="zh" w:bidi="ar"/>
              </w:rPr>
              <w:t>5</w:t>
            </w:r>
            <w:r>
              <w:rPr>
                <w:rFonts w:ascii="Times New Roman" w:hAnsi="Times New Roman"/>
                <w:color w:val="auto"/>
                <w:sz w:val="24"/>
                <w:szCs w:val="24"/>
                <w:lang w:bidi="ar"/>
              </w:rPr>
              <w:t>年免费IPS规则库升级，从项目整体竣工验收通过之日起算。</w:t>
            </w:r>
          </w:p>
        </w:tc>
      </w:tr>
    </w:tbl>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312" w:name="_Toc5321"/>
      <w:bookmarkStart w:id="313" w:name="_Toc31200"/>
      <w:bookmarkStart w:id="314" w:name="_Toc27455"/>
      <w:bookmarkStart w:id="315" w:name="_Toc6039"/>
      <w:bookmarkStart w:id="316" w:name="_Toc7451"/>
      <w:bookmarkStart w:id="317" w:name="_Toc2924"/>
      <w:bookmarkStart w:id="318" w:name="_Toc32000"/>
      <w:bookmarkStart w:id="319" w:name="_Toc30725"/>
      <w:bookmarkStart w:id="320" w:name="_Toc31010"/>
      <w:bookmarkStart w:id="321" w:name="_Toc25806"/>
      <w:bookmarkStart w:id="322" w:name="_Toc2059"/>
      <w:r>
        <w:rPr>
          <w:rFonts w:ascii="Times New Roman" w:hAnsi="Times New Roman"/>
          <w:b/>
          <w:bCs/>
          <w:color w:val="auto"/>
          <w:sz w:val="24"/>
          <w:szCs w:val="24"/>
        </w:rPr>
        <w:t>入侵检测</w:t>
      </w:r>
      <w:bookmarkEnd w:id="312"/>
      <w:bookmarkEnd w:id="313"/>
      <w:bookmarkEnd w:id="314"/>
      <w:bookmarkEnd w:id="315"/>
      <w:r>
        <w:rPr>
          <w:rFonts w:ascii="Times New Roman" w:hAnsi="Times New Roman"/>
          <w:b/>
          <w:bCs/>
          <w:color w:val="auto"/>
          <w:sz w:val="24"/>
          <w:szCs w:val="24"/>
        </w:rPr>
        <w:t>装置</w:t>
      </w:r>
      <w:bookmarkEnd w:id="316"/>
      <w:bookmarkEnd w:id="317"/>
      <w:bookmarkEnd w:id="318"/>
      <w:bookmarkEnd w:id="319"/>
      <w:bookmarkEnd w:id="320"/>
      <w:bookmarkEnd w:id="321"/>
      <w:bookmarkEnd w:id="322"/>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机架式结构，高度≤2U，标配4个10/100/1000 Base-T铜口，可扩充6个SFP端口；配置2个检测引擎授权许可；</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最大可支持9个检测引擎授权许可；</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采用专用硬件架构与专用安全操作系统；硬件设备可以机架安装，电源为1+1交流冗余电源；</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支持2000条以上的入侵事件签名；</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w:t>
      </w:r>
      <w:r>
        <w:rPr>
          <w:rFonts w:ascii="Times New Roman" w:hAnsi="Times New Roman"/>
          <w:color w:val="auto"/>
          <w:sz w:val="24"/>
          <w:szCs w:val="24"/>
          <w:lang w:bidi="ar"/>
        </w:rPr>
        <w:t>检测流量能力≥1Gbps；并发连接数≥1,000,000；</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具备多重检测技术；</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除被动检测外，还应支持主动检测方式，并详细说明具体的检测方式和方法、支持自定义安全事件；</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要求具备自动终止用户连接功能、记录日志、邮件报警、发送SYSLOG信息、SNMP Trap、播放声音、发送到</w:t>
      </w:r>
      <w:r>
        <w:rPr>
          <w:rFonts w:hint="eastAsia" w:ascii="Times New Roman" w:hAnsi="Times New Roman"/>
          <w:color w:val="auto"/>
          <w:sz w:val="24"/>
          <w:szCs w:val="24"/>
          <w:lang w:bidi="ar"/>
        </w:rPr>
        <w:t>系统</w:t>
      </w:r>
      <w:r>
        <w:rPr>
          <w:rFonts w:ascii="Times New Roman" w:hAnsi="Times New Roman"/>
          <w:color w:val="auto"/>
          <w:sz w:val="24"/>
          <w:szCs w:val="24"/>
          <w:lang w:bidi="ar"/>
        </w:rPr>
        <w:t>日志、</w:t>
      </w:r>
      <w:r>
        <w:rPr>
          <w:rFonts w:hint="eastAsia" w:ascii="Times New Roman" w:hAnsi="Times New Roman"/>
          <w:color w:val="auto"/>
          <w:sz w:val="24"/>
          <w:szCs w:val="24"/>
          <w:lang w:bidi="ar"/>
        </w:rPr>
        <w:t>系统</w:t>
      </w:r>
      <w:r>
        <w:rPr>
          <w:rFonts w:ascii="Times New Roman" w:hAnsi="Times New Roman"/>
          <w:color w:val="auto"/>
          <w:sz w:val="24"/>
          <w:szCs w:val="24"/>
          <w:lang w:bidi="ar"/>
        </w:rPr>
        <w:t>消息、控制台实时报警，记录日志以及用户自定义的响应方式。可通过开放协议与第三方防火墙联动支持与交换机联动；</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除了发送实时报警信息外，还应将检测到的入侵事件和系统自身的审计信息保存下来，生成完整的网络审计日志，并提供对日志的多种查询方式，日志自动备份，可对备份日志离线分析；</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对管理员划分不同的管理权限，至少包括超级管理员、普通管理员、日志管理员三种；</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支持超过多种的报表模板，用户可以根据事件风险等级、时间、源或目的地址等生成报表，还提供用户自定义报表，支持的报表导出格式PDF格式、HTML格式、MS Word格式、MS Excel格式、Rich Text格式、文本格式；</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厂家提供缺省的安全策略模板，允许用户据此定义新的安全策略；</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lang w:bidi="ar"/>
        </w:rPr>
        <w:t>要求IDS具有高度的自身安全性和隐蔽性，检测端口无IP地址。管理员登录控制台需要双口令验证。</w:t>
      </w:r>
    </w:p>
    <w:p>
      <w:pPr>
        <w:widowControl/>
        <w:numPr>
          <w:ilvl w:val="255"/>
          <w:numId w:val="0"/>
        </w:numPr>
        <w:tabs>
          <w:tab w:val="left" w:pos="300"/>
          <w:tab w:val="left" w:pos="584"/>
          <w:tab w:val="left" w:pos="840"/>
          <w:tab w:val="left" w:pos="1064"/>
          <w:tab w:val="left" w:pos="1148"/>
        </w:tabs>
        <w:spacing w:line="360" w:lineRule="auto"/>
        <w:ind w:left="420" w:leftChars="200"/>
        <w:jc w:val="left"/>
        <w:rPr>
          <w:rFonts w:ascii="Times New Roman" w:hAnsi="Times New Roman"/>
          <w:color w:val="auto"/>
          <w:sz w:val="24"/>
          <w:szCs w:val="24"/>
        </w:rPr>
      </w:pPr>
      <w:r>
        <w:rPr>
          <w:rFonts w:ascii="Times New Roman" w:hAnsi="Times New Roman"/>
          <w:color w:val="auto"/>
          <w:sz w:val="24"/>
          <w:szCs w:val="24"/>
          <w:lang w:bidi="ar"/>
        </w:rPr>
        <w:t>实时会话监控：提供实时监控当前TCP会话并根据需要进行切断、保存会话内容的功能。</w:t>
      </w:r>
    </w:p>
    <w:p>
      <w:pPr>
        <w:widowControl/>
        <w:numPr>
          <w:ilvl w:val="255"/>
          <w:numId w:val="0"/>
        </w:numPr>
        <w:tabs>
          <w:tab w:val="left" w:pos="300"/>
          <w:tab w:val="left" w:pos="584"/>
          <w:tab w:val="left" w:pos="840"/>
          <w:tab w:val="left" w:pos="1064"/>
          <w:tab w:val="left" w:pos="1148"/>
        </w:tabs>
        <w:spacing w:line="360" w:lineRule="auto"/>
        <w:ind w:left="420" w:leftChars="200"/>
        <w:jc w:val="left"/>
        <w:rPr>
          <w:rFonts w:ascii="Times New Roman" w:hAnsi="Times New Roman"/>
          <w:color w:val="auto"/>
          <w:sz w:val="24"/>
          <w:szCs w:val="24"/>
        </w:rPr>
      </w:pPr>
      <w:r>
        <w:rPr>
          <w:rFonts w:ascii="Times New Roman" w:hAnsi="Times New Roman"/>
          <w:color w:val="auto"/>
          <w:sz w:val="24"/>
          <w:szCs w:val="24"/>
          <w:lang w:bidi="ar"/>
        </w:rPr>
        <w:t>实时系统监控：实时监控IDS引擎的CPU、内存等资源信息及实时网络流量信息。</w:t>
      </w:r>
    </w:p>
    <w:p>
      <w:pPr>
        <w:widowControl/>
        <w:numPr>
          <w:ilvl w:val="255"/>
          <w:numId w:val="0"/>
        </w:numPr>
        <w:tabs>
          <w:tab w:val="left" w:pos="300"/>
          <w:tab w:val="left" w:pos="584"/>
          <w:tab w:val="left" w:pos="840"/>
          <w:tab w:val="left" w:pos="1064"/>
          <w:tab w:val="left" w:pos="1148"/>
        </w:tabs>
        <w:spacing w:line="360" w:lineRule="auto"/>
        <w:ind w:left="420" w:leftChars="200"/>
        <w:jc w:val="left"/>
        <w:rPr>
          <w:rFonts w:ascii="Times New Roman" w:hAnsi="Times New Roman"/>
          <w:color w:val="auto"/>
          <w:sz w:val="24"/>
          <w:szCs w:val="24"/>
        </w:rPr>
      </w:pPr>
      <w:r>
        <w:rPr>
          <w:rFonts w:ascii="Times New Roman" w:hAnsi="Times New Roman"/>
          <w:color w:val="auto"/>
          <w:sz w:val="24"/>
          <w:szCs w:val="24"/>
          <w:lang w:bidi="ar"/>
        </w:rPr>
        <w:t>协议还原与内容监控：监控并记录HTTP、FTP、TELNET等TCP会话的访问信息。</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rPr>
      </w:pPr>
      <w:r>
        <w:rPr>
          <w:rFonts w:hint="eastAsia" w:ascii="Times New Roman" w:hAnsi="Times New Roman"/>
          <w:color w:val="auto"/>
          <w:sz w:val="24"/>
          <w:szCs w:val="24"/>
          <w:lang w:val="en-US" w:eastAsia="zh-CN" w:bidi="ar"/>
        </w:rPr>
        <w:t>提供《</w:t>
      </w:r>
      <w:r>
        <w:rPr>
          <w:rFonts w:ascii="Times New Roman" w:hAnsi="Times New Roman"/>
          <w:color w:val="auto"/>
          <w:sz w:val="24"/>
          <w:szCs w:val="24"/>
          <w:lang w:bidi="ar"/>
        </w:rPr>
        <w:t>中国国家信息安全产品认证证书ISCCC</w:t>
      </w:r>
      <w:r>
        <w:rPr>
          <w:rFonts w:hint="eastAsia" w:ascii="Times New Roman" w:hAnsi="Times New Roman"/>
          <w:color w:val="auto"/>
          <w:sz w:val="24"/>
          <w:szCs w:val="24"/>
          <w:lang w:val="en-US" w:eastAsia="zh-CN" w:bidi="ar"/>
        </w:rPr>
        <w:t>》</w:t>
      </w:r>
      <w:r>
        <w:rPr>
          <w:rFonts w:ascii="Times New Roman" w:hAnsi="Times New Roman"/>
          <w:color w:val="auto"/>
          <w:sz w:val="24"/>
          <w:szCs w:val="24"/>
          <w:lang w:bidi="ar"/>
        </w:rPr>
        <w:t>（优选三级）；</w:t>
      </w:r>
    </w:p>
    <w:p>
      <w:pPr>
        <w:widowControl/>
        <w:numPr>
          <w:ilvl w:val="0"/>
          <w:numId w:val="47"/>
        </w:numPr>
        <w:tabs>
          <w:tab w:val="left" w:pos="300"/>
          <w:tab w:val="left" w:pos="584"/>
          <w:tab w:val="left" w:pos="840"/>
          <w:tab w:val="left" w:pos="1064"/>
          <w:tab w:val="left" w:pos="1148"/>
        </w:tabs>
        <w:spacing w:line="360" w:lineRule="auto"/>
        <w:ind w:left="0" w:firstLine="480" w:firstLineChars="200"/>
        <w:jc w:val="left"/>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提供《</w:t>
      </w:r>
      <w:r>
        <w:rPr>
          <w:rFonts w:ascii="Times New Roman" w:hAnsi="Times New Roman"/>
          <w:color w:val="auto"/>
          <w:sz w:val="24"/>
          <w:szCs w:val="24"/>
          <w:lang w:bidi="ar"/>
        </w:rPr>
        <w:t>涉密信息系统产品检测证书</w:t>
      </w:r>
      <w:r>
        <w:rPr>
          <w:rFonts w:hint="eastAsia" w:ascii="Times New Roman" w:hAnsi="Times New Roman"/>
          <w:color w:val="auto"/>
          <w:sz w:val="24"/>
          <w:szCs w:val="24"/>
          <w:lang w:val="en-US" w:eastAsia="zh-CN" w:bidi="ar"/>
        </w:rPr>
        <w:t>》</w:t>
      </w:r>
      <w:r>
        <w:rPr>
          <w:rFonts w:ascii="Times New Roman" w:hAnsi="Times New Roman"/>
          <w:color w:val="auto"/>
          <w:sz w:val="24"/>
          <w:szCs w:val="24"/>
          <w:lang w:bidi="ar"/>
        </w:rPr>
        <w:t>。</w:t>
      </w:r>
    </w:p>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323" w:name="_Toc9080"/>
      <w:bookmarkStart w:id="324" w:name="_Toc10938"/>
      <w:bookmarkStart w:id="325" w:name="_Toc20034"/>
      <w:bookmarkStart w:id="326" w:name="_Toc10504"/>
      <w:bookmarkStart w:id="327" w:name="_Toc9195"/>
      <w:bookmarkStart w:id="328" w:name="_Toc25725"/>
      <w:bookmarkStart w:id="329" w:name="_Toc21786"/>
      <w:bookmarkStart w:id="330" w:name="_Toc1114"/>
      <w:bookmarkStart w:id="331" w:name="_Toc5049"/>
      <w:bookmarkStart w:id="332" w:name="_Toc5967"/>
      <w:bookmarkStart w:id="333" w:name="_Toc10041"/>
      <w:r>
        <w:rPr>
          <w:rFonts w:ascii="Times New Roman" w:hAnsi="Times New Roman"/>
          <w:b/>
          <w:bCs/>
          <w:color w:val="auto"/>
          <w:sz w:val="24"/>
          <w:szCs w:val="24"/>
        </w:rPr>
        <w:t>WAF</w:t>
      </w:r>
      <w:bookmarkEnd w:id="323"/>
      <w:bookmarkEnd w:id="324"/>
      <w:bookmarkEnd w:id="325"/>
      <w:bookmarkEnd w:id="326"/>
      <w:bookmarkEnd w:id="327"/>
      <w:bookmarkEnd w:id="328"/>
      <w:bookmarkEnd w:id="329"/>
      <w:bookmarkEnd w:id="330"/>
      <w:bookmarkEnd w:id="331"/>
      <w:bookmarkEnd w:id="332"/>
      <w:bookmarkEnd w:id="333"/>
      <w:r>
        <w:rPr>
          <w:rFonts w:ascii="Times New Roman" w:hAnsi="Times New Roman"/>
          <w:b/>
          <w:bCs/>
          <w:color w:val="auto"/>
          <w:sz w:val="24"/>
          <w:szCs w:val="24"/>
        </w:rPr>
        <w:t xml:space="preserve"> </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机架式，系统硬件为全内置封闭式结构;</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最大支持8个千兆接口，要求配备4个GE口以及4个SFP接口,</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sz w:val="24"/>
          <w:szCs w:val="24"/>
        </w:rPr>
        <w:t>▲</w:t>
      </w:r>
      <w:r>
        <w:rPr>
          <w:rFonts w:ascii="Times New Roman" w:hAnsi="Times New Roman"/>
          <w:color w:val="auto"/>
          <w:kern w:val="0"/>
          <w:sz w:val="24"/>
          <w:szCs w:val="24"/>
          <w:lang w:bidi="ar"/>
        </w:rPr>
        <w:t>应用层吞吐量≧1Gbps；时延&lt;50 us；并发处理能力≧45000；事务处理能力（TPS）≧25,000；</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支持在线部署（支持透明反向代理、传统反向代理）；</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支持旁路部署（静态路由牵引、二层回注，增加支持三层回注），支持旁路HA，支持双臂旁路部署）；</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sz w:val="24"/>
          <w:szCs w:val="24"/>
        </w:rPr>
        <w:t>▲</w:t>
      </w:r>
      <w:r>
        <w:rPr>
          <w:rFonts w:ascii="Times New Roman" w:hAnsi="Times New Roman"/>
          <w:color w:val="auto"/>
          <w:kern w:val="0"/>
          <w:sz w:val="24"/>
          <w:szCs w:val="24"/>
          <w:lang w:bidi="ar"/>
        </w:rPr>
        <w:t>支持单台设备最大同时保护5条链路，本次提供标准配置1路WAF防护功能；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配置交流冗余双电源；</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支持A/S部署模式（链路切换、配置同步）；</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支持网络接口内置fail-open，支持软硬件双BYPASS功能；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支持HTTP 0.9/1.0/1.1；</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作为服务器与客户端（浏览器）的中间设备，能够完全解析HTTP事务、了解HTTP事务的交互流程、并对关键的事务信息进行解码处理，而无需中断HTTP连接；</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防护策略模型由基于静态规则的反向（黑名单）安全模式及基于智能用户行为识别的动态防护机制（正向安全模式，即白名单）构建；</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系统内置规则及自定义规则，便于管理员根据实际应用灵活地调整具体特征规则；</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支持对HTTP协议合法性进行验证，提供HTTP协议防护功能。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支持对SSL（HTTPS）加密会话进行分析。</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可监控双向流量，对双向数据实时监测和保护；</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支持防护：蠕虫、缓冲区溢出、CGI信息扫描、目录遍历等攻击。</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支持SQL注入、XSS防护，支持使HTTP头域中的Cookie、Referer、User-Agent，Except字段过防护策略；</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支持CSRF（跨站请求伪造）防护；</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支持扫描防护；</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支持Cookie安全机制，包括加密和签名的防护方法，支持Cookie自学习；</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支持盗链防护，可采用Referer和Cookie算法；</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支持对服务器状态码进行过滤和伪装的安全策略；</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支持爬虫防护，支持盗链防护，说明所采用的防护算法。</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产品提供URL访问控制功能，能够基于多种HTTP方法执行访问控制；</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能识别上传行为，并对上传行为的内容做安全检测；</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可以根据文件大小、MIME类型、及文件扩展名，灵活定义下载限制策略，限制用户非法获取网站的关键数据（比如数据库文件，配置文件等）；</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对流出数据内容进行安全审查，对敏感关键字实施过滤，防止身份证等隐私信息非法泄露；</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支持自动监测页面被篡改情况的功能；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支持视觉恢复功能，即发生网页篡改后，对外仍显示被篡改前的正常页面；</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支持时间管理功能，可以在不同的时间段设定不同的网页篡改防护策略；</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支持TCP Flood防护；</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支持HTTP Flood防护，检测算法支持5种，包括：etag、http cookies、url cookies、ascii-image、bmp-image；</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支持ARP攻击防护；</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支持基于五元组（源IP地址、目的IP地址、源端口、目的源口、协议类型）及接口的网络层访问控制功能；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支持系统运行日志、WEB访问日志、安全防护日志等日志类型，支持日志导出功能，支持日志服务器SYSLOG；安全防护日志类型应包括：网络层访问控制、URL访问控制、DDoS防护、WEB防护、WEB防篡改、ARP防护等；</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支持安全报表（告警分类统计报表、告警时段统计报表、告警区域分析报表）、访问统计报表（访问时段、访问区域及业务类型）、流量趋势报表、各类排行表等，支持柱状图、饼状图及折线图等多种报表图形；支持报表自动生成及报表下载功能。</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《计算机信息系统安全专用产品销售许可证》；</w:t>
      </w:r>
    </w:p>
    <w:p>
      <w:pPr>
        <w:autoSpaceDE w:val="0"/>
        <w:adjustRightInd w:val="0"/>
        <w:snapToGrid w:val="0"/>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lang w:bidi="ar"/>
        </w:rPr>
        <w:t>厂家拥有专业安全漏洞研究团队，拥有实时更新的中文安全漏洞库</w:t>
      </w:r>
    </w:p>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334" w:name="_Toc21935"/>
      <w:bookmarkStart w:id="335" w:name="_Toc10529"/>
      <w:bookmarkStart w:id="336" w:name="_Toc13654"/>
      <w:bookmarkStart w:id="337" w:name="_Toc10751"/>
      <w:bookmarkStart w:id="338" w:name="_Toc27492"/>
      <w:bookmarkStart w:id="339" w:name="_Toc3626"/>
      <w:bookmarkStart w:id="340" w:name="_Toc5961"/>
      <w:bookmarkStart w:id="341" w:name="_Toc11384"/>
      <w:bookmarkStart w:id="342" w:name="_Toc8041"/>
      <w:bookmarkStart w:id="343" w:name="_Toc21469"/>
      <w:bookmarkStart w:id="344" w:name="_Toc28930"/>
      <w:r>
        <w:rPr>
          <w:rFonts w:ascii="Times New Roman" w:hAnsi="Times New Roman"/>
          <w:b/>
          <w:bCs/>
          <w:color w:val="auto"/>
          <w:sz w:val="24"/>
          <w:szCs w:val="24"/>
        </w:rPr>
        <w:t>网络准入装置</w:t>
      </w:r>
      <w:bookmarkEnd w:id="334"/>
      <w:bookmarkEnd w:id="335"/>
      <w:bookmarkEnd w:id="336"/>
      <w:bookmarkEnd w:id="337"/>
      <w:bookmarkEnd w:id="338"/>
      <w:bookmarkEnd w:id="339"/>
      <w:bookmarkEnd w:id="340"/>
      <w:bookmarkEnd w:id="341"/>
      <w:bookmarkEnd w:id="342"/>
      <w:bookmarkEnd w:id="343"/>
      <w:bookmarkEnd w:id="344"/>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1716"/>
        <w:gridCol w:w="6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360" w:lineRule="auto"/>
              <w:rPr>
                <w:rFonts w:ascii="Times New Roman" w:hAnsi="Times New Roman"/>
                <w:b/>
                <w:bCs/>
                <w:color w:val="auto"/>
                <w:kern w:val="0"/>
                <w:sz w:val="24"/>
                <w:szCs w:val="24"/>
              </w:rPr>
            </w:pPr>
            <w:r>
              <w:rPr>
                <w:rFonts w:ascii="Times New Roman" w:hAnsi="Times New Roman"/>
                <w:b/>
                <w:bCs/>
                <w:color w:val="auto"/>
                <w:kern w:val="0"/>
                <w:sz w:val="24"/>
                <w:szCs w:val="24"/>
                <w:lang w:bidi="ar"/>
              </w:rPr>
              <w:t>功能及指标要求</w:t>
            </w:r>
          </w:p>
        </w:tc>
        <w:tc>
          <w:tcPr>
            <w:tcW w:w="4301" w:type="pct"/>
            <w:gridSpan w:val="2"/>
            <w:tcBorders>
              <w:top w:val="single" w:color="auto" w:sz="4" w:space="0"/>
              <w:left w:val="single" w:color="auto" w:sz="4" w:space="0"/>
              <w:bottom w:val="single" w:color="auto" w:sz="4" w:space="0"/>
              <w:right w:val="single" w:color="auto" w:sz="4" w:space="0"/>
            </w:tcBorders>
            <w:shd w:val="clear" w:color="auto" w:fill="D9D9D9"/>
          </w:tcPr>
          <w:p>
            <w:pPr>
              <w:widowControl/>
              <w:spacing w:line="360" w:lineRule="auto"/>
              <w:ind w:firstLine="361"/>
              <w:jc w:val="center"/>
              <w:rPr>
                <w:rFonts w:ascii="Times New Roman" w:hAnsi="Times New Roman"/>
                <w:b/>
                <w:bCs/>
                <w:color w:val="auto"/>
                <w:kern w:val="0"/>
                <w:sz w:val="24"/>
                <w:szCs w:val="24"/>
              </w:rPr>
            </w:pPr>
            <w:r>
              <w:rPr>
                <w:rFonts w:ascii="Times New Roman" w:hAnsi="Times New Roman"/>
                <w:b/>
                <w:bCs/>
                <w:color w:val="auto"/>
                <w:kern w:val="0"/>
                <w:sz w:val="24"/>
                <w:szCs w:val="24"/>
                <w:lang w:bidi="ar"/>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bCs/>
                <w:color w:val="auto"/>
                <w:kern w:val="0"/>
                <w:sz w:val="24"/>
                <w:szCs w:val="24"/>
                <w:lang w:bidi="ar"/>
              </w:rPr>
            </w:pPr>
            <w:r>
              <w:rPr>
                <w:rFonts w:ascii="Times New Roman" w:hAnsi="Times New Roman"/>
                <w:bCs/>
                <w:color w:val="auto"/>
                <w:kern w:val="0"/>
                <w:sz w:val="24"/>
                <w:szCs w:val="24"/>
                <w:lang w:bidi="ar"/>
              </w:rPr>
              <w:t>硬件规格</w:t>
            </w:r>
          </w:p>
        </w:tc>
        <w:tc>
          <w:tcPr>
            <w:tcW w:w="4301" w:type="pct"/>
            <w:gridSpan w:val="2"/>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机箱1U/</w:t>
            </w:r>
            <w:r>
              <w:rPr>
                <w:rFonts w:ascii="Times New Roman" w:hAnsi="Times New Roman"/>
                <w:color w:val="auto"/>
                <w:kern w:val="0"/>
                <w:sz w:val="24"/>
                <w:szCs w:val="24"/>
                <w:lang w:bidi="ar"/>
              </w:rPr>
              <w:t>2U</w:t>
            </w:r>
            <w:r>
              <w:rPr>
                <w:rFonts w:hint="eastAsia" w:ascii="Times New Roman" w:hAnsi="Times New Roman"/>
                <w:color w:val="auto"/>
                <w:kern w:val="0"/>
                <w:sz w:val="24"/>
                <w:szCs w:val="24"/>
                <w:lang w:bidi="ar"/>
              </w:rPr>
              <w:t>，双电源</w:t>
            </w:r>
          </w:p>
          <w:p>
            <w:pPr>
              <w:widowControl/>
              <w:spacing w:line="360" w:lineRule="auto"/>
              <w:jc w:val="left"/>
              <w:rPr>
                <w:color w:val="auto"/>
                <w:lang w:bidi="ar"/>
              </w:rPr>
            </w:pPr>
            <w:r>
              <w:rPr>
                <w:rFonts w:hint="eastAsia" w:ascii="Times New Roman" w:hAnsi="Times New Roman"/>
                <w:color w:val="auto"/>
                <w:kern w:val="0"/>
                <w:sz w:val="24"/>
                <w:szCs w:val="24"/>
                <w:lang w:bidi="ar"/>
              </w:rPr>
              <w:t>多核CPU，硬盘≥</w:t>
            </w:r>
            <w:r>
              <w:rPr>
                <w:rFonts w:ascii="Times New Roman" w:hAnsi="Times New Roman"/>
                <w:color w:val="auto"/>
                <w:kern w:val="0"/>
                <w:sz w:val="24"/>
                <w:szCs w:val="24"/>
                <w:lang w:bidi="ar"/>
              </w:rPr>
              <w:t>2</w:t>
            </w:r>
            <w:r>
              <w:rPr>
                <w:rFonts w:hint="eastAsia" w:ascii="Times New Roman" w:hAnsi="Times New Roman"/>
                <w:color w:val="auto"/>
                <w:kern w:val="0"/>
                <w:sz w:val="24"/>
                <w:szCs w:val="24"/>
                <w:lang w:bidi="ar"/>
              </w:rPr>
              <w:t>TB</w:t>
            </w:r>
            <w:r>
              <w:rPr>
                <w:rFonts w:ascii="Times New Roman" w:hAnsi="Times New Roman"/>
                <w:color w:val="auto"/>
                <w:kern w:val="0"/>
                <w:sz w:val="24"/>
                <w:szCs w:val="24"/>
                <w:lang w:bidi="ar"/>
              </w:rPr>
              <w:t xml:space="preserve"> </w:t>
            </w:r>
            <w:r>
              <w:rPr>
                <w:rFonts w:hint="eastAsia" w:ascii="Times New Roman" w:hAnsi="Times New Roman"/>
                <w:color w:val="auto"/>
                <w:kern w:val="0"/>
                <w:sz w:val="24"/>
                <w:szCs w:val="24"/>
                <w:lang w:bidi="ar"/>
              </w:rPr>
              <w:t>SATA硬盘，内存≥</w:t>
            </w:r>
            <w:r>
              <w:rPr>
                <w:rFonts w:ascii="Times New Roman" w:hAnsi="Times New Roman"/>
                <w:color w:val="auto"/>
                <w:kern w:val="0"/>
                <w:sz w:val="24"/>
                <w:szCs w:val="24"/>
                <w:lang w:bidi="ar"/>
              </w:rPr>
              <w:t>8</w:t>
            </w:r>
            <w:r>
              <w:rPr>
                <w:rFonts w:hint="eastAsia" w:ascii="Times New Roman" w:hAnsi="Times New Roman"/>
                <w:color w:val="auto"/>
                <w:kern w:val="0"/>
                <w:sz w:val="24"/>
                <w:szCs w:val="24"/>
                <w:lang w:bidi="ar"/>
              </w:rPr>
              <w:t>GB</w:t>
            </w:r>
          </w:p>
          <w:p>
            <w:pPr>
              <w:widowControl/>
              <w:spacing w:line="360" w:lineRule="auto"/>
              <w:jc w:val="left"/>
              <w:rPr>
                <w:rFonts w:ascii="Times New Roman" w:hAnsi="Times New Roman"/>
                <w:b/>
                <w:bCs/>
                <w:color w:val="auto"/>
                <w:kern w:val="0"/>
                <w:sz w:val="24"/>
                <w:szCs w:val="24"/>
                <w:lang w:bidi="ar"/>
              </w:rPr>
            </w:pPr>
            <w:r>
              <w:rPr>
                <w:rFonts w:hint="eastAsia" w:ascii="Times New Roman" w:hAnsi="Times New Roman"/>
                <w:color w:val="auto"/>
                <w:kern w:val="0"/>
                <w:sz w:val="24"/>
                <w:szCs w:val="24"/>
                <w:lang w:bidi="ar"/>
              </w:rPr>
              <w:t>≥6千兆电口，4千兆SFP光（含板卡），2扩展槽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bCs/>
                <w:color w:val="auto"/>
                <w:kern w:val="0"/>
                <w:sz w:val="24"/>
                <w:szCs w:val="24"/>
                <w:lang w:bidi="ar"/>
              </w:rPr>
            </w:pPr>
            <w:r>
              <w:rPr>
                <w:rFonts w:ascii="Times New Roman" w:hAnsi="Times New Roman"/>
                <w:bCs/>
                <w:color w:val="auto"/>
                <w:kern w:val="0"/>
                <w:sz w:val="24"/>
                <w:szCs w:val="24"/>
                <w:lang w:bidi="ar"/>
              </w:rPr>
              <w:t>硬件指标</w:t>
            </w:r>
          </w:p>
        </w:tc>
        <w:tc>
          <w:tcPr>
            <w:tcW w:w="4301" w:type="pct"/>
            <w:gridSpan w:val="2"/>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Times New Roman" w:hAnsi="Times New Roman"/>
                <w:b/>
                <w:bCs/>
                <w:color w:val="auto"/>
                <w:kern w:val="0"/>
                <w:sz w:val="24"/>
                <w:szCs w:val="24"/>
                <w:lang w:bidi="ar"/>
              </w:rPr>
            </w:pPr>
            <w:r>
              <w:rPr>
                <w:rFonts w:ascii="Times New Roman" w:hAnsi="Times New Roman"/>
                <w:color w:val="auto"/>
                <w:kern w:val="0"/>
                <w:sz w:val="24"/>
                <w:szCs w:val="24"/>
                <w:lang w:bidi="ar"/>
              </w:rPr>
              <w:t>网络吞吐量不小于5Gbps;最大并发连接数为30万个;每秒新建连接速度为1000个;提供不少于500点的终端准入管理。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vMerge w:val="restart"/>
            <w:tcBorders>
              <w:top w:val="nil"/>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bCs/>
                <w:color w:val="auto"/>
                <w:kern w:val="0"/>
                <w:sz w:val="24"/>
                <w:szCs w:val="24"/>
              </w:rPr>
            </w:pPr>
            <w:r>
              <w:rPr>
                <w:rFonts w:ascii="Times New Roman" w:hAnsi="Times New Roman"/>
                <w:bCs/>
                <w:color w:val="auto"/>
                <w:kern w:val="0"/>
                <w:sz w:val="24"/>
                <w:szCs w:val="24"/>
                <w:lang w:bidi="ar"/>
              </w:rPr>
              <w:t>系统配置要求</w:t>
            </w:r>
          </w:p>
        </w:tc>
        <w:tc>
          <w:tcPr>
            <w:tcW w:w="4301"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en-US"/>
              </w:rPr>
              <w:t>★</w:t>
            </w:r>
            <w:r>
              <w:rPr>
                <w:rFonts w:ascii="Times New Roman" w:hAnsi="Times New Roman"/>
                <w:color w:val="auto"/>
                <w:kern w:val="0"/>
                <w:sz w:val="24"/>
                <w:szCs w:val="24"/>
                <w:lang w:bidi="ar"/>
              </w:rPr>
              <w:t>支持现网管理平台的统一管理，需支持自主可控架构终端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4301"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含终端准入设备，管理数不少于500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4301" w:type="pct"/>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至少支持6个月内安全日志本地存储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698" w:type="pct"/>
            <w:vMerge w:val="restart"/>
            <w:tcBorders>
              <w:top w:val="nil"/>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bCs/>
                <w:color w:val="auto"/>
                <w:kern w:val="0"/>
                <w:sz w:val="24"/>
                <w:szCs w:val="24"/>
              </w:rPr>
            </w:pPr>
            <w:r>
              <w:rPr>
                <w:rFonts w:ascii="Times New Roman" w:hAnsi="Times New Roman"/>
                <w:bCs/>
                <w:color w:val="auto"/>
                <w:kern w:val="0"/>
                <w:sz w:val="24"/>
                <w:szCs w:val="24"/>
                <w:lang w:bidi="ar"/>
              </w:rPr>
              <w:t>功能要求</w:t>
            </w: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管理中心</w:t>
            </w:r>
          </w:p>
        </w:tc>
        <w:tc>
          <w:tcPr>
            <w:tcW w:w="3440"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支持根据分组、计算机名称、IP地址、操作系统、在线状态等条件的组合筛选出符合条件的终端进行管理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支持与NTP时间服务器同步，可设置同步时间间隔，使终端时间保持和时间服务器相同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展示终端部署统计、终端安全趋势、终端状态（文件防护开启率、未安装补丁终端率、终端病毒更新率和终端版本更新率）、终端程序版本、终端在线统计、病毒库版本分布、安全更新和重要补丁安全趋势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支持对单个客户端进行维护，终端视角查看终端基本信息，包括计算机名、型号、IP、MAC地址、工作组、域信息、本次开机时间、上次关机时间、应用功能、在线状态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支持通过高级筛选方式对终端概况进行筛选查看指定范围终端实时统计数据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支持自动分组，按IP地址、CPU数量、MEM容量、主机名、计算机工作组等参数进行自动动态调整分组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支持在线更新病毒库、补丁库、威胁情报等数据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支持文件下载分级缓存，支持下载文件限速和日志上传限速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支持自定义告警规则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病毒防护</w:t>
            </w: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可查看病毒防护概况，包括终端基础信息、病毒库版本、发现病毒数、未处理病毒数、最后查杀时间、文件防护状态、引擎使用状态、扩展病毒库版本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病毒防护日志包含病毒查杀日志、查杀任务日志、攻击防护日志、系统防护日志、按分组、按终端、按时间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病毒报表支持病毒查杀趋势、扫描触发方式趋势、发现病毒趋势、终端感染趋势、病毒类型统计、病毒处理结果统计、病毒发现触、方式统计、趋势图表、按分组、按终端、按病毒名称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支持手动导入、导出黑白名单，添加黑白名单。支持通过文件导入添加黑白名单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支持信任区设置，病毒扫描或实时防护时不扫描目录或文件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支持扫描所有文件和仅扫描程序及文档文件设置，支持对压缩包文件设置最大扫描层数和大小，当发现压缩包内存在病毒时，还需继续扫描压缩包内其他文件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支持对终端当扫描到感染型病毒、顽固木马时，自动进入深度查模式，可设置禁止终端用户管理路径或文件白名单、禁止终端用户管理扩展名白名单、扫描时不允许终端用户暂停或停止扫描任务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支持对进程防护、注册表防护、驱动防护、U盘安全防护、邮件防护、下载防护、IM防护、局域网文件防护、网页安全防护、勒索软件防护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支持自动阻止远程登录行为，防护黑客远程爆破和拦截恶意的远程登录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支持网络入侵拦截对流入本机的网络包数据和行为进行检测，根据策略在网络层拦截漏洞攻击、黑客入侵等威胁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支持僵尸网络攻击防护，对流出本机的网络包数据和行为进行检测，根据策略在网络层拦截后门攻击、C2连接等威胁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支持防护对流出本机的网络包数据和行为进行检测，根据策略在网络层拦截后门攻击、C2连接等威胁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支持ARP攻击防护，可根据策略检测和拦截局域网中的ARP欺骗攻击行为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客户端弹窗支持免打扰模式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支持不少于三个杀毒引擎混合使用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基线核查</w:t>
            </w: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支持终端安全基线检查，可自定义基线检查项，可自定义终端端定性标准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支持系统状态基线核查，应包括：是否安装关键和重要系统补丁、是否安装防病毒软件、工作组命名检查、是否加入域、计算计命名检查、系统备份还原点检查等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身份鉴别应包括：密码使用期限、强制密码历史记录、最小密码长度、密码必须满足复杂性要求、使用还原加密存储密码、阻止</w:t>
            </w:r>
            <w:r>
              <w:rPr>
                <w:rFonts w:hint="eastAsia" w:ascii="Times New Roman" w:hAnsi="Times New Roman"/>
                <w:color w:val="auto"/>
                <w:sz w:val="24"/>
                <w:szCs w:val="24"/>
                <w:lang w:bidi="ar"/>
              </w:rPr>
              <w:t>云</w:t>
            </w:r>
            <w:r>
              <w:rPr>
                <w:rFonts w:ascii="Times New Roman" w:hAnsi="Times New Roman"/>
                <w:color w:val="auto"/>
                <w:sz w:val="24"/>
                <w:szCs w:val="24"/>
                <w:lang w:bidi="ar"/>
              </w:rPr>
              <w:t>账户、账户锁定阈值、账户锁定持续时间、重置账号锁定计数器、启用屏幕保护程序等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安全审计应包括：审核登录、审核其他登录/注销事件、审核策略更改、管理审核安全日志、审核账户锁定等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支持以表格形式展示，显示内容包含检查项名称、检查范围（根据检查项分类划分）、不合规次数（该时段内该检查项不合规次数）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支持按分组名称、终端数量、该分组内的平均得分、该得分所属的安全级别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支持按终端统计列表内容：计算机名、分组名称、IP地址、MAC地址、终端类型、登录账号、该终端的核查次数、该终端的最新核查得分、该分数所属的安全级别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桌面软件管理</w:t>
            </w: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内置软件库，需包含4000款以上应用软件，类别包括：下载工具、主题壁纸、办公软件、压缩刻录、图形图像、安全杀毒、教育学习、浏览器、系统工具、编程开发、网络应用、网银、聊天工具、视频软件、输入法、远程工具、阅读翻译、音乐软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上传本地软件，支持本地软件应用平台，为终端用户提供本地软件下载。支持软件的上传、更新、上架、下架、回退、删除管理精细操作，包含软件名称、软件描述、软件状态、软件版本、软件大小、上传日期、更新时间、上架状态、分类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支持自定义配置搜索软件的关键字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支持自动判断软件安装所需权限和管理员强制配置软件的安装权限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支持同一控制中心下为不同分组定制软件，满足不同的软件下载需求。支持上级中心配置统一软件范围，下级中心在上级中心的基础上定制个性化软件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支持软件分发功能，支持一次分发多款有依赖的软件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支持多个管理员同时对一台终端分发软件，终端可以并发安装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支持自定义软件下载失败重试次数和时间间隔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支持自动更新终端已安装软件，修复软件的漏洞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kern w:val="0"/>
                <w:sz w:val="24"/>
                <w:szCs w:val="24"/>
                <w:lang w:bidi="ar"/>
              </w:rPr>
              <w:t>支持提醒终端用户更新软件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支持统一配置终端下载软件存储位置、软件安装包保留时间、更新提醒间隔等设置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终端管控</w:t>
            </w: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支持对终端各种外设（USB存储、硬盘、存储卡、光驱、打印机、扫描仪、摄像头、手机、平板等）、接口（USB口、串口、并口、1394、PCMIA）设置使用权限，并支持生效时间设置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支持外设库管理，可统计终端外接的各种设备，包括厂商和设备类型、产品、数量、PID、VID和设备来源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支持对单点维护功能，可远程查看终端实时运行的进程，需要包含进程名称，进程用户、命令行（执行路径+执行参数）、内存占用、签名、产品名称、公司名称等，支持远程结束进程。</w:t>
            </w:r>
          </w:p>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支持远程查看计算机各个网卡配置信息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支持终端进程红名单、黑名单、白名单功能。可设置核心进程必须运行，也可保护核心进程不被结束，违规并告警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支持统计终端的出口地址列表，搜集终端连接的无线信号信息统一展示，标识出ssid可连通互联网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支持设置进程匹配规则，其它业务可直接调用创建好的进程规则或者进程分组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支持对互联网出口地址探测，支持对违规的互联网出口进行发现、断开网络、终端锁屏、断网+锁屏处理。支持例外白名单添加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支持对终端节能管理，支持对长时间运行、定时关机、空闲节能、工作时间外开机等节能类型设定策略，支持仅提示、关机、注销、锁定、关闭显示器、锁定+关闭显示器、休眠和睡眠处理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支持对网卡进行防护，支持阻止终端修改IP地址、使用动态IP地址、热点创建和IPV6地址使用等，可自定义提示内容和生效时间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能够通过HTTP/HTTPS/SMTP/SMTPS/FTP/FTPS和共享目录常用的网络传输协议对外发的数据内容进行识别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支持对终端软件访问文件时对内容进行检测，同时应用软件可自定义添加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支持通过关键词、关键词、近邻关键字、正则表达式数据标识符、文件内容指纹、数据库内容指纹、文件类型和脚本对文件进行智能分类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可以通过敏感文件的规则组合和敏感文件出现的位置进行识别扫描，同时扫描方式支持扫描即停和完整扫描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支持在文件中写入文件的唯一ID、用户和终端信息写入文件，属性和正文不可见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根据用户对文件的操作/流转日志，通过文件ID/用户/终端信息，还原内部的操作流转记录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支持对敏感文件的审计告警、阻断传输及根据使用者的需求自己选择继续外发还是阻断外发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restart"/>
            <w:tcBorders>
              <w:top w:val="nil"/>
              <w:left w:val="single" w:color="auto" w:sz="4" w:space="0"/>
              <w:bottom w:val="single" w:color="auto" w:sz="4" w:space="0"/>
              <w:right w:val="single" w:color="auto" w:sz="4" w:space="0"/>
            </w:tcBorders>
            <w:shd w:val="clear" w:color="auto" w:fill="FFFFFF"/>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lang w:bidi="ar"/>
              </w:rPr>
              <w:t>安全管理</w:t>
            </w: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kern w:val="0"/>
                <w:sz w:val="24"/>
                <w:szCs w:val="24"/>
                <w:lang w:bidi="en-US"/>
              </w:rPr>
              <w:t>★</w:t>
            </w:r>
            <w:r>
              <w:rPr>
                <w:rFonts w:ascii="Times New Roman" w:hAnsi="Times New Roman"/>
                <w:color w:val="auto"/>
                <w:sz w:val="24"/>
                <w:szCs w:val="24"/>
                <w:lang w:bidi="ar"/>
              </w:rPr>
              <w:t>支持Syslog日志上传南方电网公司IOS平台及调峰调频公司SOC系统，并提供日志解析说明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698" w:type="pct"/>
            <w:vMerge w:val="continue"/>
            <w:tcBorders>
              <w:top w:val="nil"/>
              <w:left w:val="single" w:color="auto" w:sz="4" w:space="0"/>
              <w:bottom w:val="single" w:color="auto" w:sz="4" w:space="0"/>
              <w:right w:val="single" w:color="auto" w:sz="4" w:space="0"/>
            </w:tcBorders>
            <w:shd w:val="clear" w:color="auto" w:fill="FFFFFF"/>
            <w:vAlign w:val="center"/>
          </w:tcPr>
          <w:p>
            <w:pPr>
              <w:spacing w:line="360" w:lineRule="auto"/>
              <w:rPr>
                <w:rFonts w:ascii="Times New Roman" w:hAnsi="Times New Roman"/>
                <w:color w:val="auto"/>
                <w:sz w:val="24"/>
                <w:szCs w:val="24"/>
              </w:rPr>
            </w:pPr>
          </w:p>
        </w:tc>
        <w:tc>
          <w:tcPr>
            <w:tcW w:w="861" w:type="pct"/>
            <w:vMerge w:val="continue"/>
            <w:tcBorders>
              <w:top w:val="nil"/>
              <w:left w:val="single" w:color="auto" w:sz="4" w:space="0"/>
              <w:bottom w:val="single" w:color="auto" w:sz="4" w:space="0"/>
              <w:right w:val="single" w:color="auto" w:sz="4" w:space="0"/>
            </w:tcBorders>
            <w:shd w:val="clear" w:color="auto" w:fill="FFFFFF"/>
          </w:tcPr>
          <w:p>
            <w:pPr>
              <w:spacing w:line="360" w:lineRule="auto"/>
              <w:rPr>
                <w:rFonts w:ascii="Times New Roman" w:hAnsi="Times New Roman"/>
                <w:color w:val="auto"/>
                <w:sz w:val="24"/>
                <w:szCs w:val="24"/>
              </w:rPr>
            </w:pPr>
          </w:p>
        </w:tc>
        <w:tc>
          <w:tcPr>
            <w:tcW w:w="344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sz w:val="24"/>
                <w:szCs w:val="24"/>
              </w:rPr>
            </w:pPr>
            <w:r>
              <w:rPr>
                <w:rFonts w:ascii="Times New Roman" w:hAnsi="Times New Roman"/>
                <w:color w:val="auto"/>
                <w:kern w:val="0"/>
                <w:sz w:val="24"/>
                <w:szCs w:val="24"/>
                <w:lang w:bidi="en-US"/>
              </w:rPr>
              <w:t>★</w:t>
            </w:r>
            <w:r>
              <w:rPr>
                <w:rFonts w:ascii="Times New Roman" w:hAnsi="Times New Roman"/>
                <w:color w:val="auto"/>
                <w:sz w:val="24"/>
                <w:szCs w:val="24"/>
                <w:lang w:bidi="ar"/>
              </w:rPr>
              <w:t>支持与南方电网IOS平台安全联动接口调用，并配合完成联动测试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服务</w:t>
            </w:r>
          </w:p>
        </w:tc>
        <w:tc>
          <w:tcPr>
            <w:tcW w:w="4301" w:type="pct"/>
            <w:gridSpan w:val="2"/>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提供至少5年免费软硬件维修及升级服务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6"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产品资质</w:t>
            </w:r>
          </w:p>
        </w:tc>
        <w:tc>
          <w:tcPr>
            <w:tcW w:w="4301" w:type="pct"/>
            <w:gridSpan w:val="2"/>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具备中华人民共和国公安部颁发的《计算机信息系统安全专用产品销售许可证》</w:t>
            </w:r>
          </w:p>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具备中国信息安全测评中心颁发的《信息技术产品安全测评证书》，级别EAL3+</w:t>
            </w:r>
          </w:p>
          <w:p>
            <w:pPr>
              <w:widowControl/>
              <w:spacing w:line="360" w:lineRule="auto"/>
              <w:jc w:val="left"/>
              <w:rPr>
                <w:rFonts w:ascii="Times New Roman" w:hAnsi="Times New Roman"/>
                <w:color w:val="auto"/>
                <w:kern w:val="0"/>
                <w:sz w:val="24"/>
                <w:szCs w:val="24"/>
              </w:rPr>
            </w:pPr>
            <w:r>
              <w:rPr>
                <w:rFonts w:ascii="Times New Roman" w:hAnsi="Times New Roman"/>
                <w:color w:val="auto"/>
                <w:kern w:val="0"/>
                <w:sz w:val="24"/>
                <w:szCs w:val="24"/>
                <w:lang w:bidi="ar"/>
              </w:rPr>
              <w:t>具备中国信息安全认证中心的《中国国家信息安全产品认证证书》</w:t>
            </w:r>
          </w:p>
        </w:tc>
      </w:tr>
    </w:tbl>
    <w:p>
      <w:pPr>
        <w:pStyle w:val="4"/>
        <w:widowControl/>
        <w:numPr>
          <w:ilvl w:val="1"/>
          <w:numId w:val="25"/>
        </w:numPr>
        <w:spacing w:line="360" w:lineRule="auto"/>
        <w:ind w:left="0" w:firstLine="482" w:firstLineChars="200"/>
        <w:rPr>
          <w:rFonts w:ascii="Times New Roman" w:hAnsi="Times New Roman"/>
          <w:b/>
          <w:bCs/>
          <w:color w:val="auto"/>
          <w:sz w:val="24"/>
          <w:szCs w:val="24"/>
        </w:rPr>
      </w:pPr>
      <w:bookmarkStart w:id="345" w:name="_Toc11479"/>
      <w:bookmarkStart w:id="346" w:name="_Toc4417"/>
      <w:bookmarkStart w:id="347" w:name="_Toc26035"/>
      <w:bookmarkStart w:id="348" w:name="_Toc18979"/>
      <w:bookmarkStart w:id="349" w:name="_Toc27228"/>
      <w:bookmarkStart w:id="350" w:name="_Toc16053"/>
      <w:bookmarkStart w:id="351" w:name="_Toc30480"/>
      <w:bookmarkStart w:id="352" w:name="_Toc9676"/>
      <w:bookmarkStart w:id="353" w:name="_Toc15468"/>
      <w:bookmarkStart w:id="354" w:name="_Toc17367"/>
      <w:bookmarkStart w:id="355" w:name="_Toc28728"/>
      <w:r>
        <w:rPr>
          <w:rFonts w:ascii="Times New Roman" w:hAnsi="Times New Roman"/>
          <w:b/>
          <w:bCs/>
          <w:color w:val="auto"/>
          <w:sz w:val="24"/>
          <w:szCs w:val="24"/>
        </w:rPr>
        <w:t>堡垒机</w:t>
      </w:r>
      <w:bookmarkEnd w:id="345"/>
      <w:bookmarkEnd w:id="346"/>
      <w:bookmarkEnd w:id="347"/>
      <w:bookmarkEnd w:id="348"/>
      <w:bookmarkEnd w:id="349"/>
      <w:bookmarkEnd w:id="350"/>
      <w:bookmarkEnd w:id="351"/>
      <w:bookmarkEnd w:id="352"/>
      <w:bookmarkEnd w:id="353"/>
      <w:bookmarkEnd w:id="354"/>
      <w:bookmarkEnd w:id="355"/>
    </w:p>
    <w:tbl>
      <w:tblPr>
        <w:tblStyle w:val="56"/>
        <w:tblW w:w="5109" w:type="pct"/>
        <w:jc w:val="center"/>
        <w:tblLayout w:type="autofit"/>
        <w:tblCellMar>
          <w:top w:w="15" w:type="dxa"/>
          <w:left w:w="15" w:type="dxa"/>
          <w:bottom w:w="15" w:type="dxa"/>
          <w:right w:w="15" w:type="dxa"/>
        </w:tblCellMar>
      </w:tblPr>
      <w:tblGrid>
        <w:gridCol w:w="1684"/>
        <w:gridCol w:w="8305"/>
      </w:tblGrid>
      <w:tr>
        <w:tblPrEx>
          <w:tblCellMar>
            <w:top w:w="15" w:type="dxa"/>
            <w:left w:w="15" w:type="dxa"/>
            <w:bottom w:w="15" w:type="dxa"/>
            <w:right w:w="15" w:type="dxa"/>
          </w:tblCellMar>
        </w:tblPrEx>
        <w:trPr>
          <w:trHeight w:val="285" w:hRule="atLeast"/>
          <w:jc w:val="center"/>
        </w:trPr>
        <w:tc>
          <w:tcPr>
            <w:tcW w:w="843"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指标项</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指标要求</w:t>
            </w:r>
          </w:p>
        </w:tc>
      </w:tr>
      <w:tr>
        <w:tblPrEx>
          <w:tblCellMar>
            <w:top w:w="15" w:type="dxa"/>
            <w:left w:w="15" w:type="dxa"/>
            <w:bottom w:w="15" w:type="dxa"/>
            <w:right w:w="15" w:type="dxa"/>
          </w:tblCellMar>
        </w:tblPrEx>
        <w:trPr>
          <w:trHeight w:val="285" w:hRule="atLeast"/>
          <w:jc w:val="center"/>
        </w:trPr>
        <w:tc>
          <w:tcPr>
            <w:tcW w:w="843" w:type="pc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产品形态</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标准1U机架式硬件平台，双交流电源接口，含150个资产授权；工作口标配：千兆电口*4；存储硬盘:1T；字符类并发会话150个，运维用户无限制。</w:t>
            </w:r>
          </w:p>
        </w:tc>
      </w:tr>
      <w:tr>
        <w:tblPrEx>
          <w:tblCellMar>
            <w:top w:w="15" w:type="dxa"/>
            <w:left w:w="15" w:type="dxa"/>
            <w:bottom w:w="15" w:type="dxa"/>
            <w:right w:w="15" w:type="dxa"/>
          </w:tblCellMar>
        </w:tblPrEx>
        <w:trPr>
          <w:trHeight w:val="285" w:hRule="atLeast"/>
          <w:jc w:val="center"/>
        </w:trPr>
        <w:tc>
          <w:tcPr>
            <w:tcW w:w="843" w:type="pct"/>
            <w:vMerge w:val="restar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用户管理要求</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支持用户多角色划分功能，如系统管理员、配置管理员、普通用户、审计管理员、密码管理员等，对各类角色需要进行细粒度的权限管理</w:t>
            </w:r>
          </w:p>
        </w:tc>
      </w:tr>
      <w:tr>
        <w:tblPrEx>
          <w:tblCellMar>
            <w:top w:w="15" w:type="dxa"/>
            <w:left w:w="15" w:type="dxa"/>
            <w:bottom w:w="15" w:type="dxa"/>
            <w:right w:w="15" w:type="dxa"/>
          </w:tblCellMar>
        </w:tblPrEx>
        <w:trPr>
          <w:trHeight w:val="285"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支持用户的批量导入/导出，按用户类型等分组方式；支持用户安全策略功能，如密码锁定次数、密码有效期、密码复杂度、用户有效期、用户登录时间限制、用户登录IP范围等</w:t>
            </w:r>
          </w:p>
        </w:tc>
      </w:tr>
      <w:tr>
        <w:tblPrEx>
          <w:tblCellMar>
            <w:top w:w="15" w:type="dxa"/>
            <w:left w:w="15" w:type="dxa"/>
            <w:bottom w:w="15" w:type="dxa"/>
            <w:right w:w="15" w:type="dxa"/>
          </w:tblCellMar>
        </w:tblPrEx>
        <w:trPr>
          <w:trHeight w:val="337"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支持按部门组织架构（至少5个层级的部门）管理用户数据、资产数据、授权数据、审计数据。</w:t>
            </w:r>
          </w:p>
        </w:tc>
      </w:tr>
      <w:tr>
        <w:tblPrEx>
          <w:tblCellMar>
            <w:top w:w="15" w:type="dxa"/>
            <w:left w:w="15" w:type="dxa"/>
            <w:bottom w:w="15" w:type="dxa"/>
            <w:right w:w="15" w:type="dxa"/>
          </w:tblCellMar>
        </w:tblPrEx>
        <w:trPr>
          <w:trHeight w:val="285" w:hRule="atLeast"/>
          <w:jc w:val="center"/>
        </w:trPr>
        <w:tc>
          <w:tcPr>
            <w:tcW w:w="843" w:type="pct"/>
            <w:vMerge w:val="restar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身份认证要求</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支持与AD、LDAP、RADIUS、短信口令等认证系统联动登录堡垒机，支持自动同步AD/LDAP用户</w:t>
            </w:r>
          </w:p>
        </w:tc>
      </w:tr>
      <w:tr>
        <w:trPr>
          <w:trHeight w:val="398"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支持手机APP动态口令认证方式登录堡垒机，且新用户首次登录后需强制绑定APP动态口令。</w:t>
            </w:r>
          </w:p>
        </w:tc>
      </w:tr>
      <w:tr>
        <w:tblPrEx>
          <w:tblCellMar>
            <w:top w:w="15" w:type="dxa"/>
            <w:left w:w="15" w:type="dxa"/>
            <w:bottom w:w="15" w:type="dxa"/>
            <w:right w:w="15" w:type="dxa"/>
          </w:tblCellMar>
        </w:tblPrEx>
        <w:trPr>
          <w:trHeight w:val="185"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 xml:space="preserve">基于不同的用户设置不同的双因子认证模式，如user1用动态令牌、user2用USBkey、user3手机APP动态口令认证； </w:t>
            </w:r>
          </w:p>
        </w:tc>
      </w:tr>
      <w:tr>
        <w:tblPrEx>
          <w:tblCellMar>
            <w:top w:w="15" w:type="dxa"/>
            <w:left w:w="15" w:type="dxa"/>
            <w:bottom w:w="15" w:type="dxa"/>
            <w:right w:w="15" w:type="dxa"/>
          </w:tblCellMar>
        </w:tblPrEx>
        <w:trPr>
          <w:trHeight w:val="285"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支持域认证与双因子认证结合使用，如同时使用AD/LDAP用户名+AD/LDAP密码+手机APP动态口令登录堡垒机、同时使用AD/LDAP用户名+AD/LDAP密码+短信口令登录堡垒机</w:t>
            </w:r>
          </w:p>
        </w:tc>
      </w:tr>
      <w:tr>
        <w:tblPrEx>
          <w:tblCellMar>
            <w:top w:w="15" w:type="dxa"/>
            <w:left w:w="15" w:type="dxa"/>
            <w:bottom w:w="15" w:type="dxa"/>
            <w:right w:w="15" w:type="dxa"/>
          </w:tblCellMar>
        </w:tblPrEx>
        <w:trPr>
          <w:trHeight w:val="258" w:hRule="atLeast"/>
          <w:jc w:val="center"/>
        </w:trPr>
        <w:tc>
          <w:tcPr>
            <w:tcW w:w="843" w:type="pct"/>
            <w:vMerge w:val="restart"/>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管理支持</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支持常用的运维协议：SSH、TELNET、RDP、VNC、FTP、SFTP、rlogin；可通过应用发布的方式进行协议扩展</w:t>
            </w:r>
            <w:r>
              <w:rPr>
                <w:rFonts w:hint="eastAsia" w:ascii="Times New Roman" w:hAnsi="Times New Roman"/>
                <w:color w:val="auto"/>
                <w:sz w:val="24"/>
                <w:szCs w:val="24"/>
                <w:lang w:bidi="ar"/>
              </w:rPr>
              <w:t>。</w:t>
            </w:r>
          </w:p>
        </w:tc>
      </w:tr>
      <w:tr>
        <w:tblPrEx>
          <w:tblCellMar>
            <w:top w:w="15" w:type="dxa"/>
            <w:left w:w="15" w:type="dxa"/>
            <w:bottom w:w="15" w:type="dxa"/>
            <w:right w:w="15" w:type="dxa"/>
          </w:tblCellMar>
        </w:tblPrEx>
        <w:trPr>
          <w:trHeight w:val="192"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w:t>
            </w:r>
            <w:r>
              <w:rPr>
                <w:rFonts w:hint="eastAsia" w:ascii="Times New Roman" w:hAnsi="Times New Roman"/>
                <w:color w:val="auto"/>
                <w:sz w:val="24"/>
                <w:szCs w:val="24"/>
                <w:lang w:bidi="ar"/>
              </w:rPr>
              <w:t>主流安全可控</w:t>
            </w:r>
            <w:r>
              <w:rPr>
                <w:rFonts w:ascii="Times New Roman" w:hAnsi="Times New Roman"/>
                <w:color w:val="auto"/>
                <w:sz w:val="24"/>
                <w:szCs w:val="24"/>
                <w:lang w:bidi="ar"/>
              </w:rPr>
              <w:t>数据库协议代理运维，可直接调用本地windows系统的数据库客户端工具，支持自动登录、无需应用发布前置机。</w:t>
            </w:r>
          </w:p>
        </w:tc>
      </w:tr>
      <w:tr>
        <w:tblPrEx>
          <w:tblCellMar>
            <w:top w:w="15" w:type="dxa"/>
            <w:left w:w="15" w:type="dxa"/>
            <w:bottom w:w="15" w:type="dxa"/>
            <w:right w:w="15" w:type="dxa"/>
          </w:tblCellMar>
        </w:tblPrEx>
        <w:trPr>
          <w:trHeight w:val="36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IE代填应用发布：HTTP/HTTPS协议的web设备，且可以直接代填账号和密码</w:t>
            </w:r>
          </w:p>
        </w:tc>
      </w:tr>
      <w:tr>
        <w:tblPrEx>
          <w:tblCellMar>
            <w:top w:w="15" w:type="dxa"/>
            <w:left w:w="15" w:type="dxa"/>
            <w:bottom w:w="15" w:type="dxa"/>
            <w:right w:w="15" w:type="dxa"/>
          </w:tblCellMar>
        </w:tblPrEx>
        <w:trPr>
          <w:trHeight w:val="36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支持对设备进行按设备类型分组、按部门分组，支持设备批量导入/导出</w:t>
            </w:r>
          </w:p>
        </w:tc>
      </w:tr>
      <w:tr>
        <w:tblPrEx>
          <w:tblCellMar>
            <w:top w:w="15" w:type="dxa"/>
            <w:left w:w="15" w:type="dxa"/>
            <w:bottom w:w="15" w:type="dxa"/>
            <w:right w:w="15" w:type="dxa"/>
          </w:tblCellMar>
        </w:tblPrEx>
        <w:trPr>
          <w:trHeight w:val="36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支持设备帐户和密码的自动登录、手工登录、半自动登录模式</w:t>
            </w:r>
          </w:p>
        </w:tc>
      </w:tr>
      <w:tr>
        <w:tblPrEx>
          <w:tblCellMar>
            <w:top w:w="15" w:type="dxa"/>
            <w:left w:w="15" w:type="dxa"/>
            <w:bottom w:w="15" w:type="dxa"/>
            <w:right w:w="15" w:type="dxa"/>
          </w:tblCellMar>
        </w:tblPrEx>
        <w:trPr>
          <w:trHeight w:val="76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支持自动收集设备IP、运维协议、端口号、账号、密码、与用户的权限关系，甚至可自动完成授权</w:t>
            </w:r>
          </w:p>
        </w:tc>
      </w:tr>
      <w:tr>
        <w:tblPrEx>
          <w:tblCellMar>
            <w:top w:w="15" w:type="dxa"/>
            <w:left w:w="15" w:type="dxa"/>
            <w:bottom w:w="15" w:type="dxa"/>
            <w:right w:w="15" w:type="dxa"/>
          </w:tblCellMar>
        </w:tblPrEx>
        <w:trPr>
          <w:trHeight w:val="352" w:hRule="atLeast"/>
          <w:jc w:val="center"/>
        </w:trPr>
        <w:tc>
          <w:tcPr>
            <w:tcW w:w="843" w:type="pct"/>
            <w:vMerge w:val="restar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工单流程要求</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运维人员可以向管理员申请需要访问的设备，申请时可以选择：设备IP、设备账户、运维有效期、备注事由等，并且运维工单以邮件方式通知管理员。</w:t>
            </w:r>
          </w:p>
        </w:tc>
      </w:tr>
      <w:tr>
        <w:tblPrEx>
          <w:tblCellMar>
            <w:top w:w="15" w:type="dxa"/>
            <w:left w:w="15" w:type="dxa"/>
            <w:bottom w:w="15" w:type="dxa"/>
            <w:right w:w="15" w:type="dxa"/>
          </w:tblCellMar>
        </w:tblPrEx>
        <w:trPr>
          <w:trHeight w:val="690"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管理员对运维工单进行审核之后以邮件方式通知给运维人员；如果允许，则运维人员才可访问；否则就无法访问。</w:t>
            </w:r>
          </w:p>
        </w:tc>
      </w:tr>
      <w:tr>
        <w:tblPrEx>
          <w:tblCellMar>
            <w:top w:w="15" w:type="dxa"/>
            <w:left w:w="15" w:type="dxa"/>
            <w:bottom w:w="15" w:type="dxa"/>
            <w:right w:w="15" w:type="dxa"/>
          </w:tblCellMar>
        </w:tblPrEx>
        <w:trPr>
          <w:trHeight w:val="38" w:hRule="atLeast"/>
          <w:jc w:val="center"/>
        </w:trPr>
        <w:tc>
          <w:tcPr>
            <w:tcW w:w="843" w:type="pct"/>
            <w:vMerge w:val="restar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自动改密要求</w:t>
            </w:r>
          </w:p>
        </w:tc>
        <w:tc>
          <w:tcPr>
            <w:tcW w:w="4156" w:type="pct"/>
            <w:tcBorders>
              <w:top w:val="single" w:color="000000" w:sz="4" w:space="0"/>
              <w:left w:val="nil"/>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支持定期自动修改服务器、网络设备、</w:t>
            </w:r>
            <w:r>
              <w:rPr>
                <w:rFonts w:hint="eastAsia" w:ascii="Times New Roman" w:hAnsi="Times New Roman"/>
                <w:color w:val="auto"/>
                <w:sz w:val="24"/>
                <w:szCs w:val="24"/>
                <w:lang w:bidi="ar"/>
              </w:rPr>
              <w:t>符合安全要求操作系统</w:t>
            </w:r>
            <w:r>
              <w:rPr>
                <w:rFonts w:ascii="Times New Roman" w:hAnsi="Times New Roman"/>
                <w:color w:val="auto"/>
                <w:sz w:val="24"/>
                <w:szCs w:val="24"/>
                <w:lang w:bidi="ar"/>
              </w:rPr>
              <w:t>等目标设备密码功能。</w:t>
            </w:r>
          </w:p>
        </w:tc>
      </w:tr>
      <w:tr>
        <w:tblPrEx>
          <w:tblCellMar>
            <w:top w:w="15" w:type="dxa"/>
            <w:left w:w="15" w:type="dxa"/>
            <w:bottom w:w="15" w:type="dxa"/>
            <w:right w:w="15" w:type="dxa"/>
          </w:tblCellMar>
        </w:tblPrEx>
        <w:trPr>
          <w:trHeight w:val="123"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自动修改windows服务器密码无需在目标服务器上安装agent、开启telnet服务等</w:t>
            </w:r>
          </w:p>
        </w:tc>
      </w:tr>
      <w:tr>
        <w:tblPrEx>
          <w:tblCellMar>
            <w:top w:w="15" w:type="dxa"/>
            <w:left w:w="15" w:type="dxa"/>
            <w:bottom w:w="15" w:type="dxa"/>
            <w:right w:w="15" w:type="dxa"/>
          </w:tblCellMar>
        </w:tblPrEx>
        <w:trPr>
          <w:trHeight w:val="664"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支持完善的自动改密策略，包括改密前发送密码、发送失败不改密、改密后发送密码、密码文件加密、密码强度控制、自动密码恢复等。发送方式包括邮件、FTP、SFTP等</w:t>
            </w:r>
          </w:p>
        </w:tc>
      </w:tr>
      <w:tr>
        <w:tblPrEx>
          <w:tblCellMar>
            <w:top w:w="15" w:type="dxa"/>
            <w:left w:w="15" w:type="dxa"/>
            <w:bottom w:w="15" w:type="dxa"/>
            <w:right w:w="15" w:type="dxa"/>
          </w:tblCellMar>
        </w:tblPrEx>
        <w:trPr>
          <w:trHeight w:val="598" w:hRule="atLeast"/>
          <w:jc w:val="center"/>
        </w:trPr>
        <w:tc>
          <w:tcPr>
            <w:tcW w:w="843" w:type="pct"/>
            <w:vMerge w:val="restart"/>
            <w:tcBorders>
              <w:top w:val="nil"/>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运维方式要求</w:t>
            </w: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支持通过堡垒机页面直接调用本地系统里的数据库客户端工具。</w:t>
            </w:r>
          </w:p>
        </w:tc>
      </w:tr>
      <w:tr>
        <w:tblPrEx>
          <w:tblCellMar>
            <w:top w:w="15" w:type="dxa"/>
            <w:left w:w="15" w:type="dxa"/>
            <w:bottom w:w="15" w:type="dxa"/>
            <w:right w:w="15" w:type="dxa"/>
          </w:tblCellMar>
        </w:tblPrEx>
        <w:trPr>
          <w:trHeight w:val="538" w:hRule="atLeast"/>
          <w:jc w:val="center"/>
        </w:trPr>
        <w:tc>
          <w:tcPr>
            <w:tcW w:w="843" w:type="pct"/>
            <w:vMerge w:val="continue"/>
            <w:tcBorders>
              <w:top w:val="nil"/>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客户端访问方式：支持使用本地的mstsc/Xshell/SecureCRT/Putty等客户端工具登录堡垒机访问图形或字符设备，视图界面一致性、搜索能力</w:t>
            </w:r>
          </w:p>
        </w:tc>
      </w:tr>
      <w:tr>
        <w:tblPrEx>
          <w:tblCellMar>
            <w:top w:w="15" w:type="dxa"/>
            <w:left w:w="15" w:type="dxa"/>
            <w:bottom w:w="15" w:type="dxa"/>
            <w:right w:w="15" w:type="dxa"/>
          </w:tblCellMar>
        </w:tblPrEx>
        <w:trPr>
          <w:trHeight w:val="393" w:hRule="atLeast"/>
          <w:jc w:val="center"/>
        </w:trPr>
        <w:tc>
          <w:tcPr>
            <w:tcW w:w="843" w:type="pct"/>
            <w:vMerge w:val="continue"/>
            <w:tcBorders>
              <w:top w:val="nil"/>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支持批量登录字符设备功能：能自动生成SecurCRT/Xshell工具的批量登录文件，实现在工具中批量自动登录多台设备。</w:t>
            </w:r>
          </w:p>
        </w:tc>
      </w:tr>
      <w:tr>
        <w:tblPrEx>
          <w:tblCellMar>
            <w:top w:w="15" w:type="dxa"/>
            <w:left w:w="15" w:type="dxa"/>
            <w:bottom w:w="15" w:type="dxa"/>
            <w:right w:w="15" w:type="dxa"/>
          </w:tblCellMar>
        </w:tblPrEx>
        <w:trPr>
          <w:trHeight w:val="385" w:hRule="atLeast"/>
          <w:jc w:val="center"/>
        </w:trPr>
        <w:tc>
          <w:tcPr>
            <w:tcW w:w="843" w:type="pct"/>
            <w:vMerge w:val="continue"/>
            <w:tcBorders>
              <w:top w:val="nil"/>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AD/LDAP环境，支持直接使用登录堡垒机的AD/LDAP用户及密码可以直接自动登录到服务器里。</w:t>
            </w:r>
          </w:p>
        </w:tc>
      </w:tr>
      <w:tr>
        <w:tblPrEx>
          <w:tblCellMar>
            <w:top w:w="15" w:type="dxa"/>
            <w:left w:w="15" w:type="dxa"/>
            <w:bottom w:w="15" w:type="dxa"/>
            <w:right w:w="15" w:type="dxa"/>
          </w:tblCellMar>
        </w:tblPrEx>
        <w:trPr>
          <w:trHeight w:val="285" w:hRule="atLeast"/>
          <w:jc w:val="center"/>
        </w:trPr>
        <w:tc>
          <w:tcPr>
            <w:tcW w:w="843" w:type="pct"/>
            <w:vMerge w:val="restart"/>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审计日志要求</w:t>
            </w: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支持对运维操作会话的在线监控、实时阻断、日志回放、起止时间、来源用户、来源IP、目标设备、协议/应用类型、命令记录、操作内容（如对文件的上传、下载、删除、修改等操作等）的详细行为日志。</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支持保存SSH的sz/rz命令（zmodem）传输的原始文件，并提供第三方权威机构检测报告证明及功能截图</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支持保存SFTP/FTP传输的原始文件，并提供第三方权威机构检测报告证明及功能截图</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支持保存RDP粘贴板（桌面之间复制-粘贴）传输的原始文件，并提供第三方权威机构检测报告证明及功能截图</w:t>
            </w:r>
          </w:p>
        </w:tc>
      </w:tr>
      <w:tr>
        <w:tblPrEx>
          <w:tblCellMar>
            <w:top w:w="15" w:type="dxa"/>
            <w:left w:w="15" w:type="dxa"/>
            <w:bottom w:w="15" w:type="dxa"/>
            <w:right w:w="15" w:type="dxa"/>
          </w:tblCellMar>
        </w:tblPrEx>
        <w:trPr>
          <w:trHeight w:val="253"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支持保存RDP磁盘映射传输的原始文件，并提供第三方权威机构检测报告证明及功能截图</w:t>
            </w:r>
          </w:p>
        </w:tc>
      </w:tr>
      <w:tr>
        <w:tblPrEx>
          <w:tblCellMar>
            <w:top w:w="15" w:type="dxa"/>
            <w:left w:w="15" w:type="dxa"/>
            <w:bottom w:w="15" w:type="dxa"/>
            <w:right w:w="15" w:type="dxa"/>
          </w:tblCellMar>
        </w:tblPrEx>
        <w:trPr>
          <w:trHeight w:val="172"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支持对RDP屏幕文字内容、标题窗口、键盘输入的记录和搜索定位</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支持审计主流数据库运维中的SQL语句，可进行关键信息定位查询</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支持全局搜索审计日志，无需区分图形/字符/文件/应用类型，只需通过关键信息直接搜索定位</w:t>
            </w:r>
          </w:p>
        </w:tc>
      </w:tr>
      <w:tr>
        <w:tblPrEx>
          <w:tblCellMar>
            <w:top w:w="15" w:type="dxa"/>
            <w:left w:w="15" w:type="dxa"/>
            <w:bottom w:w="15" w:type="dxa"/>
            <w:right w:w="15" w:type="dxa"/>
          </w:tblCellMar>
        </w:tblPrEx>
        <w:trPr>
          <w:trHeight w:val="401" w:hRule="atLeast"/>
          <w:jc w:val="center"/>
        </w:trPr>
        <w:tc>
          <w:tcPr>
            <w:tcW w:w="843" w:type="pct"/>
            <w:vMerge w:val="continue"/>
            <w:tcBorders>
              <w:top w:val="single" w:color="000000" w:sz="4" w:space="0"/>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tcPr>
          <w:p>
            <w:pPr>
              <w:spacing w:line="360" w:lineRule="auto"/>
              <w:rPr>
                <w:rFonts w:ascii="Times New Roman" w:hAnsi="Times New Roman"/>
                <w:color w:val="auto"/>
                <w:sz w:val="24"/>
                <w:szCs w:val="24"/>
              </w:rPr>
            </w:pPr>
            <w:r>
              <w:rPr>
                <w:rFonts w:ascii="Times New Roman" w:hAnsi="Times New Roman"/>
                <w:color w:val="auto"/>
                <w:sz w:val="24"/>
                <w:szCs w:val="24"/>
                <w:lang w:bidi="ar"/>
              </w:rPr>
              <w:t>审计数据支持通过SFTP/FTP方式自动归档，并在页面中可以查询哪些数据是否归档，可以设置归档成功之后自动删除数据，归档后的数据可以用专用播放器离线查看</w:t>
            </w:r>
          </w:p>
        </w:tc>
      </w:tr>
      <w:tr>
        <w:tblPrEx>
          <w:tblCellMar>
            <w:top w:w="15" w:type="dxa"/>
            <w:left w:w="15" w:type="dxa"/>
            <w:bottom w:w="15" w:type="dxa"/>
            <w:right w:w="15" w:type="dxa"/>
          </w:tblCellMar>
        </w:tblPrEx>
        <w:trPr>
          <w:trHeight w:val="318" w:hRule="atLeast"/>
          <w:jc w:val="center"/>
        </w:trPr>
        <w:tc>
          <w:tcPr>
            <w:tcW w:w="843" w:type="pct"/>
            <w:vMerge w:val="restart"/>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安全策略要求</w:t>
            </w:r>
          </w:p>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支持通过基于时间、IP/IP段、用户/用户组、设备/设备组、设备账号、命令关键字、命令关键字正则表达式、危险级别、黑白名单等组合访问控制策略，授权用户可访问的目标设备。</w:t>
            </w:r>
          </w:p>
        </w:tc>
      </w:tr>
      <w:tr>
        <w:tblPrEx>
          <w:tblCellMar>
            <w:top w:w="15" w:type="dxa"/>
            <w:left w:w="15" w:type="dxa"/>
            <w:bottom w:w="15" w:type="dxa"/>
            <w:right w:w="15" w:type="dxa"/>
          </w:tblCellMar>
        </w:tblPrEx>
        <w:trPr>
          <w:trHeight w:val="428"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对重要设备启用登录审核功能，运维人员须向管理员申请登录，管理员允许之后才可登录；否则无法登录</w:t>
            </w:r>
          </w:p>
        </w:tc>
      </w:tr>
      <w:tr>
        <w:tblPrEx>
          <w:tblCellMar>
            <w:top w:w="15" w:type="dxa"/>
            <w:left w:w="15" w:type="dxa"/>
            <w:bottom w:w="15" w:type="dxa"/>
            <w:right w:w="15" w:type="dxa"/>
          </w:tblCellMar>
        </w:tblPrEx>
        <w:trPr>
          <w:trHeight w:val="33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支持对重要命令进行审核：运维人员执行命令后，须等到管理员审批通过后才可执行成功</w:t>
            </w:r>
          </w:p>
        </w:tc>
      </w:tr>
      <w:tr>
        <w:tblPrEx>
          <w:tblCellMar>
            <w:top w:w="15" w:type="dxa"/>
            <w:left w:w="15" w:type="dxa"/>
            <w:bottom w:w="15" w:type="dxa"/>
            <w:right w:w="15" w:type="dxa"/>
          </w:tblCellMar>
        </w:tblPrEx>
        <w:trPr>
          <w:trHeight w:val="33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支持自动推送命令任务，如可自动备份交换机/路由器的配置信息、可自动执行周期任务；并将结果以邮件/FTP/SFTP的方式发送给相关管理员</w:t>
            </w:r>
          </w:p>
        </w:tc>
      </w:tr>
      <w:tr>
        <w:tblPrEx>
          <w:tblCellMar>
            <w:top w:w="15" w:type="dxa"/>
            <w:left w:w="15" w:type="dxa"/>
            <w:bottom w:w="15" w:type="dxa"/>
            <w:right w:w="15" w:type="dxa"/>
          </w:tblCellMar>
        </w:tblPrEx>
        <w:trPr>
          <w:trHeight w:val="330" w:hRule="atLeast"/>
          <w:jc w:val="center"/>
        </w:trPr>
        <w:tc>
          <w:tcPr>
            <w:tcW w:w="843" w:type="pct"/>
            <w:vMerge w:val="continue"/>
            <w:tcBorders>
              <w:top w:val="nil"/>
              <w:left w:val="single" w:color="000000" w:sz="4" w:space="0"/>
              <w:bottom w:val="nil"/>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支持运维空闲会话时间限制功能</w:t>
            </w:r>
          </w:p>
        </w:tc>
      </w:tr>
      <w:tr>
        <w:tblPrEx>
          <w:tblCellMar>
            <w:top w:w="15" w:type="dxa"/>
            <w:left w:w="15" w:type="dxa"/>
            <w:bottom w:w="15" w:type="dxa"/>
            <w:right w:w="15" w:type="dxa"/>
          </w:tblCellMar>
        </w:tblPrEx>
        <w:trPr>
          <w:trHeight w:val="326" w:hRule="atLeast"/>
          <w:jc w:val="center"/>
        </w:trPr>
        <w:tc>
          <w:tcPr>
            <w:tcW w:w="843" w:type="pct"/>
            <w:vMerge w:val="restar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报表统计要求</w:t>
            </w:r>
          </w:p>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内置丰富的报表统计模板，可点击柱状图、饼状图或曲线图进行数据钻取分析，且支持PDF、doc、html格式导出</w:t>
            </w:r>
          </w:p>
        </w:tc>
      </w:tr>
      <w:tr>
        <w:tblPrEx>
          <w:tblCellMar>
            <w:top w:w="15" w:type="dxa"/>
            <w:left w:w="15" w:type="dxa"/>
            <w:bottom w:w="15" w:type="dxa"/>
            <w:right w:w="15" w:type="dxa"/>
          </w:tblCellMar>
        </w:tblPrEx>
        <w:trPr>
          <w:trHeight w:val="285" w:hRule="atLeast"/>
          <w:jc w:val="center"/>
        </w:trPr>
        <w:tc>
          <w:tcPr>
            <w:tcW w:w="843" w:type="pct"/>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内置根据运维人员和组生成各种维度的分析报表，维度包含总为运维次数、时长、活动时长、会话起止时间、会话大小、命令数、上传下载文件数，分别从全局及平均值、最大值、最小值、单次运维、单个会话等角度提供非常有价值有意义的报表</w:t>
            </w:r>
          </w:p>
        </w:tc>
      </w:tr>
      <w:tr>
        <w:tblPrEx>
          <w:tblCellMar>
            <w:top w:w="15" w:type="dxa"/>
            <w:left w:w="15" w:type="dxa"/>
            <w:bottom w:w="15" w:type="dxa"/>
            <w:right w:w="15" w:type="dxa"/>
          </w:tblCellMar>
        </w:tblPrEx>
        <w:trPr>
          <w:trHeight w:val="285" w:hRule="atLeast"/>
          <w:jc w:val="center"/>
        </w:trPr>
        <w:tc>
          <w:tcPr>
            <w:tcW w:w="843" w:type="pct"/>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支持运维报表自动定期发送，提供一键导出符合等级保护、SOX法案要求的综合分析报告</w:t>
            </w:r>
          </w:p>
        </w:tc>
      </w:tr>
      <w:tr>
        <w:trPr>
          <w:trHeight w:val="285" w:hRule="atLeast"/>
          <w:jc w:val="center"/>
        </w:trPr>
        <w:tc>
          <w:tcPr>
            <w:tcW w:w="843" w:type="pct"/>
            <w:vMerge w:val="restart"/>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系统管理要求</w:t>
            </w:r>
          </w:p>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支持自身审计，包括但不限于：系统状态检测、登录日志、用户配置日志、设备配置日志、授权配置日志、策略配置日志、运维访问日志、系统配置日志等</w:t>
            </w:r>
          </w:p>
        </w:tc>
      </w:tr>
      <w:tr>
        <w:tblPrEx>
          <w:tblCellMar>
            <w:top w:w="15" w:type="dxa"/>
            <w:left w:w="15" w:type="dxa"/>
            <w:bottom w:w="15" w:type="dxa"/>
            <w:right w:w="15" w:type="dxa"/>
          </w:tblCellMar>
        </w:tblPrEx>
        <w:trPr>
          <w:trHeight w:val="285" w:hRule="atLeast"/>
          <w:jc w:val="center"/>
        </w:trPr>
        <w:tc>
          <w:tcPr>
            <w:tcW w:w="843"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支持系统日志报表统计功能，包括但不限于登录日志统计、配置日志统计、运维访问日志统计等，可以导出报表</w:t>
            </w:r>
          </w:p>
        </w:tc>
      </w:tr>
      <w:tr>
        <w:tblPrEx>
          <w:tblCellMar>
            <w:top w:w="15" w:type="dxa"/>
            <w:left w:w="15" w:type="dxa"/>
            <w:bottom w:w="15" w:type="dxa"/>
            <w:right w:w="15" w:type="dxa"/>
          </w:tblCellMar>
        </w:tblPrEx>
        <w:trPr>
          <w:trHeight w:val="285" w:hRule="atLeast"/>
          <w:jc w:val="center"/>
        </w:trPr>
        <w:tc>
          <w:tcPr>
            <w:tcW w:w="843"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提供排错工具：ping、TCP端口检测、UDP端口检测、路由跟踪等</w:t>
            </w:r>
          </w:p>
        </w:tc>
      </w:tr>
      <w:tr>
        <w:tblPrEx>
          <w:tblCellMar>
            <w:top w:w="15" w:type="dxa"/>
            <w:left w:w="15" w:type="dxa"/>
            <w:bottom w:w="15" w:type="dxa"/>
            <w:right w:w="15" w:type="dxa"/>
          </w:tblCellMar>
        </w:tblPrEx>
        <w:trPr>
          <w:trHeight w:val="285" w:hRule="atLeast"/>
          <w:jc w:val="center"/>
        </w:trPr>
        <w:tc>
          <w:tcPr>
            <w:tcW w:w="843" w:type="pct"/>
            <w:vMerge w:val="continue"/>
            <w:tcBorders>
              <w:top w:val="nil"/>
              <w:left w:val="single" w:color="auto" w:sz="4" w:space="0"/>
              <w:bottom w:val="single" w:color="auto" w:sz="4" w:space="0"/>
              <w:right w:val="single" w:color="auto"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需提供用户、资产、授权的增删改查等API接口，允许第三方平台调用堡垒机的API接口，实现用户、资产、权限自动同步到堡垒机，简化堡垒机配置工作量</w:t>
            </w:r>
          </w:p>
        </w:tc>
      </w:tr>
      <w:tr>
        <w:tblPrEx>
          <w:tblCellMar>
            <w:top w:w="15" w:type="dxa"/>
            <w:left w:w="15" w:type="dxa"/>
            <w:bottom w:w="15" w:type="dxa"/>
            <w:right w:w="15" w:type="dxa"/>
          </w:tblCellMar>
        </w:tblPrEx>
        <w:trPr>
          <w:trHeight w:val="534" w:hRule="atLeast"/>
          <w:jc w:val="center"/>
        </w:trPr>
        <w:tc>
          <w:tcPr>
            <w:tcW w:w="843" w:type="pct"/>
            <w:vMerge w:val="continue"/>
            <w:tcBorders>
              <w:top w:val="nil"/>
              <w:left w:val="single" w:color="auto" w:sz="4" w:space="0"/>
              <w:bottom w:val="nil"/>
              <w:right w:val="single" w:color="auto" w:sz="4" w:space="0"/>
            </w:tcBorders>
            <w:vAlign w:val="center"/>
          </w:tcPr>
          <w:p>
            <w:pPr>
              <w:spacing w:line="360" w:lineRule="auto"/>
              <w:rPr>
                <w:rFonts w:ascii="Times New Roman" w:hAnsi="Times New Roman"/>
                <w:color w:val="auto"/>
                <w:sz w:val="24"/>
                <w:szCs w:val="24"/>
              </w:rPr>
            </w:pPr>
          </w:p>
        </w:tc>
        <w:tc>
          <w:tcPr>
            <w:tcW w:w="4156" w:type="pct"/>
            <w:tcBorders>
              <w:top w:val="single" w:color="000000" w:sz="4" w:space="0"/>
              <w:left w:val="nil"/>
              <w:bottom w:val="single" w:color="000000" w:sz="4" w:space="0"/>
              <w:right w:val="single" w:color="000000" w:sz="4" w:space="0"/>
            </w:tcBorders>
            <w:vAlign w:val="center"/>
          </w:tcPr>
          <w:p>
            <w:pPr>
              <w:spacing w:line="360" w:lineRule="auto"/>
              <w:rPr>
                <w:rFonts w:ascii="Times New Roman" w:hAnsi="Times New Roman"/>
                <w:color w:val="auto"/>
                <w:sz w:val="24"/>
                <w:szCs w:val="24"/>
              </w:rPr>
            </w:pPr>
            <w:r>
              <w:rPr>
                <w:rFonts w:ascii="Times New Roman" w:hAnsi="Times New Roman"/>
                <w:color w:val="auto"/>
                <w:sz w:val="24"/>
                <w:szCs w:val="24"/>
                <w:lang w:bidi="ar"/>
              </w:rPr>
              <w:t>支持和同品牌数据库审计系统进行联动，将通过SSH/RDP等加密方式操作数据库的行为整合到数据库审计中，实现数据库行为的统一集中查询、展示、审计分析等</w:t>
            </w:r>
          </w:p>
        </w:tc>
      </w:tr>
    </w:tbl>
    <w:p>
      <w:pPr>
        <w:pStyle w:val="3"/>
        <w:numPr>
          <w:ilvl w:val="0"/>
          <w:numId w:val="25"/>
        </w:numPr>
        <w:spacing w:line="360" w:lineRule="auto"/>
        <w:rPr>
          <w:rFonts w:ascii="Times New Roman" w:hAnsi="Times New Roman"/>
          <w:color w:val="auto"/>
          <w:sz w:val="24"/>
          <w:szCs w:val="24"/>
        </w:rPr>
      </w:pPr>
      <w:bookmarkStart w:id="356" w:name="_Toc25963"/>
      <w:bookmarkStart w:id="357" w:name="_Toc13512"/>
      <w:bookmarkStart w:id="358" w:name="_Toc4320"/>
      <w:bookmarkStart w:id="359" w:name="_Toc22773"/>
      <w:bookmarkStart w:id="360" w:name="_Toc12071"/>
      <w:bookmarkStart w:id="361" w:name="_Toc167881926"/>
      <w:bookmarkStart w:id="362" w:name="_Toc114"/>
      <w:bookmarkStart w:id="363" w:name="_Toc12471"/>
      <w:bookmarkStart w:id="364" w:name="_Toc14531"/>
      <w:bookmarkStart w:id="365" w:name="_Toc21735"/>
      <w:bookmarkStart w:id="366" w:name="_Toc32354"/>
      <w:bookmarkStart w:id="367" w:name="_Toc3176"/>
      <w:bookmarkStart w:id="368" w:name="_Toc592"/>
      <w:bookmarkStart w:id="369" w:name="_Toc2649"/>
      <w:bookmarkStart w:id="370" w:name="_Toc2221"/>
      <w:r>
        <w:rPr>
          <w:rFonts w:ascii="Times New Roman" w:hAnsi="Times New Roman"/>
          <w:color w:val="auto"/>
          <w:sz w:val="24"/>
          <w:szCs w:val="24"/>
        </w:rPr>
        <w:t>通信电源系统技术要求</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pPr>
        <w:pStyle w:val="4"/>
        <w:numPr>
          <w:ilvl w:val="1"/>
          <w:numId w:val="25"/>
        </w:numPr>
        <w:spacing w:line="360" w:lineRule="auto"/>
        <w:rPr>
          <w:rFonts w:ascii="Times New Roman" w:hAnsi="Times New Roman"/>
          <w:b/>
          <w:bCs/>
          <w:color w:val="auto"/>
          <w:sz w:val="24"/>
          <w:szCs w:val="24"/>
        </w:rPr>
      </w:pPr>
      <w:bookmarkStart w:id="371" w:name="_Toc31437"/>
      <w:bookmarkStart w:id="372" w:name="_Toc7166"/>
      <w:bookmarkStart w:id="373" w:name="_Toc1877"/>
      <w:bookmarkStart w:id="374" w:name="_Toc22654"/>
      <w:bookmarkStart w:id="375" w:name="_Toc14315"/>
      <w:bookmarkStart w:id="376" w:name="_Toc17513"/>
      <w:bookmarkStart w:id="377" w:name="_Toc6027"/>
      <w:r>
        <w:rPr>
          <w:rFonts w:ascii="Times New Roman" w:hAnsi="Times New Roman"/>
          <w:b/>
          <w:bCs/>
          <w:color w:val="auto"/>
          <w:sz w:val="24"/>
          <w:szCs w:val="24"/>
        </w:rPr>
        <w:t>交流配电柜技术要求</w:t>
      </w:r>
      <w:bookmarkEnd w:id="371"/>
      <w:bookmarkEnd w:id="372"/>
      <w:bookmarkEnd w:id="373"/>
      <w:bookmarkEnd w:id="374"/>
      <w:bookmarkEnd w:id="375"/>
      <w:bookmarkEnd w:id="376"/>
      <w:bookmarkEnd w:id="377"/>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通用技术要求</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广东电白抽水蓄能电站机房电源系统分别布置在办公楼信通机房、开关站信通机房、</w:t>
      </w:r>
      <w:r>
        <w:rPr>
          <w:rFonts w:ascii="Times New Roman" w:hAnsi="Times New Roman"/>
          <w:color w:val="auto"/>
          <w:sz w:val="24"/>
          <w:szCs w:val="24"/>
        </w:rPr>
        <w:t>地下厂房副厂房</w:t>
      </w:r>
      <w:r>
        <w:rPr>
          <w:rFonts w:hint="default" w:ascii="Times New Roman" w:hAnsi="Times New Roman"/>
          <w:color w:val="auto"/>
          <w:sz w:val="24"/>
          <w:szCs w:val="24"/>
        </w:rPr>
        <w:t>数据机房。</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从电站各总配电房引2路输入配电母线的三相0.4kV市电，通过供电低压电缆分别引入2路电源到办公楼、地下厂房、开关站电源室配电柜1与配电柜2，2台配电柜分别向电源室的不同组UPS、通信电源等提供交流电源，UPS与通信电源输出柜直接向机柜供电。</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由电站各总配电房把引自2路输入配电母线的三相0.4kV市电，通过供电低压电缆分别引入2路电源到办公楼、地下厂房、开关站电源室的动力配电柜，向机房的空调、照明、新风机、插座等供电。</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上、下库电房从房间一次配电室的配电柜取市电，分别向</w:t>
      </w:r>
      <w:r>
        <w:rPr>
          <w:rFonts w:ascii="Times New Roman" w:hAnsi="Times New Roman"/>
          <w:color w:val="auto"/>
          <w:sz w:val="24"/>
          <w:szCs w:val="24"/>
        </w:rPr>
        <w:t>机柜</w:t>
      </w:r>
      <w:r>
        <w:rPr>
          <w:rFonts w:hint="default" w:ascii="Times New Roman" w:hAnsi="Times New Roman"/>
          <w:color w:val="auto"/>
          <w:sz w:val="24"/>
          <w:szCs w:val="24"/>
        </w:rPr>
        <w:t>设备提供</w:t>
      </w:r>
      <w:r>
        <w:rPr>
          <w:rFonts w:ascii="Times New Roman" w:hAnsi="Times New Roman"/>
          <w:color w:val="auto"/>
          <w:sz w:val="24"/>
          <w:szCs w:val="24"/>
        </w:rPr>
        <w:t>双路不同母线</w:t>
      </w:r>
      <w:r>
        <w:rPr>
          <w:rFonts w:hint="default" w:ascii="Times New Roman" w:hAnsi="Times New Roman"/>
          <w:color w:val="auto"/>
          <w:sz w:val="24"/>
          <w:szCs w:val="24"/>
        </w:rPr>
        <w:t>电源。</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通信电源系统盘柜设计应满足南方电网通信电源技术规范Q/CSG1204081-2020。</w:t>
      </w:r>
    </w:p>
    <w:p>
      <w:pPr>
        <w:pStyle w:val="106"/>
        <w:spacing w:line="360" w:lineRule="auto"/>
        <w:ind w:firstLine="480" w:firstLineChars="200"/>
        <w:rPr>
          <w:color w:val="auto"/>
        </w:rPr>
      </w:pPr>
      <w:r>
        <w:rPr>
          <w:color w:val="auto"/>
        </w:rPr>
        <w:t>供配电系统图如下所示，具体方案以后续深化设计方案为准：</w:t>
      </w:r>
    </w:p>
    <w:p>
      <w:pPr>
        <w:pStyle w:val="106"/>
        <w:spacing w:line="360" w:lineRule="auto"/>
        <w:ind w:firstLine="480" w:firstLineChars="200"/>
        <w:jc w:val="center"/>
        <w:rPr>
          <w:color w:val="auto"/>
        </w:rPr>
      </w:pPr>
      <w:r>
        <w:rPr>
          <w:color w:val="auto"/>
        </w:rPr>
        <w:object>
          <v:shape id="_x0000_i1025" o:spt="75" type="#_x0000_t75" style="height:220.3pt;width:453.4pt;" o:ole="t" filled="f" o:preferrelative="t" stroked="f" coordsize="21600,21600">
            <v:path/>
            <v:fill on="f" focussize="0,0"/>
            <v:stroke on="f" joinstyle="miter"/>
            <v:imagedata r:id="rId28" o:title=""/>
            <o:lock v:ext="edit" aspectratio="f"/>
            <w10:wrap type="none"/>
            <w10:anchorlock/>
          </v:shape>
          <o:OLEObject Type="Embed" ProgID="Visio.Drawing.15" ShapeID="_x0000_i1025" DrawAspect="Content" ObjectID="_1468075725" r:id="rId27">
            <o:LockedField>false</o:LockedField>
          </o:OLEObject>
        </w:object>
      </w:r>
    </w:p>
    <w:p>
      <w:pPr>
        <w:pStyle w:val="106"/>
        <w:spacing w:line="360" w:lineRule="auto"/>
        <w:ind w:firstLine="480" w:firstLineChars="200"/>
        <w:jc w:val="center"/>
        <w:rPr>
          <w:color w:val="auto"/>
        </w:rPr>
      </w:pPr>
      <w:r>
        <w:rPr>
          <w:color w:val="auto"/>
        </w:rPr>
        <w:t>图8.1-1 供配电总架构图</w:t>
      </w:r>
    </w:p>
    <w:p>
      <w:pPr>
        <w:pStyle w:val="118"/>
        <w:numPr>
          <w:ilvl w:val="3"/>
          <w:numId w:val="25"/>
        </w:numPr>
        <w:spacing w:before="0" w:after="0"/>
        <w:rPr>
          <w:rFonts w:ascii="Times New Roman" w:hAnsi="Times New Roman"/>
          <w:color w:val="auto"/>
          <w:sz w:val="24"/>
          <w:szCs w:val="24"/>
        </w:rPr>
      </w:pPr>
      <w:bookmarkStart w:id="378" w:name="_Toc59996807"/>
      <w:bookmarkStart w:id="379" w:name="_Toc519033148"/>
      <w:bookmarkStart w:id="380" w:name="_Toc29487"/>
      <w:bookmarkStart w:id="381" w:name="_Toc4535"/>
      <w:bookmarkStart w:id="382" w:name="_Toc65773289"/>
      <w:bookmarkStart w:id="383" w:name="_Toc449779612"/>
      <w:bookmarkStart w:id="384" w:name="_Toc334001938"/>
      <w:r>
        <w:rPr>
          <w:rFonts w:ascii="Times New Roman" w:hAnsi="Times New Roman"/>
          <w:color w:val="auto"/>
          <w:sz w:val="24"/>
          <w:szCs w:val="24"/>
        </w:rPr>
        <w:t>配电柜工艺要求</w:t>
      </w:r>
      <w:bookmarkEnd w:id="378"/>
      <w:bookmarkEnd w:id="379"/>
      <w:bookmarkEnd w:id="380"/>
      <w:bookmarkEnd w:id="381"/>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bookmarkStart w:id="385" w:name="_Toc66702221"/>
      <w:bookmarkEnd w:id="385"/>
      <w:bookmarkStart w:id="386" w:name="_Toc59996808"/>
      <w:bookmarkEnd w:id="386"/>
      <w:bookmarkStart w:id="387" w:name="_Toc66702172"/>
      <w:bookmarkEnd w:id="387"/>
      <w:bookmarkStart w:id="388" w:name="_Toc40372528"/>
      <w:bookmarkEnd w:id="388"/>
      <w:bookmarkStart w:id="389" w:name="_Toc295918454"/>
      <w:r>
        <w:rPr>
          <w:rFonts w:ascii="Times New Roman" w:eastAsia="宋体"/>
          <w:color w:val="auto"/>
          <w:sz w:val="24"/>
          <w:szCs w:val="24"/>
        </w:rPr>
        <w:t>对结构的要求</w:t>
      </w:r>
      <w:bookmarkEnd w:id="389"/>
    </w:p>
    <w:p>
      <w:pPr>
        <w:widowControl/>
        <w:numPr>
          <w:ilvl w:val="0"/>
          <w:numId w:val="49"/>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配电柜应具有三层安全保护：即打开柜门后，带电导体部分不能裸露，必需配备绝缘隔板和端子罩盖，以防止发生触电事故，确保操作人员的人身安全；开关柜门加锁，还可以防止非操作人员进行操作，造成事故的发生。</w:t>
      </w:r>
    </w:p>
    <w:p>
      <w:pPr>
        <w:widowControl/>
        <w:numPr>
          <w:ilvl w:val="0"/>
          <w:numId w:val="49"/>
        </w:numPr>
        <w:adjustRightInd w:val="0"/>
        <w:snapToGrid w:val="0"/>
        <w:spacing w:line="360" w:lineRule="auto"/>
        <w:ind w:left="0" w:firstLine="480" w:firstLineChars="200"/>
        <w:jc w:val="left"/>
        <w:rPr>
          <w:rFonts w:ascii="Times New Roman" w:hAnsi="Times New Roman"/>
          <w:color w:val="auto"/>
          <w:sz w:val="24"/>
          <w:szCs w:val="24"/>
        </w:rPr>
      </w:pPr>
      <w:bookmarkStart w:id="390" w:name="_Toc292813300"/>
      <w:r>
        <w:rPr>
          <w:rFonts w:ascii="Times New Roman" w:hAnsi="Times New Roman"/>
          <w:color w:val="auto"/>
          <w:sz w:val="24"/>
          <w:szCs w:val="24"/>
        </w:rPr>
        <w:t>所有的设备应该是新造的、能够经久耐用。</w:t>
      </w:r>
      <w:bookmarkEnd w:id="390"/>
    </w:p>
    <w:p>
      <w:pPr>
        <w:widowControl/>
        <w:numPr>
          <w:ilvl w:val="0"/>
          <w:numId w:val="49"/>
        </w:numPr>
        <w:adjustRightInd w:val="0"/>
        <w:snapToGrid w:val="0"/>
        <w:spacing w:line="360" w:lineRule="auto"/>
        <w:ind w:left="0" w:firstLine="480" w:firstLineChars="200"/>
        <w:jc w:val="left"/>
        <w:rPr>
          <w:rFonts w:ascii="Times New Roman" w:hAnsi="Times New Roman"/>
          <w:color w:val="auto"/>
          <w:sz w:val="24"/>
          <w:szCs w:val="24"/>
        </w:rPr>
      </w:pPr>
      <w:bookmarkStart w:id="391" w:name="_Toc292813301"/>
      <w:r>
        <w:rPr>
          <w:rFonts w:ascii="Times New Roman" w:hAnsi="Times New Roman"/>
          <w:color w:val="auto"/>
          <w:sz w:val="24"/>
          <w:szCs w:val="24"/>
        </w:rPr>
        <w:t>所有的设备在结构上应该便于拆装、检查和安装。</w:t>
      </w:r>
      <w:bookmarkEnd w:id="391"/>
    </w:p>
    <w:p>
      <w:pPr>
        <w:widowControl/>
        <w:numPr>
          <w:ilvl w:val="0"/>
          <w:numId w:val="49"/>
        </w:numPr>
        <w:adjustRightInd w:val="0"/>
        <w:snapToGrid w:val="0"/>
        <w:spacing w:line="360" w:lineRule="auto"/>
        <w:ind w:left="0" w:firstLine="480" w:firstLineChars="200"/>
        <w:jc w:val="left"/>
        <w:rPr>
          <w:rFonts w:ascii="Times New Roman" w:hAnsi="Times New Roman"/>
          <w:color w:val="auto"/>
          <w:sz w:val="24"/>
          <w:szCs w:val="24"/>
        </w:rPr>
      </w:pPr>
      <w:bookmarkStart w:id="392" w:name="_Toc292813302"/>
      <w:r>
        <w:rPr>
          <w:rFonts w:ascii="Times New Roman" w:hAnsi="Times New Roman"/>
          <w:color w:val="auto"/>
          <w:sz w:val="24"/>
          <w:szCs w:val="24"/>
        </w:rPr>
        <w:t>制造设备用的材料应是对其性能经过严格检查后所挑选出的材料。</w:t>
      </w:r>
      <w:bookmarkEnd w:id="392"/>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bookmarkStart w:id="393" w:name="_Toc295918455"/>
      <w:r>
        <w:rPr>
          <w:rFonts w:ascii="Times New Roman" w:eastAsia="宋体"/>
          <w:color w:val="auto"/>
          <w:sz w:val="24"/>
          <w:szCs w:val="24"/>
        </w:rPr>
        <w:t>涂漆和防锈</w:t>
      </w:r>
      <w:bookmarkEnd w:id="393"/>
    </w:p>
    <w:p>
      <w:pPr>
        <w:widowControl/>
        <w:numPr>
          <w:ilvl w:val="0"/>
          <w:numId w:val="50"/>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配电柜骨架采用2mm厚的冷轧板，并须经防腐处理，静电喷涂哑光面漆，有较强的耐腐蚀能力。</w:t>
      </w:r>
    </w:p>
    <w:p>
      <w:pPr>
        <w:widowControl/>
        <w:numPr>
          <w:ilvl w:val="0"/>
          <w:numId w:val="50"/>
        </w:numPr>
        <w:adjustRightInd w:val="0"/>
        <w:snapToGrid w:val="0"/>
        <w:spacing w:line="360" w:lineRule="auto"/>
        <w:ind w:left="0" w:firstLine="480" w:firstLineChars="200"/>
        <w:jc w:val="left"/>
        <w:rPr>
          <w:rFonts w:ascii="Times New Roman" w:hAnsi="Times New Roman"/>
          <w:color w:val="auto"/>
          <w:sz w:val="24"/>
          <w:szCs w:val="24"/>
        </w:rPr>
      </w:pPr>
      <w:bookmarkStart w:id="394" w:name="_Toc292813304"/>
      <w:r>
        <w:rPr>
          <w:rFonts w:ascii="Times New Roman" w:hAnsi="Times New Roman"/>
          <w:color w:val="auto"/>
          <w:sz w:val="24"/>
          <w:szCs w:val="24"/>
        </w:rPr>
        <w:t>除了有色金属零件、镀锌钢件和机械精加工面以外, 其他所有的外露金属零部件应该先经过除锈处理后立即涂一层底漆。</w:t>
      </w:r>
      <w:bookmarkEnd w:id="394"/>
    </w:p>
    <w:p>
      <w:pPr>
        <w:widowControl/>
        <w:numPr>
          <w:ilvl w:val="0"/>
          <w:numId w:val="50"/>
        </w:numPr>
        <w:adjustRightInd w:val="0"/>
        <w:snapToGrid w:val="0"/>
        <w:spacing w:line="360" w:lineRule="auto"/>
        <w:ind w:left="0" w:firstLine="480" w:firstLineChars="200"/>
        <w:jc w:val="left"/>
        <w:rPr>
          <w:rFonts w:ascii="Times New Roman" w:hAnsi="Times New Roman"/>
          <w:color w:val="auto"/>
          <w:sz w:val="24"/>
          <w:szCs w:val="24"/>
        </w:rPr>
      </w:pPr>
      <w:bookmarkStart w:id="395" w:name="_Toc292813305"/>
      <w:r>
        <w:rPr>
          <w:rFonts w:ascii="Times New Roman" w:hAnsi="Times New Roman"/>
          <w:color w:val="auto"/>
          <w:sz w:val="24"/>
          <w:szCs w:val="24"/>
        </w:rPr>
        <w:t>所有的涂漆应能经受得住机械振动以及热和油的作用而不致会出现划痕或者变软。</w:t>
      </w:r>
      <w:bookmarkEnd w:id="395"/>
    </w:p>
    <w:p>
      <w:pPr>
        <w:widowControl/>
        <w:numPr>
          <w:ilvl w:val="0"/>
          <w:numId w:val="50"/>
        </w:numPr>
        <w:adjustRightInd w:val="0"/>
        <w:snapToGrid w:val="0"/>
        <w:spacing w:line="360" w:lineRule="auto"/>
        <w:ind w:left="0" w:firstLine="480" w:firstLineChars="200"/>
        <w:jc w:val="left"/>
        <w:rPr>
          <w:rFonts w:ascii="Times New Roman" w:hAnsi="Times New Roman"/>
          <w:color w:val="auto"/>
          <w:sz w:val="24"/>
          <w:szCs w:val="24"/>
        </w:rPr>
      </w:pPr>
      <w:bookmarkStart w:id="396" w:name="_Toc292813306"/>
      <w:r>
        <w:rPr>
          <w:rFonts w:ascii="Times New Roman" w:hAnsi="Times New Roman"/>
          <w:color w:val="auto"/>
          <w:sz w:val="24"/>
          <w:szCs w:val="24"/>
        </w:rPr>
        <w:t>屏上的涂漆应该使用合成树脂化合物喷涂成具有哑光的表面层。</w:t>
      </w:r>
      <w:bookmarkEnd w:id="396"/>
    </w:p>
    <w:p>
      <w:pPr>
        <w:widowControl/>
        <w:numPr>
          <w:ilvl w:val="0"/>
          <w:numId w:val="50"/>
        </w:numPr>
        <w:adjustRightInd w:val="0"/>
        <w:snapToGrid w:val="0"/>
        <w:spacing w:line="360" w:lineRule="auto"/>
        <w:ind w:left="0" w:firstLine="480" w:firstLineChars="200"/>
        <w:jc w:val="left"/>
        <w:rPr>
          <w:rFonts w:ascii="Times New Roman" w:hAnsi="Times New Roman"/>
          <w:color w:val="auto"/>
          <w:sz w:val="24"/>
          <w:szCs w:val="24"/>
        </w:rPr>
      </w:pPr>
      <w:bookmarkStart w:id="397" w:name="_Toc292813307"/>
      <w:r>
        <w:rPr>
          <w:rFonts w:ascii="Times New Roman" w:hAnsi="Times New Roman"/>
          <w:color w:val="auto"/>
          <w:sz w:val="24"/>
          <w:szCs w:val="24"/>
        </w:rPr>
        <w:t>屏上的涂漆应有良好附着力，不低于《橡胶塑料拉力、压力和弯曲试验机(恒速驱动) 技术规范》GB/T 1720-2008规定的2级。</w:t>
      </w:r>
      <w:bookmarkEnd w:id="397"/>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屏柜要求</w:t>
      </w:r>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根据资产全生命周期管理要求，所有供应物资必须进行标签管理。各供应商必须承诺按照相关要求，对所供应的物资进行标签贴标工作，将相关信息在出厂前写入标签。</w:t>
      </w:r>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屏柜不同回路两带电导体之间以及带电导体与裸露不带电导体之间的最小距离，均应符合《电力系统继电保护及安全自动装置柜(屏)通用技术条件》DL/T 720-2013中规定的最小电气间隙与爬电距离的要求。</w:t>
      </w:r>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bookmarkStart w:id="398" w:name="_Toc292813316"/>
      <w:r>
        <w:rPr>
          <w:rFonts w:ascii="Times New Roman" w:hAnsi="Times New Roman"/>
          <w:color w:val="auto"/>
          <w:sz w:val="24"/>
          <w:szCs w:val="24"/>
        </w:rPr>
        <w:t>为了提高运行的可靠性, 设备应采用成套插入式结构。</w:t>
      </w:r>
      <w:bookmarkEnd w:id="398"/>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屏柜采用全封闭结构，屏体防护等级不低于IP40。柜体选用高强度钢组合结构，应能承受所安装元件及短路时所产生的动、热稳定，同时不因设备的吊装、运输等情况而影响设备的性能。</w:t>
      </w:r>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屏柜的底面应有安装用的支撑板，柜体必须完全矩形，对角线误差符合国家标准，与相邻屏柜在安装尺寸上能很好配合。</w:t>
      </w:r>
    </w:p>
    <w:p>
      <w:pPr>
        <w:widowControl/>
        <w:numPr>
          <w:ilvl w:val="0"/>
          <w:numId w:val="51"/>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低压回路颜色</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在交流回路中：</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A相        黄色</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B相        绿色</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C相        红色</w:t>
      </w:r>
    </w:p>
    <w:p>
      <w:pPr>
        <w:adjustRightInd w:val="0"/>
        <w:snapToGrid w:val="0"/>
        <w:spacing w:line="360" w:lineRule="auto"/>
        <w:ind w:firstLine="480" w:firstLineChars="200"/>
        <w:rPr>
          <w:color w:val="auto"/>
        </w:rPr>
      </w:pPr>
      <w:r>
        <w:rPr>
          <w:rFonts w:ascii="Times New Roman" w:hAnsi="Times New Roman"/>
          <w:color w:val="auto"/>
          <w:sz w:val="24"/>
          <w:szCs w:val="24"/>
        </w:rPr>
        <w:t>中性线      蓝色</w:t>
      </w:r>
    </w:p>
    <w:p>
      <w:pPr>
        <w:adjustRightInd w:val="0"/>
        <w:snapToGrid w:val="0"/>
        <w:spacing w:line="360" w:lineRule="auto"/>
        <w:ind w:firstLine="480" w:firstLineChars="200"/>
        <w:rPr>
          <w:color w:val="auto"/>
        </w:rPr>
      </w:pPr>
      <w:r>
        <w:rPr>
          <w:rFonts w:hint="eastAsia" w:ascii="Times New Roman" w:hAnsi="Times New Roman"/>
          <w:color w:val="auto"/>
          <w:sz w:val="24"/>
          <w:szCs w:val="24"/>
        </w:rPr>
        <w:t>地</w:t>
      </w:r>
      <w:r>
        <w:rPr>
          <w:rFonts w:ascii="Times New Roman" w:hAnsi="Times New Roman"/>
          <w:color w:val="auto"/>
          <w:sz w:val="24"/>
          <w:szCs w:val="24"/>
        </w:rPr>
        <w:t xml:space="preserve">线      </w:t>
      </w:r>
      <w:r>
        <w:rPr>
          <w:rFonts w:hint="eastAsia" w:ascii="Times New Roman" w:hAnsi="Times New Roman"/>
          <w:color w:val="auto"/>
          <w:sz w:val="24"/>
          <w:szCs w:val="24"/>
        </w:rPr>
        <w:t xml:space="preserve">  黄绿色</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在直流回路中：</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＋（正极）    </w:t>
      </w:r>
      <w:r>
        <w:rPr>
          <w:rFonts w:hint="eastAsia" w:ascii="Times New Roman" w:hAnsi="Times New Roman"/>
          <w:color w:val="auto"/>
          <w:sz w:val="24"/>
          <w:szCs w:val="24"/>
        </w:rPr>
        <w:t>红色</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－（负极）    蓝色</w:t>
      </w:r>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接地</w:t>
      </w:r>
    </w:p>
    <w:p>
      <w:pPr>
        <w:widowControl/>
        <w:numPr>
          <w:ilvl w:val="0"/>
          <w:numId w:val="52"/>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交流电源输入的</w:t>
      </w:r>
      <w:r>
        <w:rPr>
          <w:rFonts w:hint="eastAsia" w:ascii="Times New Roman" w:hAnsi="Times New Roman"/>
          <w:color w:val="auto"/>
          <w:sz w:val="24"/>
          <w:szCs w:val="24"/>
        </w:rPr>
        <w:t>配电柜</w:t>
      </w:r>
      <w:r>
        <w:rPr>
          <w:rFonts w:ascii="Times New Roman" w:hAnsi="Times New Roman"/>
          <w:color w:val="auto"/>
          <w:sz w:val="24"/>
          <w:szCs w:val="24"/>
        </w:rPr>
        <w:t>应有工作接零，供电电缆中应含有中性线芯。中性线芯不应与</w:t>
      </w:r>
      <w:r>
        <w:rPr>
          <w:rFonts w:hint="eastAsia" w:ascii="Times New Roman" w:hAnsi="Times New Roman"/>
          <w:color w:val="auto"/>
          <w:sz w:val="24"/>
          <w:szCs w:val="24"/>
        </w:rPr>
        <w:t>配电柜</w:t>
      </w:r>
      <w:r>
        <w:rPr>
          <w:rFonts w:ascii="Times New Roman" w:hAnsi="Times New Roman"/>
          <w:color w:val="auto"/>
          <w:sz w:val="24"/>
          <w:szCs w:val="24"/>
        </w:rPr>
        <w:t>的金属外壳相连接。</w:t>
      </w:r>
    </w:p>
    <w:p>
      <w:pPr>
        <w:widowControl/>
        <w:numPr>
          <w:ilvl w:val="0"/>
          <w:numId w:val="52"/>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当采用三相五线制交流电源向</w:t>
      </w:r>
      <w:r>
        <w:rPr>
          <w:rFonts w:hint="eastAsia" w:ascii="Times New Roman" w:hAnsi="Times New Roman"/>
          <w:color w:val="auto"/>
          <w:sz w:val="24"/>
          <w:szCs w:val="24"/>
        </w:rPr>
        <w:t>配电柜</w:t>
      </w:r>
      <w:r>
        <w:rPr>
          <w:rFonts w:ascii="Times New Roman" w:hAnsi="Times New Roman"/>
          <w:color w:val="auto"/>
          <w:sz w:val="24"/>
          <w:szCs w:val="24"/>
        </w:rPr>
        <w:t>供电时，供电电缆中应含有中性线芯和保护接地线芯。接地线芯应与</w:t>
      </w:r>
      <w:r>
        <w:rPr>
          <w:rFonts w:hint="eastAsia" w:ascii="Times New Roman" w:hAnsi="Times New Roman"/>
          <w:color w:val="auto"/>
          <w:sz w:val="24"/>
          <w:szCs w:val="24"/>
        </w:rPr>
        <w:t>配电柜</w:t>
      </w:r>
      <w:r>
        <w:rPr>
          <w:rFonts w:ascii="Times New Roman" w:hAnsi="Times New Roman"/>
          <w:color w:val="auto"/>
          <w:sz w:val="24"/>
          <w:szCs w:val="24"/>
        </w:rPr>
        <w:t>的金属外壳相连接。接地线芯材料和截面应符合相关规范的要求。</w:t>
      </w:r>
    </w:p>
    <w:p>
      <w:pPr>
        <w:widowControl/>
        <w:numPr>
          <w:ilvl w:val="0"/>
          <w:numId w:val="52"/>
        </w:numPr>
        <w:adjustRightInd w:val="0"/>
        <w:snapToGrid w:val="0"/>
        <w:spacing w:line="360" w:lineRule="auto"/>
        <w:ind w:left="0" w:firstLine="480" w:firstLineChars="200"/>
        <w:jc w:val="left"/>
        <w:rPr>
          <w:rFonts w:ascii="Times New Roman" w:hAnsi="Times New Roman"/>
          <w:color w:val="auto"/>
          <w:sz w:val="24"/>
          <w:szCs w:val="24"/>
        </w:rPr>
      </w:pPr>
      <w:bookmarkStart w:id="399" w:name="_Toc292813355"/>
      <w:r>
        <w:rPr>
          <w:rFonts w:hint="eastAsia" w:ascii="Times New Roman" w:hAnsi="Times New Roman"/>
          <w:color w:val="auto"/>
          <w:sz w:val="24"/>
          <w:szCs w:val="24"/>
        </w:rPr>
        <w:t>配电柜</w:t>
      </w:r>
      <w:r>
        <w:rPr>
          <w:rFonts w:ascii="Times New Roman" w:hAnsi="Times New Roman"/>
          <w:color w:val="auto"/>
          <w:sz w:val="24"/>
          <w:szCs w:val="24"/>
        </w:rPr>
        <w:t>下部应设有截面不小于</w:t>
      </w:r>
      <w:r>
        <w:rPr>
          <w:rFonts w:hint="eastAsia" w:ascii="Times New Roman" w:hAnsi="Times New Roman"/>
          <w:color w:val="auto"/>
          <w:sz w:val="24"/>
          <w:szCs w:val="24"/>
        </w:rPr>
        <w:t>宽</w:t>
      </w:r>
      <w:r>
        <w:rPr>
          <w:rFonts w:ascii="Times New Roman" w:hAnsi="Times New Roman"/>
          <w:color w:val="auto"/>
          <w:sz w:val="24"/>
          <w:szCs w:val="24"/>
        </w:rPr>
        <w:t>25</w:t>
      </w:r>
      <w:r>
        <w:rPr>
          <w:rFonts w:hint="eastAsia" w:ascii="Times New Roman" w:hAnsi="Times New Roman"/>
          <w:color w:val="auto"/>
          <w:sz w:val="24"/>
          <w:szCs w:val="24"/>
        </w:rPr>
        <w:t>mm</w:t>
      </w:r>
      <w:r>
        <w:rPr>
          <w:rFonts w:ascii="Times New Roman" w:hAnsi="Times New Roman"/>
          <w:color w:val="auto"/>
          <w:sz w:val="24"/>
          <w:szCs w:val="24"/>
        </w:rPr>
        <w:t>×</w:t>
      </w:r>
      <w:r>
        <w:rPr>
          <w:rFonts w:hint="eastAsia" w:ascii="Times New Roman" w:hAnsi="Times New Roman"/>
          <w:color w:val="auto"/>
          <w:sz w:val="24"/>
          <w:szCs w:val="24"/>
        </w:rPr>
        <w:t>厚</w:t>
      </w:r>
      <w:r>
        <w:rPr>
          <w:rFonts w:ascii="Times New Roman" w:hAnsi="Times New Roman"/>
          <w:color w:val="auto"/>
          <w:sz w:val="24"/>
          <w:szCs w:val="24"/>
        </w:rPr>
        <w:t>4mm的专用的接地铜排母线，铜排应提供两排螺丝连接孔，每排不少于20个孔。螺丝孔径为Ф5.2mm，孔中心纵向至铜排长边距离为10mm，还应配套提供螺丝组件（含螺杆、螺帽、垫片、弹簧垫片、线耳）。外界地网接地点采用两个Ф</w:t>
      </w:r>
      <w:r>
        <w:rPr>
          <w:rFonts w:hint="eastAsia" w:ascii="Times New Roman" w:hAnsi="Times New Roman"/>
          <w:color w:val="auto"/>
          <w:sz w:val="24"/>
          <w:szCs w:val="24"/>
        </w:rPr>
        <w:t>12</w:t>
      </w:r>
      <w:r>
        <w:rPr>
          <w:rFonts w:ascii="Times New Roman" w:hAnsi="Times New Roman"/>
          <w:color w:val="auto"/>
          <w:sz w:val="24"/>
          <w:szCs w:val="24"/>
        </w:rPr>
        <w:t>mm规格螺丝连接孔及相应螺丝组件，分别布置在铜排两端，距铜排端部50mm。</w:t>
      </w:r>
      <w:bookmarkEnd w:id="399"/>
      <w:r>
        <w:rPr>
          <w:rFonts w:ascii="Times New Roman" w:hAnsi="Times New Roman"/>
          <w:color w:val="auto"/>
          <w:sz w:val="24"/>
          <w:szCs w:val="24"/>
        </w:rPr>
        <w:t>屏柜上的设备或装置应有接地端子，并用截面</w:t>
      </w:r>
      <w:r>
        <w:rPr>
          <w:rFonts w:hint="eastAsia" w:ascii="Times New Roman" w:hAnsi="Times New Roman"/>
          <w:color w:val="auto"/>
          <w:sz w:val="24"/>
          <w:szCs w:val="24"/>
        </w:rPr>
        <w:t>满足规范</w:t>
      </w:r>
      <w:r>
        <w:rPr>
          <w:rFonts w:ascii="Times New Roman" w:hAnsi="Times New Roman"/>
          <w:color w:val="auto"/>
          <w:sz w:val="24"/>
          <w:szCs w:val="24"/>
        </w:rPr>
        <w:t>的多股绝缘铜绞线或电缆与接地铜排连接。</w:t>
      </w:r>
    </w:p>
    <w:p>
      <w:pPr>
        <w:widowControl/>
        <w:numPr>
          <w:ilvl w:val="0"/>
          <w:numId w:val="52"/>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屏柜所有导电的非带电部件应安全接地。</w:t>
      </w:r>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屏柜温升</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屏柜各部位温升不应超出《电力系统继电保护柜、屏通用技术条件》DL/T 720-2013中的规定，对长期带电发热的元器件，安装位置应靠上方。屏柜结构设计应利于散热、并注意防尘。</w:t>
      </w:r>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bookmarkStart w:id="400" w:name="_Toc292813357"/>
      <w:r>
        <w:rPr>
          <w:rFonts w:ascii="Times New Roman" w:eastAsia="宋体"/>
          <w:color w:val="auto"/>
          <w:sz w:val="24"/>
          <w:szCs w:val="24"/>
        </w:rPr>
        <w:t>屏柜绝缘性能</w:t>
      </w:r>
      <w:bookmarkEnd w:id="400"/>
    </w:p>
    <w:p>
      <w:pPr>
        <w:adjustRightInd w:val="0"/>
        <w:snapToGrid w:val="0"/>
        <w:spacing w:line="360" w:lineRule="auto"/>
        <w:ind w:firstLine="480" w:firstLineChars="200"/>
        <w:rPr>
          <w:rFonts w:ascii="Times New Roman" w:hAnsi="Times New Roman"/>
          <w:color w:val="auto"/>
          <w:sz w:val="24"/>
          <w:szCs w:val="24"/>
        </w:rPr>
      </w:pPr>
      <w:bookmarkStart w:id="401" w:name="_Toc292813358"/>
      <w:r>
        <w:rPr>
          <w:rFonts w:ascii="Times New Roman" w:hAnsi="Times New Roman"/>
          <w:color w:val="auto"/>
          <w:sz w:val="24"/>
          <w:szCs w:val="24"/>
        </w:rPr>
        <w:t>用开路电压为直流500V的测试仪测量各回路之间的绝缘电阻，应满足：</w:t>
      </w:r>
      <w:bookmarkEnd w:id="401"/>
    </w:p>
    <w:p>
      <w:pPr>
        <w:widowControl/>
        <w:numPr>
          <w:ilvl w:val="0"/>
          <w:numId w:val="53"/>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所有带电回路（或与地有良好接触的金属框架）之间的绝缘电阻应不小于5MΩ；</w:t>
      </w:r>
    </w:p>
    <w:p>
      <w:pPr>
        <w:widowControl/>
        <w:numPr>
          <w:ilvl w:val="0"/>
          <w:numId w:val="53"/>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无电气联系的各带电回路之间的绝缘电阻应不小于10MΩ；</w:t>
      </w:r>
    </w:p>
    <w:p>
      <w:pPr>
        <w:widowControl/>
        <w:numPr>
          <w:ilvl w:val="0"/>
          <w:numId w:val="53"/>
        </w:numPr>
        <w:adjustRightInd w:val="0"/>
        <w:snapToGrid w:val="0"/>
        <w:spacing w:line="360" w:lineRule="auto"/>
        <w:ind w:left="0" w:firstLine="480" w:firstLineChars="200"/>
        <w:jc w:val="left"/>
        <w:rPr>
          <w:rFonts w:ascii="Times New Roman" w:hAnsi="Times New Roman"/>
          <w:color w:val="auto"/>
          <w:sz w:val="24"/>
          <w:szCs w:val="24"/>
        </w:rPr>
      </w:pPr>
      <w:bookmarkStart w:id="402" w:name="_Toc292813359"/>
      <w:r>
        <w:rPr>
          <w:rFonts w:ascii="Times New Roman" w:hAnsi="Times New Roman"/>
          <w:color w:val="auto"/>
          <w:sz w:val="24"/>
          <w:szCs w:val="24"/>
        </w:rPr>
        <w:t>介质强度满足《电力系统继电保护及安全自动装置柜(屏)通用技术条件》DL/T 720-2013中的规定。</w:t>
      </w:r>
      <w:bookmarkEnd w:id="402"/>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铭牌</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铭牌应符合国标的要求，铭牌用耐腐蚀材料制成，字样、符号应清晰耐久，铭牌应在正常条件运行和安装位置明显可见。铭牌上至少应标明以下内容（要求中文注明）：</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设备名称</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型号。</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技术参数：UPS电源容量（kVA）、额定输入电压/电流（V/A）、额定输出电压/电流（V/A）、直流标称电压（V）。</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质量（kg）。</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出厂编号。</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制造年月。</w:t>
      </w:r>
    </w:p>
    <w:p>
      <w:pPr>
        <w:widowControl/>
        <w:numPr>
          <w:ilvl w:val="0"/>
          <w:numId w:val="54"/>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制造厂名。</w:t>
      </w:r>
    </w:p>
    <w:p>
      <w:pPr>
        <w:pStyle w:val="103"/>
        <w:numPr>
          <w:ilvl w:val="3"/>
          <w:numId w:val="48"/>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其他要求</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内元器件及成套装置的安装应牢固、可靠，且应标注醒目的代（符）号，该代（符）号应与原理接线图中文字符号标志一致，要求字迹清晰易辨、不褪色、不脱落、布置均匀。屏柜内所有设备、元件应排列整齐, 层次分明, 便于运行、调试、维修和拆装。</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屏柜内使用的电器元件，如开关、按钮等应操作灵活，测量仪表应满足精度要求，各类声光指示信号应能正确反映各元件的工作状况。</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柜内器件应有独立模块、分区安装（分主路、支路及监控采集处理模块区），各区之间用钢板或高强度阻燃塑料功能板相互隔开；防止某一室发生故障时影响至相邻设备的正常工作，并防止人体接触，保证人身安全；</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内选用的连接导线截面面积、绝缘性能等技术参数应符合相关标准的规定。导线的排列应横平竖直、布置合理、整齐美观，推荐采用行线槽的配线方式。导线捆扎应结实可靠，不能损伤绝缘导线外绝缘。绝缘导线束不允许直接紧贴金属结构件敷设，穿越金属构件时应有保护导线绝缘不受损伤的措施。绝缘导线不允许承受减少其正常使用寿命的外力。连接导线的中间不允许有接头。</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内主母线应采用阻燃绝缘铜母线，母线截面应按额定载流量选择，并应进行短路电流热稳定校验，及按最大负荷电流校验其温度不超过绝缘体的允许事故过负荷温度。主母线及其相应回路，应能满足母线出口短路时的动稳定要求。</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屏柜内采用电力端子，一个端子只允许接入一根导线。电流在63A及以下的馈线应经电力端子出线。端子宜装设在屏柜两侧或中部下方，以便于电缆连接。端子应有明显的编号，端子排间应有足够的绝缘,端子排应根据功能分段排列，各回路之间、电源回路与其它端子之间要设置隔离端子，并应留有10~15%的备用端子。端子排应牢固固定，使其不致于振动、发热等而变松，同时还应能方便地进行检查和维护。屏内端子连接应牢固可靠，应能满足长期通过额定电流要求。</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直流正负极之间应采用空端子隔开。</w:t>
      </w:r>
    </w:p>
    <w:p>
      <w:pPr>
        <w:widowControl/>
        <w:numPr>
          <w:ilvl w:val="0"/>
          <w:numId w:val="55"/>
        </w:numPr>
        <w:adjustRightInd w:val="0"/>
        <w:snapToGrid w:val="0"/>
        <w:spacing w:line="360" w:lineRule="auto"/>
        <w:ind w:left="0" w:firstLine="480" w:firstLineChars="200"/>
        <w:jc w:val="left"/>
        <w:rPr>
          <w:rFonts w:ascii="Times New Roman" w:hAnsi="Times New Roman"/>
          <w:color w:val="auto"/>
          <w:sz w:val="24"/>
          <w:szCs w:val="24"/>
        </w:rPr>
      </w:pPr>
      <w:r>
        <w:rPr>
          <w:rFonts w:ascii="Times New Roman" w:hAnsi="Times New Roman"/>
          <w:color w:val="auto"/>
          <w:sz w:val="24"/>
          <w:szCs w:val="24"/>
        </w:rPr>
        <w:t>交流输出母线排绝缘阻燃热缩套管安装牢固可靠、相色正确。</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运行条件</w:t>
      </w:r>
      <w:bookmarkEnd w:id="382"/>
    </w:p>
    <w:tbl>
      <w:tblPr>
        <w:tblStyle w:val="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3142"/>
        <w:gridCol w:w="5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rPr>
                <w:rFonts w:ascii="Times New Roman" w:hAnsi="Times New Roman"/>
                <w:b/>
                <w:bCs/>
                <w:color w:val="auto"/>
                <w:sz w:val="24"/>
                <w:szCs w:val="24"/>
              </w:rPr>
            </w:pPr>
            <w:bookmarkStart w:id="403" w:name="_Toc65773290"/>
            <w:r>
              <w:rPr>
                <w:rFonts w:ascii="Times New Roman" w:hAnsi="Times New Roman"/>
                <w:b/>
                <w:bCs/>
                <w:color w:val="auto"/>
                <w:sz w:val="24"/>
                <w:szCs w:val="24"/>
              </w:rPr>
              <w:t>序号</w:t>
            </w:r>
          </w:p>
        </w:tc>
        <w:tc>
          <w:tcPr>
            <w:tcW w:w="1577" w:type="pct"/>
            <w:vAlign w:val="center"/>
          </w:tcPr>
          <w:p>
            <w:pPr>
              <w:spacing w:line="360" w:lineRule="auto"/>
              <w:jc w:val="center"/>
              <w:rPr>
                <w:rFonts w:ascii="Times New Roman" w:hAnsi="Times New Roman"/>
                <w:b/>
                <w:bCs/>
                <w:color w:val="auto"/>
                <w:sz w:val="24"/>
                <w:szCs w:val="24"/>
              </w:rPr>
            </w:pPr>
            <w:r>
              <w:rPr>
                <w:rFonts w:ascii="Times New Roman" w:hAnsi="Times New Roman"/>
                <w:b/>
                <w:bCs/>
                <w:color w:val="auto"/>
                <w:sz w:val="24"/>
                <w:szCs w:val="24"/>
              </w:rPr>
              <w:t>项目</w:t>
            </w:r>
          </w:p>
        </w:tc>
        <w:tc>
          <w:tcPr>
            <w:tcW w:w="2977" w:type="pct"/>
            <w:vAlign w:val="center"/>
          </w:tcPr>
          <w:p>
            <w:pPr>
              <w:spacing w:line="360" w:lineRule="auto"/>
              <w:jc w:val="center"/>
              <w:rPr>
                <w:rFonts w:ascii="Times New Roman" w:hAnsi="Times New Roman"/>
                <w:b/>
                <w:bCs/>
                <w:color w:val="auto"/>
                <w:sz w:val="24"/>
                <w:szCs w:val="24"/>
              </w:rPr>
            </w:pPr>
            <w:r>
              <w:rPr>
                <w:rFonts w:ascii="Times New Roman" w:hAnsi="Times New Roman"/>
                <w:b/>
                <w:bCs/>
                <w:color w:val="auto"/>
                <w:sz w:val="24"/>
                <w:szCs w:val="24"/>
              </w:rPr>
              <w:t>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rPr>
              <w:t>1</w:t>
            </w:r>
          </w:p>
        </w:tc>
        <w:tc>
          <w:tcPr>
            <w:tcW w:w="1577" w:type="pct"/>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rPr>
              <w:t>周围空气温度</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z w:val="24"/>
                <w:szCs w:val="24"/>
              </w:rPr>
              <w:t>最高温度：+45℃；最低气温：“-5”级为-5℃，</w:t>
            </w:r>
          </w:p>
          <w:p>
            <w:pPr>
              <w:spacing w:line="360" w:lineRule="auto"/>
              <w:jc w:val="left"/>
              <w:rPr>
                <w:rFonts w:ascii="Times New Roman" w:hAnsi="Times New Roman"/>
                <w:color w:val="auto"/>
                <w:sz w:val="24"/>
                <w:szCs w:val="24"/>
              </w:rPr>
            </w:pPr>
            <w:r>
              <w:rPr>
                <w:rFonts w:ascii="Times New Roman" w:hAnsi="Times New Roman"/>
                <w:color w:val="auto"/>
                <w:sz w:val="24"/>
                <w:szCs w:val="24"/>
              </w:rPr>
              <w:t>“-15”级为-15℃，“-25”级为-25℃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b/>
                <w:color w:val="auto"/>
                <w:sz w:val="24"/>
                <w:szCs w:val="24"/>
              </w:rPr>
            </w:pPr>
            <w:r>
              <w:rPr>
                <w:rFonts w:ascii="Times New Roman" w:hAnsi="Times New Roman"/>
                <w:color w:val="auto"/>
                <w:sz w:val="24"/>
                <w:szCs w:val="24"/>
              </w:rPr>
              <w:t>2</w:t>
            </w:r>
          </w:p>
        </w:tc>
        <w:tc>
          <w:tcPr>
            <w:tcW w:w="1577" w:type="pct"/>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rPr>
              <w:t>海拔高度</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z w:val="24"/>
                <w:szCs w:val="24"/>
              </w:rPr>
              <w:t>≤2000m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b/>
                <w:color w:val="auto"/>
                <w:sz w:val="24"/>
                <w:szCs w:val="24"/>
              </w:rPr>
            </w:pPr>
            <w:r>
              <w:rPr>
                <w:rFonts w:ascii="Times New Roman" w:hAnsi="Times New Roman"/>
                <w:color w:val="auto"/>
                <w:sz w:val="24"/>
                <w:szCs w:val="24"/>
              </w:rPr>
              <w:t>3</w:t>
            </w:r>
          </w:p>
        </w:tc>
        <w:tc>
          <w:tcPr>
            <w:tcW w:w="1577" w:type="pct"/>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rPr>
              <w:t>环境相对湿度(在45℃时)</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z w:val="24"/>
                <w:szCs w:val="24"/>
              </w:rPr>
              <w:t>日平均值不超过：95%；月平均值不超过：90%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b/>
                <w:color w:val="auto"/>
                <w:sz w:val="24"/>
                <w:szCs w:val="24"/>
              </w:rPr>
            </w:pPr>
            <w:r>
              <w:rPr>
                <w:rFonts w:ascii="Times New Roman" w:hAnsi="Times New Roman"/>
                <w:color w:val="auto"/>
                <w:sz w:val="24"/>
                <w:szCs w:val="24"/>
              </w:rPr>
              <w:t>4</w:t>
            </w:r>
          </w:p>
        </w:tc>
        <w:tc>
          <w:tcPr>
            <w:tcW w:w="1577" w:type="pct"/>
            <w:vAlign w:val="center"/>
          </w:tcPr>
          <w:p>
            <w:pPr>
              <w:spacing w:line="360" w:lineRule="auto"/>
              <w:jc w:val="center"/>
              <w:rPr>
                <w:rFonts w:ascii="Times New Roman" w:hAnsi="Times New Roman"/>
                <w:color w:val="auto"/>
                <w:sz w:val="24"/>
                <w:szCs w:val="24"/>
              </w:rPr>
            </w:pPr>
            <w:r>
              <w:rPr>
                <w:rFonts w:ascii="Times New Roman" w:hAnsi="Times New Roman"/>
                <w:color w:val="auto"/>
                <w:sz w:val="24"/>
                <w:szCs w:val="24"/>
              </w:rPr>
              <w:t>地震烈度：</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pacing w:val="16"/>
                <w:sz w:val="24"/>
                <w:szCs w:val="24"/>
              </w:rPr>
              <w:t>不大于9</w:t>
            </w:r>
            <w:r>
              <w:rPr>
                <w:rFonts w:ascii="Times New Roman" w:hAnsi="Times New Roman"/>
                <w:color w:val="auto"/>
                <w:sz w:val="24"/>
                <w:szCs w:val="24"/>
              </w:rPr>
              <w:t>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b/>
                <w:color w:val="auto"/>
                <w:sz w:val="24"/>
                <w:szCs w:val="24"/>
              </w:rPr>
            </w:pPr>
            <w:r>
              <w:rPr>
                <w:rFonts w:ascii="Times New Roman" w:hAnsi="Times New Roman"/>
                <w:color w:val="auto"/>
                <w:sz w:val="24"/>
                <w:szCs w:val="24"/>
              </w:rPr>
              <w:t>5</w:t>
            </w:r>
          </w:p>
        </w:tc>
        <w:tc>
          <w:tcPr>
            <w:tcW w:w="1577" w:type="pct"/>
            <w:vAlign w:val="center"/>
          </w:tcPr>
          <w:p>
            <w:pPr>
              <w:spacing w:line="360" w:lineRule="auto"/>
              <w:jc w:val="center"/>
              <w:rPr>
                <w:rFonts w:ascii="Times New Roman" w:hAnsi="Times New Roman"/>
                <w:b/>
                <w:color w:val="auto"/>
                <w:spacing w:val="16"/>
                <w:sz w:val="24"/>
                <w:szCs w:val="24"/>
              </w:rPr>
            </w:pPr>
            <w:r>
              <w:rPr>
                <w:rFonts w:ascii="Times New Roman" w:hAnsi="Times New Roman"/>
                <w:color w:val="auto"/>
                <w:sz w:val="24"/>
                <w:szCs w:val="24"/>
              </w:rPr>
              <w:t>加速度</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z w:val="24"/>
                <w:szCs w:val="24"/>
              </w:rPr>
              <w:t>水平加速度：0.25g；垂直加速度：0.125g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45" w:type="pct"/>
            <w:vAlign w:val="center"/>
          </w:tcPr>
          <w:p>
            <w:pPr>
              <w:spacing w:line="360" w:lineRule="auto"/>
              <w:jc w:val="center"/>
              <w:rPr>
                <w:rFonts w:ascii="Times New Roman" w:hAnsi="Times New Roman"/>
                <w:b/>
                <w:color w:val="auto"/>
                <w:sz w:val="24"/>
                <w:szCs w:val="24"/>
              </w:rPr>
            </w:pPr>
            <w:r>
              <w:rPr>
                <w:rFonts w:ascii="Times New Roman" w:hAnsi="Times New Roman"/>
                <w:color w:val="auto"/>
                <w:sz w:val="24"/>
                <w:szCs w:val="24"/>
              </w:rPr>
              <w:t>6</w:t>
            </w:r>
          </w:p>
        </w:tc>
        <w:tc>
          <w:tcPr>
            <w:tcW w:w="1577" w:type="pct"/>
            <w:vAlign w:val="center"/>
          </w:tcPr>
          <w:p>
            <w:pPr>
              <w:spacing w:line="360" w:lineRule="auto"/>
              <w:jc w:val="center"/>
              <w:rPr>
                <w:rFonts w:ascii="Times New Roman" w:hAnsi="Times New Roman"/>
                <w:b/>
                <w:color w:val="auto"/>
                <w:spacing w:val="16"/>
                <w:sz w:val="24"/>
                <w:szCs w:val="24"/>
              </w:rPr>
            </w:pPr>
            <w:r>
              <w:rPr>
                <w:rFonts w:ascii="Times New Roman" w:hAnsi="Times New Roman"/>
                <w:color w:val="auto"/>
                <w:sz w:val="24"/>
                <w:szCs w:val="24"/>
              </w:rPr>
              <w:t>安装地点</w:t>
            </w:r>
          </w:p>
        </w:tc>
        <w:tc>
          <w:tcPr>
            <w:tcW w:w="2977" w:type="pct"/>
            <w:vAlign w:val="center"/>
          </w:tcPr>
          <w:p>
            <w:pPr>
              <w:spacing w:line="360" w:lineRule="auto"/>
              <w:jc w:val="left"/>
              <w:rPr>
                <w:rFonts w:ascii="Times New Roman" w:hAnsi="Times New Roman"/>
                <w:color w:val="auto"/>
                <w:sz w:val="24"/>
                <w:szCs w:val="24"/>
              </w:rPr>
            </w:pPr>
            <w:r>
              <w:rPr>
                <w:rFonts w:ascii="Times New Roman" w:hAnsi="Times New Roman"/>
                <w:color w:val="auto"/>
                <w:sz w:val="24"/>
                <w:szCs w:val="24"/>
              </w:rPr>
              <w:t>户内</w:t>
            </w:r>
          </w:p>
        </w:tc>
      </w:tr>
    </w:tbl>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基础参数</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系统额定绝缘电压：AC 690V</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主回路额定/最高工作电压：AC400V/A</w:t>
      </w:r>
      <w:r>
        <w:rPr>
          <w:rFonts w:hint="eastAsia" w:ascii="Times New Roman" w:hAnsi="Times New Roman"/>
          <w:color w:val="auto"/>
          <w:sz w:val="24"/>
          <w:szCs w:val="24"/>
          <w:lang w:val="en-US" w:eastAsia="zh-CN"/>
        </w:rPr>
        <w:t>C</w:t>
      </w:r>
      <w:r>
        <w:rPr>
          <w:rFonts w:ascii="Times New Roman" w:hAnsi="Times New Roman"/>
          <w:color w:val="auto"/>
          <w:sz w:val="24"/>
          <w:szCs w:val="24"/>
        </w:rPr>
        <w:t>480V</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系统额定频率: 50Hz</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系统主母线额定工作电流：见具体工程系统设计图</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系统主母线额定短时耐受电流（1s）(有效值)：35kA</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系统主母线动稳定（峰值）：80kA</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保护导体/接地主母线耐受电流(1s)(有效值)：15kA</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系统中性点接地方式：直接接地系统</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柜体结构形式：固定式，同型号产品内额定值和结构相同的组件应能更换</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颜色：投标方提供色板，在合同签定上由招标方确定</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防护等级：≥IP40</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噪声：正常时，设备的噪声不大于55dB（A）</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交流配电柜应配置显示屏、总告警指示灯。</w:t>
      </w:r>
    </w:p>
    <w:p>
      <w:pPr>
        <w:numPr>
          <w:ilvl w:val="0"/>
          <w:numId w:val="56"/>
        </w:numPr>
        <w:tabs>
          <w:tab w:val="left" w:pos="851"/>
        </w:tabs>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门开启度：≥90°</w:t>
      </w:r>
    </w:p>
    <w:p>
      <w:pPr>
        <w:pStyle w:val="118"/>
        <w:numPr>
          <w:ilvl w:val="3"/>
          <w:numId w:val="25"/>
        </w:numPr>
        <w:spacing w:before="0" w:after="0"/>
        <w:rPr>
          <w:rFonts w:ascii="Times New Roman" w:hAnsi="Times New Roman"/>
          <w:color w:val="auto"/>
          <w:sz w:val="24"/>
          <w:szCs w:val="24"/>
        </w:rPr>
      </w:pPr>
      <w:bookmarkStart w:id="404" w:name="_Toc65773288"/>
      <w:r>
        <w:rPr>
          <w:rFonts w:ascii="Times New Roman" w:hAnsi="Times New Roman"/>
          <w:color w:val="auto"/>
          <w:sz w:val="24"/>
          <w:szCs w:val="24"/>
        </w:rPr>
        <w:t>详细技术要求</w:t>
      </w:r>
      <w:bookmarkEnd w:id="404"/>
    </w:p>
    <w:bookmarkEnd w:id="403"/>
    <w:p>
      <w:pPr>
        <w:pStyle w:val="103"/>
        <w:numPr>
          <w:ilvl w:val="3"/>
          <w:numId w:val="57"/>
        </w:numPr>
        <w:spacing w:beforeLines="0" w:afterLines="0" w:line="360" w:lineRule="auto"/>
        <w:ind w:firstLine="482" w:firstLineChars="200"/>
        <w:outlineLvl w:val="9"/>
        <w:rPr>
          <w:rFonts w:ascii="Times New Roman" w:eastAsia="宋体"/>
          <w:color w:val="auto"/>
          <w:sz w:val="24"/>
          <w:szCs w:val="24"/>
        </w:rPr>
      </w:pPr>
      <w:bookmarkStart w:id="405" w:name="_Toc65773293"/>
      <w:r>
        <w:rPr>
          <w:rFonts w:ascii="Times New Roman" w:eastAsia="宋体"/>
          <w:color w:val="auto"/>
          <w:sz w:val="24"/>
          <w:szCs w:val="24"/>
        </w:rPr>
        <w:t>一般要求</w:t>
      </w:r>
    </w:p>
    <w:p>
      <w:pPr>
        <w:numPr>
          <w:ilvl w:val="0"/>
          <w:numId w:val="58"/>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所有设备在安装及运行后应具有标记牌，标记牌上应说明容量、操作特性形式及序号，所有设备应具有可靠的安全措施，以防意外及设备损坏。</w:t>
      </w:r>
    </w:p>
    <w:p>
      <w:pPr>
        <w:numPr>
          <w:ilvl w:val="0"/>
          <w:numId w:val="58"/>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进线单元、馈线单元及配电母线所能承受的额定短时耐受电流不低于水平母线的额定短时耐受电流。</w:t>
      </w:r>
    </w:p>
    <w:p>
      <w:pPr>
        <w:numPr>
          <w:ilvl w:val="0"/>
          <w:numId w:val="58"/>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所有元件均应由非吸湿和非燃性材料制成。</w:t>
      </w:r>
    </w:p>
    <w:p>
      <w:pPr>
        <w:pStyle w:val="103"/>
        <w:numPr>
          <w:ilvl w:val="3"/>
          <w:numId w:val="57"/>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结构要求</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配电柜的结构、电器安装、电路布置必须安全可靠、操作方便、维修容易。材料应进行表面处理或采用防腐蚀材料。</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配电柜的结构使得正常运行、监视和维护工作能安全方便的进行。维护工作包括：元件的检查和试验，故障的寻找和处理。对于额定参数相同以及相同而需替代的元件能互换。</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配电柜结构的基本骨架为组合装配式结构，柜体应采用高质素的热镀锌板或敷铝锌板，柜体的全部金属结构件都需经过防腐处理；</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配电柜应有足够的机械强度，遭受碰撞不应产生变形，且耐撞击等级达到IK10，以保证元件安装后及操作时无摇晃、不变形；</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配电柜柜体应具有≥50</w:t>
      </w:r>
      <w:r>
        <w:rPr>
          <w:rFonts w:hint="eastAsia" w:ascii="Times New Roman" w:hAnsi="Times New Roman"/>
          <w:color w:val="auto"/>
          <w:sz w:val="24"/>
          <w:szCs w:val="24"/>
          <w:lang w:val="en-US" w:eastAsia="zh-CN"/>
        </w:rPr>
        <w:t>k</w:t>
      </w:r>
      <w:r>
        <w:rPr>
          <w:rFonts w:ascii="Times New Roman" w:hAnsi="Times New Roman"/>
          <w:color w:val="auto"/>
          <w:sz w:val="24"/>
          <w:szCs w:val="24"/>
        </w:rPr>
        <w:t>A/1S内部燃弧故障耐受能力，当出现内部燃弧故障时,开关柜隔室的结构应能承受三相短路产生的电弧或游离气体所产生的压力而不造成损坏，并且防止电弧对操作人员造成伤害。</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配电柜的进出线可采用电缆或封闭母线槽,上下出线位置可进行适当调整；</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配电柜体应采取为防止功能单元插拔操作过程中对母线的磨损和破坏的相关措施，避免对母线系统的直接操作，同时也要保证良好的互换性和快速加装。</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功能单元有可靠的机械联锁，通过操作手柄控制，具有专用位置指示器，并配有鲜明的颜色及符号标示，为加强安全防范，操作手柄和断路器手柄定位后均可加挂锁。</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为了保证配电柜现场水平母线并柜和单柜更换的便捷性，应考虑采用方便拆卸的横梁结构，同时使用预先装好的滑动连接铜排进行柜间水平母线的连接，避免柜间母排开孔搭接。</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抽出式功能单元的进线侧、出线侧需采用绝缘隔板实现相间间隔，以防范内部电弧故障发生和蔓延。</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各支路开关模块之间有明显的物理隔离，防止事故时故障扩大。各支路智能检测部分也必须单独各自配置，检修更换时不影响其他回路正常运行。</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馈线开关模块应有连锁装置，在正常开关合闸时不能拔出开关本体。</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开关与垂直铜排和出线排之间采用铜排连接，避免采用电缆连接，简化内部一次线路。</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柜内带电体防护等级达IP40，并且功能单元与母排之间除安全绝缘格栅外，增加金属隔离挡板隔离设计，实际操作维护时提供更安全有效的接地防护。</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为了保证柜体的整体强度，柜内分隔板、柜体门板以及抽屉面板均采用金属板材。</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为保证现场电缆敷设及各功能单元良好散热，需采用整模数方案。</w:t>
      </w:r>
    </w:p>
    <w:p>
      <w:pPr>
        <w:numPr>
          <w:ilvl w:val="0"/>
          <w:numId w:val="59"/>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低压开关柜需考虑采用易于现场调运及运输的结构形式。除可使用吊环进行提升外，也以由铲车或提升设备直接铲入内置底座进行搬运。</w:t>
      </w:r>
    </w:p>
    <w:p>
      <w:pPr>
        <w:pStyle w:val="103"/>
        <w:numPr>
          <w:ilvl w:val="3"/>
          <w:numId w:val="57"/>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母线及其绝缘子</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配电柜内的主母线和配电母线应选用铜材料做成，其相对铜排纯度不小于99.95% ，导电率不小于99%IACS。</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内母线和绝缘导线截面积的选择由供货商负责，导线应为低烟、无卤阻燃型产品，除了必须满足承载的电流外，还应满足低压开关柜所承受的动稳定要求和热稳定要求、敷设方法、绝缘类型以及所连接的元件种类等因素的要求。</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母线采用绝缘支持件进行固定以保证母线与其它部件之间的距离不变。母线支持件应能承受装置的额定短时耐受电流和额定峰值耐受电流所产生的机械应力和热应力的冲击☆,母线绝缘支架采用的阻燃绝缘材料，应能抗电气效应产生的异常高温(960℃，30s，提供国家有资质机构的检测报告)。</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母线之间的连接要保证有足够和持久的接触压力，但不应使母线产生永久变形。</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配电柜内要设有独立的PE接地系统，并且贯穿整个装置。PE线的材料采用铜排，要能与低压开关柜柜体、接地保护导体通过螺钉可靠连接。</w:t>
      </w:r>
    </w:p>
    <w:p>
      <w:pPr>
        <w:numPr>
          <w:ilvl w:val="0"/>
          <w:numId w:val="60"/>
        </w:numPr>
        <w:adjustRightInd w:val="0"/>
        <w:snapToGrid w:val="0"/>
        <w:spacing w:line="360" w:lineRule="auto"/>
        <w:ind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配电柜底板、框架和金属外壳等外露导体部件通过直接的、相互有效连接，或通过由保护导体完成的相互有效连接以确保保护电路的连续性。</w:t>
      </w:r>
    </w:p>
    <w:p>
      <w:pPr>
        <w:pStyle w:val="103"/>
        <w:numPr>
          <w:ilvl w:val="3"/>
          <w:numId w:val="57"/>
        </w:numPr>
        <w:spacing w:beforeLines="0" w:afterLines="0" w:line="360" w:lineRule="auto"/>
        <w:ind w:firstLine="482" w:firstLineChars="200"/>
        <w:outlineLvl w:val="9"/>
        <w:rPr>
          <w:rFonts w:ascii="Times New Roman" w:eastAsia="宋体"/>
          <w:color w:val="auto"/>
          <w:sz w:val="24"/>
          <w:szCs w:val="24"/>
        </w:rPr>
      </w:pPr>
      <w:r>
        <w:rPr>
          <w:rFonts w:ascii="Times New Roman" w:eastAsia="宋体"/>
          <w:color w:val="auto"/>
          <w:sz w:val="24"/>
          <w:szCs w:val="24"/>
        </w:rPr>
        <w:t>主要元器件</w:t>
      </w:r>
    </w:p>
    <w:p>
      <w:pPr>
        <w:snapToGrid w:val="0"/>
        <w:spacing w:line="360" w:lineRule="auto"/>
        <w:ind w:firstLine="482" w:firstLineChars="200"/>
        <w:contextualSpacing/>
        <w:rPr>
          <w:rFonts w:cs="宋体"/>
          <w:b/>
          <w:color w:val="auto"/>
          <w:sz w:val="24"/>
          <w:szCs w:val="24"/>
        </w:rPr>
      </w:pPr>
      <w:r>
        <w:rPr>
          <w:rFonts w:hint="eastAsia" w:cs="宋体"/>
          <w:b/>
          <w:color w:val="auto"/>
          <w:sz w:val="24"/>
          <w:szCs w:val="24"/>
        </w:rPr>
        <w:t>配电柜产品应符合GB7251.1，IEC/EN61439标准，柜内开关应提供有效CCC、CE证书。CCC证书中的申请人、制造商和生产厂应为同一厂家。</w:t>
      </w:r>
    </w:p>
    <w:p>
      <w:pPr>
        <w:numPr>
          <w:ilvl w:val="4"/>
          <w:numId w:val="61"/>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断路器</w:t>
      </w:r>
    </w:p>
    <w:p>
      <w:pPr>
        <w:numPr>
          <w:ilvl w:val="0"/>
          <w:numId w:val="62"/>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塑壳断路器要求额定工作电压：690V；额定绝缘电压：≥750V；冲击耐受电压：≥8KV。</w:t>
      </w:r>
    </w:p>
    <w:p>
      <w:pPr>
        <w:numPr>
          <w:ilvl w:val="0"/>
          <w:numId w:val="62"/>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全系列满足Ics＝100％Icu，并具备限流性，可提供准确的上下级选择性保证。</w:t>
      </w:r>
    </w:p>
    <w:p>
      <w:pPr>
        <w:numPr>
          <w:ilvl w:val="0"/>
          <w:numId w:val="62"/>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低压塑壳断路器应满足： Icu＝100％Ics；采用电子脱扣器，具有LSI三段保护，提供长延时、短延时、瞬时短路保护功能，并具有电流参数整定范围广等特性；100~630A全系列要求限流性。</w:t>
      </w:r>
    </w:p>
    <w:p>
      <w:pPr>
        <w:numPr>
          <w:ilvl w:val="0"/>
          <w:numId w:val="62"/>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塑壳断路器采用电子脱扣器，具有LSI三段保护，提供长延时、短延时、瞬时短路保护功能，并具有电流参数整定范围广等特性；100~630A全系列要求限流性。</w:t>
      </w:r>
    </w:p>
    <w:p>
      <w:pPr>
        <w:numPr>
          <w:ilvl w:val="0"/>
          <w:numId w:val="62"/>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微型断路器需采用技术成熟、性能可靠的热插拔断路器或电流分配器，实现：</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三相负载均相平衡分配；</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更换开关时整机无需停电，不影响其它回路的连续供电。</w:t>
      </w:r>
    </w:p>
    <w:p>
      <w:pPr>
        <w:numPr>
          <w:ilvl w:val="4"/>
          <w:numId w:val="61"/>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接触器</w:t>
      </w:r>
    </w:p>
    <w:p>
      <w:pPr>
        <w:numPr>
          <w:ilvl w:val="0"/>
          <w:numId w:val="63"/>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接触器与塑壳空气断路器组合使用，作为电动机控制、隔离和回路过载保护的作用，且应符合国标、国家标准。电动机采用全电压启动，电动机均为鼠笼异步电动机。</w:t>
      </w:r>
    </w:p>
    <w:p>
      <w:pPr>
        <w:numPr>
          <w:ilvl w:val="0"/>
          <w:numId w:val="63"/>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接触器线圈最小吸合和最大释放电压应满足相关规定，以便在开关柜母线电压最低为其额定值的90%，且合闸信号发自远方的低压开关柜的情况下，接触器能够成功地吸合并保持，为了满足这些要求，可设中间继电器，作为接触器电路的组成部分。</w:t>
      </w:r>
    </w:p>
    <w:p>
      <w:pPr>
        <w:numPr>
          <w:ilvl w:val="0"/>
          <w:numId w:val="63"/>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使用中间继电器时，其释放电压应等于或小于其控制的接触器线圈释放电压的90%。</w:t>
      </w:r>
    </w:p>
    <w:p>
      <w:pPr>
        <w:numPr>
          <w:ilvl w:val="4"/>
          <w:numId w:val="61"/>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接线端子</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应适合连接硬、软铜导线，并保证维持适合于电器元件和电路的额定电流、短路电流强度所需要的接触压力，并应预留20%端子。</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端子采用回拉式弹簧端子，保持持续的紧固力而不松动。</w:t>
      </w:r>
    </w:p>
    <w:p>
      <w:pPr>
        <w:numPr>
          <w:ilvl w:val="4"/>
          <w:numId w:val="61"/>
        </w:numPr>
        <w:spacing w:line="360" w:lineRule="auto"/>
        <w:ind w:left="0" w:firstLine="480" w:firstLineChars="200"/>
        <w:rPr>
          <w:rFonts w:ascii="Times New Roman" w:hAnsi="Times New Roman"/>
          <w:color w:val="auto"/>
          <w:sz w:val="24"/>
          <w:szCs w:val="24"/>
        </w:rPr>
      </w:pPr>
      <w:bookmarkStart w:id="406" w:name="_Toc317683595"/>
      <w:bookmarkStart w:id="407" w:name="_Toc316631703"/>
      <w:r>
        <w:rPr>
          <w:rFonts w:ascii="Times New Roman" w:hAnsi="Times New Roman"/>
          <w:color w:val="auto"/>
          <w:sz w:val="24"/>
          <w:szCs w:val="24"/>
        </w:rPr>
        <w:t>ATS切换</w:t>
      </w:r>
      <w:bookmarkEnd w:id="406"/>
      <w:bookmarkEnd w:id="407"/>
      <w:r>
        <w:rPr>
          <w:rFonts w:ascii="Times New Roman" w:hAnsi="Times New Roman"/>
          <w:color w:val="auto"/>
          <w:sz w:val="24"/>
          <w:szCs w:val="24"/>
        </w:rPr>
        <w:t>开关</w:t>
      </w:r>
    </w:p>
    <w:p>
      <w:pPr>
        <w:numPr>
          <w:ilvl w:val="0"/>
          <w:numId w:val="64"/>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 xml:space="preserve">双电源切换装置（ATSE）应采用PC级一体式产品，符合 IEC60947-6-1标准。 </w:t>
      </w:r>
    </w:p>
    <w:p>
      <w:pPr>
        <w:numPr>
          <w:ilvl w:val="0"/>
          <w:numId w:val="64"/>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开关本体部分：</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采PC级专用型结构（3相4极）</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满足系统电压、电流、频率要求。</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有机械、电气双重互锁功能。</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装置能实现双电源的手动、自动切换。</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有独立的灭弧接点或结构。</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使用类别：AC-33B。</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4极同步切换，避免切换过程中电压突破引起单相负载损坏</w:t>
      </w:r>
    </w:p>
    <w:p>
      <w:pPr>
        <w:numPr>
          <w:ilvl w:val="0"/>
          <w:numId w:val="64"/>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控制器部分：</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控制器与开关本体为同一厂家研发及生产。</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具有主备电源状态指示灯、开关位置指示灯。</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具有开关切换延时设定功能。</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具有同相位切换侦测器。</w:t>
      </w:r>
    </w:p>
    <w:p>
      <w:pPr>
        <w:widowControl/>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预留通讯接口（RS485/RS232），可实现遥信、遥测、遥控三遥功能，协议采用 Profibus-DP、Modbus-plus、Modbus-RTU 等标准、开放、可软件解码的协议。</w:t>
      </w:r>
    </w:p>
    <w:p>
      <w:pPr>
        <w:numPr>
          <w:ilvl w:val="4"/>
          <w:numId w:val="61"/>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监控功能</w:t>
      </w:r>
    </w:p>
    <w:p>
      <w:pPr>
        <w:numPr>
          <w:ilvl w:val="0"/>
          <w:numId w:val="65"/>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要求安装多功能测量仪表并带LCD液晶显示屏，可显示并监测所有主路、馈电回路开关状态及电气参数：可监测电量、有功功率、无功功率、视在功率、功率因数、三相电压、电流、频率、谐波、负载百分比等电气参量。装有RS-485或RS-232通信接口，Modbus通信协议。</w:t>
      </w:r>
    </w:p>
    <w:p>
      <w:pPr>
        <w:numPr>
          <w:ilvl w:val="0"/>
          <w:numId w:val="65"/>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具备声光报警功能，输入过压、失压、输入频率超限、缺相、防雷器失效等装置报警。</w:t>
      </w:r>
    </w:p>
    <w:p>
      <w:pPr>
        <w:numPr>
          <w:ilvl w:val="0"/>
          <w:numId w:val="65"/>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配电柜配备7英寸以上触摸屏作为人机界面，显示屏可以带电更换。</w:t>
      </w:r>
    </w:p>
    <w:p>
      <w:pPr>
        <w:numPr>
          <w:ilvl w:val="4"/>
          <w:numId w:val="61"/>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其它技术要求</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对所有需要外部连接的控制、仪表和继电器将提供端子排。端子排的额定值不小于10A、600V，并带有隔板、标签带和端子螺丝。每一个端子排将有不少于15%的备用端子。每个端子排将标有编号。</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对于电流互感器(CT)端子的端子排将设计成短接型的，以便当校验或检修继电器或仪表时保护CT。</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不需外部连接的电流和电压互感器的二次回路在电源侧应接地。需要接地的每一回路将单独地连接到设备接地母线上。</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柜内所用的绝缘导线应为阻燃型耐热铜质多股绞线，柜内一般配线应用1.5mm2以上的绝缘导线（电流回路为2.5mm2以上），可动部分的过渡应柔软，并能承受住挠曲而不致疲劳损坏。绝缘导线的额定电压至少应同相应电路的额定绝缘电压相一致，绝缘导线不应支靠在不同电位的裸带电部件和带有尖角的边缘上，应使用线夹固定在骨架或支架上，最好敷设在引线槽内。</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如果某些布线的突然短路会引起设备误动，如引起开关的误合闸或误跳闸，则这些布线就不能连接在相邻的端子上。</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导线的两端有擦不掉的、符合布线图的命名的永久性的标志。导线任何的连接部分不能焊接。</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仪表、控制装置和控制开关应按起动、运行或维护设备来配置。仪表、控制装置和控制开关的规格和数量应满足买方最终图纸的要求。</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控制开关的额定值是600V，连续电流为15A。</w:t>
      </w:r>
    </w:p>
    <w:p>
      <w:pPr>
        <w:numPr>
          <w:ilvl w:val="0"/>
          <w:numId w:val="66"/>
        </w:numPr>
        <w:tabs>
          <w:tab w:val="left" w:pos="851"/>
          <w:tab w:val="left" w:pos="3960"/>
        </w:tabs>
        <w:adjustRightInd w:val="0"/>
        <w:snapToGrid w:val="0"/>
        <w:spacing w:line="360" w:lineRule="auto"/>
        <w:ind w:left="0" w:firstLine="480" w:firstLineChars="200"/>
        <w:textAlignment w:val="baseline"/>
        <w:rPr>
          <w:rFonts w:ascii="Times New Roman" w:hAnsi="Times New Roman"/>
          <w:color w:val="auto"/>
          <w:sz w:val="24"/>
          <w:szCs w:val="24"/>
        </w:rPr>
      </w:pPr>
      <w:r>
        <w:rPr>
          <w:rFonts w:ascii="Times New Roman" w:hAnsi="Times New Roman"/>
          <w:color w:val="auto"/>
          <w:sz w:val="24"/>
          <w:szCs w:val="24"/>
        </w:rPr>
        <w:t>所有指示灯将采用节能型长寿命灯。从柜前看绿灯在左而红灯在右边(或红的在上绿的在下)。红灯代表“接通”；绿灯代表“断开”。</w:t>
      </w:r>
    </w:p>
    <w:bookmarkEnd w:id="405"/>
    <w:p>
      <w:pPr>
        <w:spacing w:line="360" w:lineRule="auto"/>
        <w:ind w:firstLine="480" w:firstLineChars="200"/>
        <w:rPr>
          <w:rFonts w:ascii="Times New Roman" w:hAnsi="Times New Roman"/>
          <w:color w:val="auto"/>
          <w:sz w:val="24"/>
          <w:szCs w:val="24"/>
        </w:rPr>
      </w:pPr>
      <w:bookmarkStart w:id="408" w:name="_Toc65773296"/>
      <w:r>
        <w:rPr>
          <w:rFonts w:ascii="Times New Roman" w:hAnsi="Times New Roman"/>
          <w:color w:val="auto"/>
          <w:sz w:val="24"/>
          <w:szCs w:val="24"/>
        </w:rPr>
        <w:t>（7）电气间隙和爬电距离</w:t>
      </w:r>
      <w:bookmarkEnd w:id="408"/>
    </w:p>
    <w:p>
      <w:pPr>
        <w:tabs>
          <w:tab w:val="left" w:pos="1080"/>
        </w:tabs>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柜内两带电导体之间、带电导体与裸露的不带电导体之间的最小距离应符合下表规定的最小电气间隙和爬电距离的要求。</w:t>
      </w:r>
    </w:p>
    <w:p>
      <w:pPr>
        <w:snapToGrid w:val="0"/>
        <w:spacing w:line="360" w:lineRule="auto"/>
        <w:ind w:left="420" w:leftChars="200" w:firstLine="480" w:firstLineChars="200"/>
        <w:jc w:val="center"/>
        <w:rPr>
          <w:rFonts w:ascii="Times New Roman" w:hAnsi="Times New Roman"/>
          <w:color w:val="auto"/>
          <w:sz w:val="24"/>
          <w:szCs w:val="24"/>
        </w:rPr>
      </w:pPr>
      <w:r>
        <w:rPr>
          <w:rFonts w:ascii="Times New Roman" w:hAnsi="Times New Roman"/>
          <w:color w:val="auto"/>
          <w:sz w:val="24"/>
          <w:szCs w:val="24"/>
        </w:rPr>
        <w:t>表8.1-1 电气间隙和爬电距离</w:t>
      </w:r>
    </w:p>
    <w:tbl>
      <w:tblPr>
        <w:tblStyle w:val="56"/>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9"/>
        <w:gridCol w:w="1608"/>
        <w:gridCol w:w="1468"/>
        <w:gridCol w:w="1845"/>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79" w:type="dxa"/>
            <w:vMerge w:val="restart"/>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额定绝缘电压额定工作电压交流均方根值（V）</w:t>
            </w:r>
          </w:p>
        </w:tc>
        <w:tc>
          <w:tcPr>
            <w:tcW w:w="3076" w:type="dxa"/>
            <w:gridSpan w:val="2"/>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额定电流≤63A</w:t>
            </w:r>
          </w:p>
        </w:tc>
        <w:tc>
          <w:tcPr>
            <w:tcW w:w="3320" w:type="dxa"/>
            <w:gridSpan w:val="2"/>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额定电流</w:t>
            </w:r>
            <w:r>
              <w:rPr>
                <w:rFonts w:hint="eastAsia" w:ascii="Times New Roman" w:hAnsi="Times New Roman"/>
                <w:color w:val="auto"/>
                <w:sz w:val="21"/>
                <w:szCs w:val="21"/>
                <w:lang w:val="en-US" w:eastAsia="zh-CN"/>
              </w:rPr>
              <w:t>＞</w:t>
            </w:r>
            <w:r>
              <w:rPr>
                <w:rFonts w:ascii="Times New Roman" w:hAnsi="Times New Roman"/>
                <w:color w:val="auto"/>
                <w:sz w:val="21"/>
                <w:szCs w:val="21"/>
              </w:rPr>
              <w:t>63A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479" w:type="dxa"/>
            <w:vMerge w:val="continue"/>
            <w:vAlign w:val="center"/>
          </w:tcPr>
          <w:p>
            <w:pPr>
              <w:spacing w:line="360" w:lineRule="auto"/>
              <w:jc w:val="center"/>
              <w:rPr>
                <w:rFonts w:ascii="Times New Roman" w:hAnsi="Times New Roman"/>
                <w:color w:val="auto"/>
                <w:sz w:val="21"/>
                <w:szCs w:val="21"/>
              </w:rPr>
            </w:pPr>
          </w:p>
        </w:tc>
        <w:tc>
          <w:tcPr>
            <w:tcW w:w="160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电气间隙mm</w:t>
            </w:r>
          </w:p>
        </w:tc>
        <w:tc>
          <w:tcPr>
            <w:tcW w:w="146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爬电距离mm</w:t>
            </w:r>
          </w:p>
        </w:tc>
        <w:tc>
          <w:tcPr>
            <w:tcW w:w="184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电气间隙mm</w:t>
            </w:r>
          </w:p>
        </w:tc>
        <w:tc>
          <w:tcPr>
            <w:tcW w:w="147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爬电距离mm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79"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≤60</w:t>
            </w:r>
          </w:p>
        </w:tc>
        <w:tc>
          <w:tcPr>
            <w:tcW w:w="160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3.0</w:t>
            </w:r>
          </w:p>
        </w:tc>
        <w:tc>
          <w:tcPr>
            <w:tcW w:w="146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5.0</w:t>
            </w:r>
          </w:p>
        </w:tc>
        <w:tc>
          <w:tcPr>
            <w:tcW w:w="184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3.0</w:t>
            </w:r>
          </w:p>
        </w:tc>
        <w:tc>
          <w:tcPr>
            <w:tcW w:w="147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79"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60＜Ui≤300</w:t>
            </w:r>
          </w:p>
        </w:tc>
        <w:tc>
          <w:tcPr>
            <w:tcW w:w="160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5.0</w:t>
            </w:r>
          </w:p>
        </w:tc>
        <w:tc>
          <w:tcPr>
            <w:tcW w:w="146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6.0</w:t>
            </w:r>
          </w:p>
        </w:tc>
        <w:tc>
          <w:tcPr>
            <w:tcW w:w="184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6.0</w:t>
            </w:r>
          </w:p>
        </w:tc>
        <w:tc>
          <w:tcPr>
            <w:tcW w:w="147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79"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300＜Ui≤600</w:t>
            </w:r>
          </w:p>
        </w:tc>
        <w:tc>
          <w:tcPr>
            <w:tcW w:w="160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8.0</w:t>
            </w:r>
          </w:p>
        </w:tc>
        <w:tc>
          <w:tcPr>
            <w:tcW w:w="1468"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12.0</w:t>
            </w:r>
          </w:p>
        </w:tc>
        <w:tc>
          <w:tcPr>
            <w:tcW w:w="184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10.0</w:t>
            </w:r>
          </w:p>
        </w:tc>
        <w:tc>
          <w:tcPr>
            <w:tcW w:w="1475" w:type="dxa"/>
            <w:vAlign w:val="center"/>
          </w:tcPr>
          <w:p>
            <w:pPr>
              <w:spacing w:line="360" w:lineRule="auto"/>
              <w:jc w:val="center"/>
              <w:rPr>
                <w:rFonts w:ascii="Times New Roman" w:hAnsi="Times New Roman"/>
                <w:color w:val="auto"/>
                <w:sz w:val="21"/>
                <w:szCs w:val="21"/>
              </w:rPr>
            </w:pPr>
            <w:r>
              <w:rPr>
                <w:rFonts w:ascii="Times New Roman" w:hAnsi="Times New Roman"/>
                <w:color w:val="auto"/>
                <w:sz w:val="21"/>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875" w:type="dxa"/>
            <w:gridSpan w:val="5"/>
            <w:vAlign w:val="center"/>
          </w:tcPr>
          <w:p>
            <w:pPr>
              <w:spacing w:line="360" w:lineRule="auto"/>
              <w:jc w:val="left"/>
              <w:rPr>
                <w:rFonts w:ascii="Times New Roman" w:hAnsi="Times New Roman"/>
                <w:color w:val="auto"/>
                <w:sz w:val="21"/>
                <w:szCs w:val="21"/>
              </w:rPr>
            </w:pPr>
            <w:r>
              <w:rPr>
                <w:rFonts w:ascii="Times New Roman" w:hAnsi="Times New Roman"/>
                <w:color w:val="auto"/>
                <w:sz w:val="21"/>
                <w:szCs w:val="21"/>
              </w:rPr>
              <w:t>注：小母线汇流排或不同极的裸露带电的导体之间，以及裸露带电导体与未经绝缘的不带电导体之间的电气间隙＞12毫米，爬电距离＞20毫米。</w:t>
            </w:r>
          </w:p>
        </w:tc>
      </w:tr>
    </w:tbl>
    <w:p>
      <w:pPr>
        <w:pStyle w:val="118"/>
        <w:numPr>
          <w:ilvl w:val="2"/>
          <w:numId w:val="25"/>
        </w:numPr>
        <w:spacing w:before="0" w:after="0"/>
        <w:outlineLvl w:val="2"/>
        <w:rPr>
          <w:rFonts w:ascii="Times New Roman" w:hAnsi="Times New Roman"/>
          <w:color w:val="auto"/>
          <w:sz w:val="24"/>
          <w:szCs w:val="24"/>
        </w:rPr>
      </w:pPr>
      <w:bookmarkStart w:id="409" w:name="_Toc172356310"/>
      <w:bookmarkStart w:id="410" w:name="_Toc65773287"/>
      <w:bookmarkStart w:id="411" w:name="_Toc240277368"/>
      <w:r>
        <w:rPr>
          <w:rFonts w:ascii="Times New Roman" w:hAnsi="Times New Roman"/>
          <w:color w:val="auto"/>
          <w:sz w:val="24"/>
          <w:szCs w:val="24"/>
        </w:rPr>
        <w:t>市电输入柜技术要求</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市电输入柜的外型参考尺寸：600*800*2260mm宽*深*高/800*800*2260mm宽*深*高，最终尺寸可按现场及实际需求配置。具体如下表：</w:t>
      </w:r>
    </w:p>
    <w:tbl>
      <w:tblPr>
        <w:tblStyle w:val="56"/>
        <w:tblW w:w="9962" w:type="dxa"/>
        <w:tblInd w:w="0" w:type="dxa"/>
        <w:tblLayout w:type="autofit"/>
        <w:tblCellMar>
          <w:top w:w="0" w:type="dxa"/>
          <w:left w:w="108" w:type="dxa"/>
          <w:bottom w:w="0" w:type="dxa"/>
          <w:right w:w="108" w:type="dxa"/>
        </w:tblCellMar>
      </w:tblPr>
      <w:tblGrid>
        <w:gridCol w:w="675"/>
        <w:gridCol w:w="1481"/>
        <w:gridCol w:w="1455"/>
        <w:gridCol w:w="4999"/>
        <w:gridCol w:w="676"/>
        <w:gridCol w:w="676"/>
      </w:tblGrid>
      <w:tr>
        <w:tblPrEx>
          <w:tblCellMar>
            <w:top w:w="0" w:type="dxa"/>
            <w:left w:w="108" w:type="dxa"/>
            <w:bottom w:w="0" w:type="dxa"/>
            <w:right w:w="108" w:type="dxa"/>
          </w:tblCellMar>
        </w:tblPrEx>
        <w:trPr>
          <w:trHeight w:val="260"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序号</w:t>
            </w:r>
          </w:p>
        </w:tc>
        <w:tc>
          <w:tcPr>
            <w:tcW w:w="14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textAlignment w:val="center"/>
              <w:rPr>
                <w:rFonts w:ascii="Times New Roman" w:hAnsi="Times New Roman"/>
                <w:b/>
                <w:bCs/>
                <w:color w:val="auto"/>
                <w:kern w:val="0"/>
                <w:sz w:val="24"/>
                <w:szCs w:val="24"/>
                <w:lang w:bidi="ar"/>
              </w:rPr>
            </w:pPr>
            <w:r>
              <w:rPr>
                <w:rFonts w:ascii="Times New Roman" w:hAnsi="Times New Roman"/>
                <w:b/>
                <w:bCs/>
                <w:color w:val="auto"/>
                <w:kern w:val="0"/>
                <w:sz w:val="24"/>
                <w:szCs w:val="24"/>
                <w:lang w:bidi="ar"/>
              </w:rPr>
              <w:t>位置</w:t>
            </w:r>
          </w:p>
        </w:tc>
        <w:tc>
          <w:tcPr>
            <w:tcW w:w="145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名称</w:t>
            </w:r>
          </w:p>
        </w:tc>
        <w:tc>
          <w:tcPr>
            <w:tcW w:w="499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型号及规格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单位</w:t>
            </w:r>
          </w:p>
        </w:tc>
        <w:tc>
          <w:tcPr>
            <w:tcW w:w="67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数量</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c>
          <w:tcPr>
            <w:tcW w:w="14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pStyle w:val="2"/>
              <w:spacing w:before="0" w:after="0"/>
              <w:ind w:firstLine="0"/>
              <w:rPr>
                <w:rFonts w:ascii="Times New Roman" w:hAnsi="Times New Roman"/>
                <w:color w:val="auto"/>
                <w:szCs w:val="24"/>
              </w:rPr>
            </w:pPr>
            <w:bookmarkStart w:id="412" w:name="_Toc19901"/>
            <w:r>
              <w:rPr>
                <w:rFonts w:ascii="Times New Roman" w:hAnsi="Times New Roman"/>
                <w:color w:val="auto"/>
                <w:szCs w:val="24"/>
              </w:rPr>
              <w:t>信通电源室</w:t>
            </w:r>
            <w:bookmarkEnd w:id="412"/>
          </w:p>
        </w:tc>
        <w:tc>
          <w:tcPr>
            <w:tcW w:w="145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市电输入柜</w:t>
            </w:r>
          </w:p>
        </w:tc>
        <w:tc>
          <w:tcPr>
            <w:tcW w:w="499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柜体规格：600*800*2260mm宽*深*高（含门楣）</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输入开关：1个250A/3P的开关</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输出开关：3个200A/3P开关，5个63A/3P开关；</w:t>
            </w:r>
            <w:r>
              <w:rPr>
                <w:rFonts w:ascii="Times New Roman" w:hAnsi="Times New Roman"/>
                <w:color w:val="auto"/>
                <w:kern w:val="0"/>
                <w:sz w:val="24"/>
                <w:szCs w:val="24"/>
                <w:lang w:bidi="ar"/>
              </w:rPr>
              <w:br w:type="textWrapping"/>
            </w: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7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2</w:t>
            </w:r>
          </w:p>
        </w:tc>
        <w:tc>
          <w:tcPr>
            <w:tcW w:w="14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p>
          <w:p>
            <w:pPr>
              <w:pStyle w:val="2"/>
              <w:spacing w:before="0" w:after="0"/>
              <w:ind w:firstLine="0"/>
              <w:rPr>
                <w:rFonts w:ascii="Times New Roman" w:hAnsi="Times New Roman"/>
                <w:color w:val="auto"/>
                <w:szCs w:val="24"/>
              </w:rPr>
            </w:pPr>
            <w:bookmarkStart w:id="413" w:name="_Toc27420"/>
            <w:r>
              <w:rPr>
                <w:rFonts w:ascii="Times New Roman" w:hAnsi="Times New Roman"/>
                <w:color w:val="auto"/>
                <w:szCs w:val="24"/>
              </w:rPr>
              <w:t>信通电源室</w:t>
            </w:r>
            <w:bookmarkEnd w:id="413"/>
          </w:p>
        </w:tc>
        <w:tc>
          <w:tcPr>
            <w:tcW w:w="145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市电输入柜</w:t>
            </w:r>
          </w:p>
        </w:tc>
        <w:tc>
          <w:tcPr>
            <w:tcW w:w="499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柜体规格：800*800*2260mm宽*深*高（含门楣）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输入开关：1个400A/3P的开关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输出开关：3个250A/3P开关，5个63A/3P开关；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7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r>
        <w:tblPrEx>
          <w:tblCellMar>
            <w:top w:w="0" w:type="dxa"/>
            <w:left w:w="108" w:type="dxa"/>
            <w:bottom w:w="0" w:type="dxa"/>
            <w:right w:w="108" w:type="dxa"/>
          </w:tblCellMar>
        </w:tblPrEx>
        <w:trPr>
          <w:trHeight w:val="62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3</w:t>
            </w:r>
          </w:p>
        </w:tc>
        <w:tc>
          <w:tcPr>
            <w:tcW w:w="14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pStyle w:val="2"/>
              <w:spacing w:before="0" w:after="0"/>
              <w:ind w:firstLine="0"/>
              <w:rPr>
                <w:rFonts w:ascii="Times New Roman" w:hAnsi="Times New Roman"/>
                <w:color w:val="auto"/>
                <w:szCs w:val="24"/>
              </w:rPr>
            </w:pPr>
            <w:bookmarkStart w:id="414" w:name="_Toc23066"/>
            <w:r>
              <w:rPr>
                <w:rFonts w:ascii="Times New Roman" w:hAnsi="Times New Roman"/>
                <w:color w:val="auto"/>
                <w:szCs w:val="24"/>
              </w:rPr>
              <w:t>信通电源室</w:t>
            </w:r>
            <w:bookmarkEnd w:id="414"/>
          </w:p>
        </w:tc>
        <w:tc>
          <w:tcPr>
            <w:tcW w:w="145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市电输入柜</w:t>
            </w:r>
          </w:p>
        </w:tc>
        <w:tc>
          <w:tcPr>
            <w:tcW w:w="499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输入开关：1个400A/3P的开关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输出开关：3个250A/3P开关，5个63A/3P开关；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67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7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bl>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配电柜元器件配置要求参考招标清单及施工图要求，供货时需与招标人确认，如果有元器件容量</w:t>
      </w:r>
      <w:r>
        <w:rPr>
          <w:rFonts w:hint="eastAsia" w:ascii="Times New Roman" w:hAnsi="Times New Roman"/>
          <w:color w:val="auto"/>
          <w:sz w:val="24"/>
          <w:szCs w:val="24"/>
        </w:rPr>
        <w:t>或数量</w:t>
      </w:r>
      <w:r>
        <w:rPr>
          <w:rFonts w:ascii="Times New Roman" w:hAnsi="Times New Roman"/>
          <w:color w:val="auto"/>
          <w:sz w:val="24"/>
          <w:szCs w:val="24"/>
        </w:rPr>
        <w:t>存在差异，投标人</w:t>
      </w:r>
      <w:r>
        <w:rPr>
          <w:rFonts w:hint="eastAsia" w:ascii="Times New Roman" w:hAnsi="Times New Roman"/>
          <w:color w:val="auto"/>
          <w:sz w:val="24"/>
          <w:szCs w:val="24"/>
        </w:rPr>
        <w:t>配合</w:t>
      </w:r>
      <w:r>
        <w:rPr>
          <w:rFonts w:ascii="Times New Roman" w:hAnsi="Times New Roman"/>
          <w:color w:val="auto"/>
          <w:sz w:val="24"/>
          <w:szCs w:val="24"/>
        </w:rPr>
        <w:t>免费提供。</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配电柜要求前、后开门，前门采用玻璃门，保证能够清晰观察电柜里面开关状态</w:t>
      </w:r>
      <w:r>
        <w:rPr>
          <w:rFonts w:hint="eastAsia" w:ascii="Times New Roman" w:hAnsi="Times New Roman"/>
          <w:color w:val="auto"/>
          <w:sz w:val="24"/>
          <w:szCs w:val="24"/>
        </w:rPr>
        <w:t>；</w:t>
      </w:r>
      <w:r>
        <w:rPr>
          <w:rFonts w:ascii="Times New Roman" w:hAnsi="Times New Roman"/>
          <w:color w:val="auto"/>
          <w:sz w:val="24"/>
          <w:szCs w:val="24"/>
        </w:rPr>
        <w:t>后门采用金属门，柜体内有</w:t>
      </w:r>
      <w:r>
        <w:rPr>
          <w:rFonts w:hint="eastAsia" w:ascii="Times New Roman" w:hAnsi="Times New Roman"/>
          <w:color w:val="auto"/>
          <w:sz w:val="24"/>
          <w:szCs w:val="24"/>
        </w:rPr>
        <w:t>透明绝缘</w:t>
      </w:r>
      <w:r>
        <w:rPr>
          <w:rFonts w:ascii="Times New Roman" w:hAnsi="Times New Roman"/>
          <w:color w:val="auto"/>
          <w:sz w:val="24"/>
          <w:szCs w:val="24"/>
        </w:rPr>
        <w:t>档板</w:t>
      </w:r>
      <w:r>
        <w:rPr>
          <w:rFonts w:hint="eastAsia" w:ascii="Times New Roman" w:hAnsi="Times New Roman"/>
          <w:color w:val="auto"/>
          <w:sz w:val="24"/>
          <w:szCs w:val="24"/>
        </w:rPr>
        <w:t>，采用双开门</w:t>
      </w:r>
      <w:r>
        <w:rPr>
          <w:rFonts w:ascii="Times New Roman" w:hAnsi="Times New Roman"/>
          <w:color w:val="auto"/>
          <w:sz w:val="24"/>
          <w:szCs w:val="24"/>
        </w:rPr>
        <w:t>。</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开关端子连线采用铜排。</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要求安装相应的电压和电流三相指示表。</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柜内下部要求安装相应的输入与输出的零排和地排，铜材规格满足电气要求。</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柜体颜色按</w:t>
      </w:r>
      <w:r>
        <w:rPr>
          <w:rFonts w:ascii="Times New Roman" w:hAnsi="Times New Roman"/>
          <w:bCs/>
          <w:color w:val="auto"/>
          <w:sz w:val="24"/>
          <w:szCs w:val="24"/>
        </w:rPr>
        <w:t>RAL9004标准黑（最终颜色供货时需招标方确认）</w:t>
      </w:r>
      <w:r>
        <w:rPr>
          <w:rFonts w:ascii="Times New Roman" w:hAnsi="Times New Roman"/>
          <w:color w:val="auto"/>
          <w:sz w:val="24"/>
          <w:szCs w:val="24"/>
        </w:rPr>
        <w:t>。</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进出线要求：输入出电缆采用下出线方式。</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柜体要坚实牢固，板材厚度≥2毫米。</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配电柜要求配置安装</w:t>
      </w:r>
      <w:r>
        <w:rPr>
          <w:rFonts w:hint="eastAsia" w:ascii="Times New Roman" w:hAnsi="Times New Roman"/>
          <w:color w:val="auto"/>
          <w:sz w:val="24"/>
          <w:szCs w:val="24"/>
        </w:rPr>
        <w:t>二</w:t>
      </w:r>
      <w:r>
        <w:rPr>
          <w:rFonts w:ascii="Times New Roman" w:hAnsi="Times New Roman"/>
          <w:color w:val="auto"/>
          <w:sz w:val="24"/>
          <w:szCs w:val="24"/>
        </w:rPr>
        <w:t>级防雷器。</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配电柜设计要考虑监控设备的安装位置。</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配电柜中的各种电气元件均有相应的标识，以便识别，每个柜体的后侧粘贴本柜配置的电气系统图，以便运行使用中的维护和管理。</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可配合动力环境监控实现统一的监控。</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柜体其它要求：满足8.1.1.</w:t>
      </w:r>
      <w:r>
        <w:rPr>
          <w:rFonts w:hint="eastAsia" w:ascii="Times New Roman" w:hAnsi="Times New Roman"/>
          <w:color w:val="auto"/>
          <w:sz w:val="24"/>
          <w:szCs w:val="24"/>
        </w:rPr>
        <w:t>1</w:t>
      </w:r>
      <w:r>
        <w:rPr>
          <w:rFonts w:ascii="Times New Roman" w:hAnsi="Times New Roman"/>
          <w:color w:val="auto"/>
          <w:sz w:val="24"/>
          <w:szCs w:val="24"/>
        </w:rPr>
        <w:t>、8.1.1.</w:t>
      </w:r>
      <w:r>
        <w:rPr>
          <w:rFonts w:hint="eastAsia" w:ascii="Times New Roman" w:hAnsi="Times New Roman"/>
          <w:color w:val="auto"/>
          <w:sz w:val="24"/>
          <w:szCs w:val="24"/>
        </w:rPr>
        <w:t>2</w:t>
      </w:r>
      <w:r>
        <w:rPr>
          <w:rFonts w:ascii="Times New Roman" w:hAnsi="Times New Roman"/>
          <w:color w:val="auto"/>
          <w:sz w:val="24"/>
          <w:szCs w:val="24"/>
        </w:rPr>
        <w:t>、8.1.1.</w:t>
      </w:r>
      <w:r>
        <w:rPr>
          <w:rFonts w:hint="eastAsia" w:ascii="Times New Roman" w:hAnsi="Times New Roman"/>
          <w:color w:val="auto"/>
          <w:sz w:val="24"/>
          <w:szCs w:val="24"/>
        </w:rPr>
        <w:t>3</w:t>
      </w:r>
      <w:r>
        <w:rPr>
          <w:rFonts w:ascii="Times New Roman" w:hAnsi="Times New Roman"/>
          <w:color w:val="auto"/>
          <w:sz w:val="24"/>
          <w:szCs w:val="24"/>
        </w:rPr>
        <w:t>、8.1.1.</w:t>
      </w:r>
      <w:r>
        <w:rPr>
          <w:rFonts w:hint="eastAsia" w:ascii="Times New Roman" w:hAnsi="Times New Roman"/>
          <w:color w:val="auto"/>
          <w:sz w:val="24"/>
          <w:szCs w:val="24"/>
        </w:rPr>
        <w:t>4</w:t>
      </w:r>
      <w:r>
        <w:rPr>
          <w:rFonts w:ascii="Times New Roman" w:hAnsi="Times New Roman"/>
          <w:color w:val="auto"/>
          <w:sz w:val="24"/>
          <w:szCs w:val="24"/>
        </w:rPr>
        <w:t>的详细技术要求</w:t>
      </w:r>
    </w:p>
    <w:p>
      <w:pPr>
        <w:pStyle w:val="83"/>
        <w:numPr>
          <w:ilvl w:val="0"/>
          <w:numId w:val="67"/>
        </w:numPr>
        <w:ind w:left="0" w:firstLine="480" w:firstLineChars="200"/>
        <w:rPr>
          <w:rFonts w:ascii="Times New Roman" w:hAnsi="Times New Roman"/>
          <w:color w:val="auto"/>
          <w:sz w:val="24"/>
          <w:szCs w:val="24"/>
        </w:rPr>
      </w:pPr>
      <w:r>
        <w:rPr>
          <w:rFonts w:ascii="Times New Roman" w:hAnsi="Times New Roman"/>
          <w:color w:val="auto"/>
          <w:sz w:val="24"/>
          <w:szCs w:val="24"/>
        </w:rPr>
        <w:t>配电柜规格参数详见主要设备材料清单。</w:t>
      </w:r>
    </w:p>
    <w:bookmarkEnd w:id="409"/>
    <w:bookmarkEnd w:id="410"/>
    <w:bookmarkEnd w:id="411"/>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市电动力柜技术要求</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市电动力柜外型参考尺寸：600*800*2</w:t>
      </w:r>
      <w:r>
        <w:rPr>
          <w:rFonts w:hint="eastAsia" w:ascii="Times New Roman" w:hAnsi="Times New Roman"/>
          <w:color w:val="auto"/>
          <w:sz w:val="24"/>
          <w:szCs w:val="24"/>
        </w:rPr>
        <w:t>2</w:t>
      </w:r>
      <w:r>
        <w:rPr>
          <w:rFonts w:ascii="Times New Roman" w:hAnsi="Times New Roman"/>
          <w:color w:val="auto"/>
          <w:sz w:val="24"/>
          <w:szCs w:val="24"/>
        </w:rPr>
        <w:t>60mm宽*深*高/800*800*2</w:t>
      </w:r>
      <w:r>
        <w:rPr>
          <w:rFonts w:hint="eastAsia" w:ascii="Times New Roman" w:hAnsi="Times New Roman"/>
          <w:color w:val="auto"/>
          <w:sz w:val="24"/>
          <w:szCs w:val="24"/>
        </w:rPr>
        <w:t>2</w:t>
      </w:r>
      <w:r>
        <w:rPr>
          <w:rFonts w:ascii="Times New Roman" w:hAnsi="Times New Roman"/>
          <w:color w:val="auto"/>
          <w:sz w:val="24"/>
          <w:szCs w:val="24"/>
        </w:rPr>
        <w:t>60mm宽*深*高，最终尺寸可按现场及实际需求配置。具体如下表：</w:t>
      </w:r>
    </w:p>
    <w:tbl>
      <w:tblPr>
        <w:tblStyle w:val="56"/>
        <w:tblW w:w="9940" w:type="dxa"/>
        <w:tblInd w:w="0" w:type="dxa"/>
        <w:tblLayout w:type="autofit"/>
        <w:tblCellMar>
          <w:top w:w="0" w:type="dxa"/>
          <w:left w:w="108" w:type="dxa"/>
          <w:bottom w:w="0" w:type="dxa"/>
          <w:right w:w="108" w:type="dxa"/>
        </w:tblCellMar>
      </w:tblPr>
      <w:tblGrid>
        <w:gridCol w:w="856"/>
        <w:gridCol w:w="1238"/>
        <w:gridCol w:w="828"/>
        <w:gridCol w:w="5459"/>
        <w:gridCol w:w="703"/>
        <w:gridCol w:w="856"/>
      </w:tblGrid>
      <w:tr>
        <w:tblPrEx>
          <w:tblCellMar>
            <w:top w:w="0" w:type="dxa"/>
            <w:left w:w="108" w:type="dxa"/>
            <w:bottom w:w="0" w:type="dxa"/>
            <w:right w:w="108" w:type="dxa"/>
          </w:tblCellMar>
        </w:tblPrEx>
        <w:trPr>
          <w:trHeight w:val="260"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textAlignment w:val="center"/>
              <w:rPr>
                <w:rFonts w:ascii="Times New Roman" w:hAnsi="Times New Roman"/>
                <w:b/>
                <w:bCs/>
                <w:color w:val="auto"/>
                <w:kern w:val="0"/>
                <w:sz w:val="24"/>
                <w:szCs w:val="24"/>
                <w:lang w:bidi="ar"/>
              </w:rPr>
            </w:pPr>
            <w:r>
              <w:rPr>
                <w:rFonts w:ascii="Times New Roman" w:hAnsi="Times New Roman"/>
                <w:b/>
                <w:bCs/>
                <w:color w:val="auto"/>
                <w:kern w:val="0"/>
                <w:sz w:val="24"/>
                <w:szCs w:val="24"/>
                <w:lang w:bidi="ar"/>
              </w:rPr>
              <w:t>位置</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名称</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型号及规格</w:t>
            </w:r>
          </w:p>
        </w:tc>
        <w:tc>
          <w:tcPr>
            <w:tcW w:w="70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单位</w:t>
            </w:r>
          </w:p>
        </w:tc>
        <w:tc>
          <w:tcPr>
            <w:tcW w:w="85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数量</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信通电源室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市电动力柜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输入开关：2个250A/3P的开关、1个250A/4P/PC级/ATS切换开关，含分励脱扣开关；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输出开关：5个63A/3P开关；6个32A/3P开关；6个25A/2P开关；3个16</w:t>
            </w:r>
            <w:r>
              <w:rPr>
                <w:rFonts w:hint="eastAsia" w:ascii="Times New Roman" w:hAnsi="Times New Roman"/>
                <w:color w:val="auto"/>
                <w:kern w:val="0"/>
                <w:sz w:val="24"/>
                <w:szCs w:val="24"/>
                <w:lang w:bidi="ar"/>
              </w:rPr>
              <w:t>A</w:t>
            </w:r>
            <w:r>
              <w:rPr>
                <w:rFonts w:ascii="Times New Roman" w:hAnsi="Times New Roman"/>
                <w:color w:val="auto"/>
                <w:kern w:val="0"/>
                <w:sz w:val="24"/>
                <w:szCs w:val="24"/>
                <w:lang w:bidi="ar"/>
              </w:rPr>
              <w:t>/2P开关</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信通电源室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市电动力柜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柜体规格：800*800*2260mm宽*深*高（含门楣）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输入开关：2个400A/3P的开关、1个400A/4P/PC级/ATS切换开关，含分励脱扣开关；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输出开关：8个80A/3P开关；4个63A/3P开关；5个32A/3P开关；4个32A/2P开关；6个25A/2P开关；6个16</w:t>
            </w:r>
            <w:r>
              <w:rPr>
                <w:rFonts w:hint="eastAsia" w:ascii="Times New Roman" w:hAnsi="Times New Roman"/>
                <w:color w:val="auto"/>
                <w:kern w:val="0"/>
                <w:sz w:val="24"/>
                <w:szCs w:val="24"/>
                <w:lang w:bidi="ar"/>
              </w:rPr>
              <w:t>A</w:t>
            </w:r>
            <w:r>
              <w:rPr>
                <w:rFonts w:ascii="Times New Roman" w:hAnsi="Times New Roman"/>
                <w:color w:val="auto"/>
                <w:kern w:val="0"/>
                <w:sz w:val="24"/>
                <w:szCs w:val="24"/>
                <w:lang w:bidi="ar"/>
              </w:rPr>
              <w:t>/2P开关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3</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信通电源室</w:t>
            </w:r>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市电动力柜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柜体规格：800*800*2260mm宽*深*高（含门楣）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输入开关：2个320A/3P的开关、1个320A/4P/PC级/ATS切换开关，含分励脱扣开关；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输出开关：4个80A/3P开关；4个63A/3P开关；5个32A/3P开关；4个32A/2P开关；6个25A/2P开关；6个16</w:t>
            </w:r>
            <w:r>
              <w:rPr>
                <w:rFonts w:hint="eastAsia" w:ascii="Times New Roman" w:hAnsi="Times New Roman"/>
                <w:color w:val="auto"/>
                <w:kern w:val="0"/>
                <w:sz w:val="24"/>
                <w:szCs w:val="24"/>
                <w:lang w:bidi="ar"/>
              </w:rPr>
              <w:t>A</w:t>
            </w:r>
            <w:r>
              <w:rPr>
                <w:rFonts w:ascii="Times New Roman" w:hAnsi="Times New Roman"/>
                <w:color w:val="auto"/>
                <w:kern w:val="0"/>
                <w:sz w:val="24"/>
                <w:szCs w:val="24"/>
                <w:lang w:bidi="ar"/>
              </w:rPr>
              <w:t>/2P开关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bl>
    <w:p>
      <w:pPr>
        <w:pStyle w:val="83"/>
        <w:numPr>
          <w:ilvl w:val="0"/>
          <w:numId w:val="68"/>
        </w:numPr>
        <w:ind w:left="0" w:firstLine="480" w:firstLineChars="200"/>
        <w:rPr>
          <w:rFonts w:ascii="Times New Roman" w:hAnsi="Times New Roman"/>
          <w:color w:val="auto"/>
          <w:sz w:val="24"/>
          <w:szCs w:val="24"/>
        </w:rPr>
      </w:pPr>
      <w:bookmarkStart w:id="415" w:name="_Toc65773305"/>
      <w:r>
        <w:rPr>
          <w:rFonts w:ascii="Times New Roman" w:hAnsi="Times New Roman"/>
          <w:color w:val="auto"/>
          <w:sz w:val="24"/>
          <w:szCs w:val="24"/>
        </w:rPr>
        <w:t>配电柜元器件配置要求参考招标清单及施工图要求，供货时需与招标人确认，如果有元件器容量</w:t>
      </w:r>
      <w:r>
        <w:rPr>
          <w:rFonts w:hint="eastAsia" w:ascii="Times New Roman" w:hAnsi="Times New Roman"/>
          <w:color w:val="auto"/>
          <w:sz w:val="24"/>
          <w:szCs w:val="24"/>
        </w:rPr>
        <w:t>或数量</w:t>
      </w:r>
      <w:r>
        <w:rPr>
          <w:rFonts w:ascii="Times New Roman" w:hAnsi="Times New Roman"/>
          <w:color w:val="auto"/>
          <w:sz w:val="24"/>
          <w:szCs w:val="24"/>
        </w:rPr>
        <w:t>存在差异，投标人</w:t>
      </w:r>
      <w:r>
        <w:rPr>
          <w:rFonts w:hint="eastAsia" w:ascii="Times New Roman" w:hAnsi="Times New Roman"/>
          <w:color w:val="auto"/>
          <w:sz w:val="24"/>
          <w:szCs w:val="24"/>
        </w:rPr>
        <w:t>配合</w:t>
      </w:r>
      <w:r>
        <w:rPr>
          <w:rFonts w:ascii="Times New Roman" w:hAnsi="Times New Roman"/>
          <w:color w:val="auto"/>
          <w:sz w:val="24"/>
          <w:szCs w:val="24"/>
        </w:rPr>
        <w:t>免费提供。</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配电柜要求前、后开门，前门采用玻璃门，保证能够清晰观察电柜里面开关状态</w:t>
      </w:r>
      <w:r>
        <w:rPr>
          <w:rFonts w:hint="eastAsia" w:ascii="Times New Roman" w:hAnsi="Times New Roman"/>
          <w:color w:val="auto"/>
          <w:sz w:val="24"/>
          <w:szCs w:val="24"/>
        </w:rPr>
        <w:t>；</w:t>
      </w:r>
      <w:r>
        <w:rPr>
          <w:rFonts w:ascii="Times New Roman" w:hAnsi="Times New Roman"/>
          <w:color w:val="auto"/>
          <w:sz w:val="24"/>
          <w:szCs w:val="24"/>
        </w:rPr>
        <w:t>后门采用金属门，柜体内有安全档板</w:t>
      </w:r>
      <w:r>
        <w:rPr>
          <w:rFonts w:hint="eastAsia" w:ascii="Times New Roman" w:hAnsi="Times New Roman"/>
          <w:color w:val="auto"/>
          <w:sz w:val="24"/>
          <w:szCs w:val="24"/>
        </w:rPr>
        <w:t>，采用双开门</w:t>
      </w:r>
      <w:r>
        <w:rPr>
          <w:rFonts w:ascii="Times New Roman" w:hAnsi="Times New Roman"/>
          <w:color w:val="auto"/>
          <w:sz w:val="24"/>
          <w:szCs w:val="24"/>
        </w:rPr>
        <w:t>。</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开关端子连线采用铜排。</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要求安装相应的电压和电流三相指示表。</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柜内下部要求安装相应的输入与输出的零排和地排，铜材规格满足电气要求。</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柜体颜色按RAL9004标准黑（最终颜色供货时需招标方确认）。</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进出线要求：输入</w:t>
      </w:r>
      <w:r>
        <w:rPr>
          <w:rFonts w:hint="eastAsia" w:ascii="Times New Roman" w:hAnsi="Times New Roman"/>
          <w:color w:val="auto"/>
          <w:sz w:val="24"/>
          <w:szCs w:val="24"/>
        </w:rPr>
        <w:t>输</w:t>
      </w:r>
      <w:r>
        <w:rPr>
          <w:rFonts w:ascii="Times New Roman" w:hAnsi="Times New Roman"/>
          <w:color w:val="auto"/>
          <w:sz w:val="24"/>
          <w:szCs w:val="24"/>
        </w:rPr>
        <w:t>出电缆采用下出线方式。</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柜体要坚实牢固，板材厚度≥2毫米。</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配电柜要求配置安装</w:t>
      </w:r>
      <w:r>
        <w:rPr>
          <w:rFonts w:hint="eastAsia" w:ascii="Times New Roman" w:hAnsi="Times New Roman"/>
          <w:color w:val="auto"/>
          <w:sz w:val="24"/>
          <w:szCs w:val="24"/>
        </w:rPr>
        <w:t>二</w:t>
      </w:r>
      <w:r>
        <w:rPr>
          <w:rFonts w:ascii="Times New Roman" w:hAnsi="Times New Roman"/>
          <w:color w:val="auto"/>
          <w:sz w:val="24"/>
          <w:szCs w:val="24"/>
        </w:rPr>
        <w:t>级防雷器。</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配电柜设计要考虑监控设备的安装位置。</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配电柜中的各种电气元件均有相应的标识，以便识别，每个柜体的后侧粘贴本柜配置的电气系统图，以便运行使用中的维护和管理。</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可配合动力环境监控实现统一的监控。</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监控参数：见8.1.1.</w:t>
      </w:r>
      <w:r>
        <w:rPr>
          <w:rFonts w:hint="eastAsia" w:ascii="Times New Roman" w:hAnsi="Times New Roman"/>
          <w:color w:val="auto"/>
          <w:sz w:val="24"/>
          <w:szCs w:val="24"/>
        </w:rPr>
        <w:t>4</w:t>
      </w:r>
      <w:r>
        <w:rPr>
          <w:rFonts w:ascii="Times New Roman" w:hAnsi="Times New Roman"/>
          <w:color w:val="auto"/>
          <w:sz w:val="24"/>
          <w:szCs w:val="24"/>
        </w:rPr>
        <w:t>详细技术要求。</w:t>
      </w:r>
    </w:p>
    <w:p>
      <w:pPr>
        <w:pStyle w:val="83"/>
        <w:numPr>
          <w:ilvl w:val="0"/>
          <w:numId w:val="68"/>
        </w:numPr>
        <w:ind w:left="0" w:firstLine="480" w:firstLineChars="200"/>
        <w:rPr>
          <w:rFonts w:ascii="Times New Roman" w:hAnsi="Times New Roman"/>
          <w:color w:val="auto"/>
          <w:sz w:val="24"/>
          <w:szCs w:val="24"/>
        </w:rPr>
      </w:pPr>
      <w:r>
        <w:rPr>
          <w:rFonts w:ascii="Times New Roman" w:hAnsi="Times New Roman"/>
          <w:color w:val="auto"/>
          <w:sz w:val="24"/>
          <w:szCs w:val="24"/>
        </w:rPr>
        <w:t>配电柜规格参数详见主要设备材料清单。</w:t>
      </w:r>
    </w:p>
    <w:p>
      <w:pPr>
        <w:pStyle w:val="4"/>
        <w:numPr>
          <w:ilvl w:val="1"/>
          <w:numId w:val="25"/>
        </w:numPr>
        <w:spacing w:line="360" w:lineRule="auto"/>
        <w:rPr>
          <w:rFonts w:ascii="Times New Roman" w:hAnsi="Times New Roman"/>
          <w:b/>
          <w:bCs/>
          <w:color w:val="auto"/>
          <w:sz w:val="24"/>
          <w:szCs w:val="24"/>
        </w:rPr>
      </w:pPr>
      <w:bookmarkStart w:id="416" w:name="_Toc14163"/>
      <w:bookmarkStart w:id="417" w:name="_Toc14213"/>
      <w:bookmarkStart w:id="418" w:name="_Toc2288"/>
      <w:bookmarkStart w:id="419" w:name="_Toc14033"/>
      <w:bookmarkStart w:id="420" w:name="_Toc15490"/>
      <w:bookmarkStart w:id="421" w:name="_Toc29055"/>
      <w:bookmarkStart w:id="422" w:name="_Toc18278"/>
      <w:r>
        <w:rPr>
          <w:rFonts w:ascii="Times New Roman" w:hAnsi="Times New Roman"/>
          <w:b/>
          <w:bCs/>
          <w:color w:val="auto"/>
          <w:sz w:val="24"/>
          <w:szCs w:val="24"/>
        </w:rPr>
        <w:t>通信交流不间断电源系统技术要求</w:t>
      </w:r>
      <w:bookmarkEnd w:id="383"/>
      <w:bookmarkEnd w:id="415"/>
      <w:bookmarkEnd w:id="416"/>
      <w:bookmarkEnd w:id="417"/>
      <w:bookmarkEnd w:id="418"/>
      <w:bookmarkEnd w:id="419"/>
      <w:bookmarkEnd w:id="420"/>
      <w:bookmarkEnd w:id="421"/>
      <w:bookmarkEnd w:id="422"/>
    </w:p>
    <w:p>
      <w:pPr>
        <w:pStyle w:val="118"/>
        <w:numPr>
          <w:ilvl w:val="2"/>
          <w:numId w:val="25"/>
        </w:numPr>
        <w:spacing w:before="0" w:after="0"/>
        <w:rPr>
          <w:rFonts w:ascii="Times New Roman" w:hAnsi="Times New Roman"/>
          <w:color w:val="auto"/>
          <w:sz w:val="24"/>
          <w:szCs w:val="24"/>
        </w:rPr>
      </w:pPr>
      <w:bookmarkStart w:id="423" w:name="_Toc65773306"/>
      <w:r>
        <w:rPr>
          <w:rFonts w:ascii="Times New Roman" w:hAnsi="Times New Roman"/>
          <w:color w:val="auto"/>
          <w:sz w:val="24"/>
          <w:szCs w:val="24"/>
        </w:rPr>
        <w:t>总体要求</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设备厂商具有完善的质量保证体系，通过ISO9001、ISO14001质量管理体系认证和</w:t>
      </w:r>
      <w:r>
        <w:rPr>
          <w:rFonts w:hint="eastAsia" w:ascii="Times New Roman" w:hAnsi="Times New Roman"/>
          <w:color w:val="auto"/>
          <w:sz w:val="24"/>
          <w:szCs w:val="24"/>
          <w:lang w:val="en-US" w:eastAsia="zh-CN"/>
        </w:rPr>
        <w:t>ISO 45001</w:t>
      </w:r>
      <w:r>
        <w:rPr>
          <w:rFonts w:ascii="Times New Roman" w:hAnsi="Times New Roman"/>
          <w:color w:val="auto"/>
          <w:sz w:val="24"/>
          <w:szCs w:val="24"/>
        </w:rPr>
        <w:t>职业健康安全管理体系认证。</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设备厂商在UPS领域至少有20年的设计、制造和销售经历。</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须提供投标产品的RoHS声明、CE声明，以及第三方检测机构出具的EMC认证证书和测试报告（原件或加盖制造商公章的复印件）、CB认证证书和测试报告（原件或加盖制造商公章的复印件）、泰尔检测报告。或具有同等效力的证明文件。</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本次投标设备在广东省内具有良好的技术支持能力及固定的维修单位或机构，以及相应的备品备件库。</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具有良好的银行资信和商业信誉，无处于被责令停业，财产被接管，冻结，破产状态。</w:t>
      </w:r>
    </w:p>
    <w:p>
      <w:pPr>
        <w:pStyle w:val="83"/>
        <w:numPr>
          <w:ilvl w:val="0"/>
          <w:numId w:val="69"/>
        </w:numPr>
        <w:ind w:left="0" w:firstLine="480" w:firstLineChars="200"/>
        <w:rPr>
          <w:rFonts w:ascii="Times New Roman" w:hAnsi="Times New Roman"/>
          <w:color w:val="auto"/>
          <w:sz w:val="24"/>
          <w:szCs w:val="24"/>
        </w:rPr>
      </w:pPr>
      <w:r>
        <w:rPr>
          <w:rFonts w:ascii="Times New Roman" w:hAnsi="Times New Roman"/>
          <w:color w:val="auto"/>
          <w:sz w:val="24"/>
          <w:szCs w:val="24"/>
        </w:rPr>
        <w:t>文件要求：</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投标方应提供技术规范书要求的全套技术文件,文件应用中文书写；</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投标方应提供一份包括全套技术文件在内的文件清单,所有文件均应有简洁明了的各种编号,各种文件的文字说明应通俗易懂,所有图纸的图形符号等均应规范化；</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技术文件内容要与所针对的设备一致；</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投标技术文件主要内容要求:</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投标设备之产品样本，须包括详尽的技术数据。</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国际权威的第三方检测报告，包括但不限于EMC认证证书及测试报告、LCIE CB认证证书及测试报告（原件或加盖制造商公章的复印件）。</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制造商之ISO9000证书、ISO14001证书和OHSAS 18001证书。</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技术规范之点对点应答。</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完整的系统配置方案，含并机、输入谐波控制、UPS系统对前端供电系统的要求及建议等。</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UPS设备测试方案。</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蓄电池配置方案及配置容量计算书。</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UPS机组的进、出线示意图。</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UPS机组的内置开关布局图。</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蓄电池室环境要求、废电池回收及无害化处理方案。</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备品备件及专用工具清单。</w:t>
      </w:r>
    </w:p>
    <w:p>
      <w:pPr>
        <w:numPr>
          <w:ilvl w:val="0"/>
          <w:numId w:val="70"/>
        </w:numPr>
        <w:tabs>
          <w:tab w:val="left" w:pos="900"/>
          <w:tab w:val="left" w:pos="1121"/>
        </w:tabs>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提供保修期内售后服务承诺书。</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UPS电源系统组成</w:t>
      </w:r>
      <w:bookmarkEnd w:id="423"/>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本工程配置</w:t>
      </w:r>
      <w:r>
        <w:rPr>
          <w:rFonts w:hint="eastAsia" w:ascii="Times New Roman" w:hAnsi="Times New Roman"/>
          <w:color w:val="auto"/>
          <w:sz w:val="24"/>
          <w:szCs w:val="24"/>
        </w:rPr>
        <w:t>6</w:t>
      </w:r>
      <w:r>
        <w:rPr>
          <w:rFonts w:ascii="Times New Roman" w:hAnsi="Times New Roman"/>
          <w:color w:val="auto"/>
          <w:sz w:val="24"/>
          <w:szCs w:val="24"/>
        </w:rPr>
        <w:t>台UPS， 每2台UPS系统安装在一个信通电源室。2台UPS组成2个独立单母线供电结构。每台UPS设置一台交流配电柜作为UPS输入柜（含ATS功能）、一台UPS输出配电柜。每台UPS配置1套蓄电池，UPS需配置电池电缆接入开关（可独立成箱）。</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kern w:val="0"/>
          <w:sz w:val="24"/>
          <w:szCs w:val="24"/>
          <w:lang w:bidi="en-US"/>
        </w:rPr>
        <w:t>★</w:t>
      </w:r>
      <w:r>
        <w:rPr>
          <w:rFonts w:ascii="Times New Roman" w:hAnsi="Times New Roman"/>
          <w:color w:val="auto"/>
          <w:sz w:val="24"/>
          <w:szCs w:val="24"/>
        </w:rPr>
        <w:t>UPS主机为模块化结构，支持模块热插拔，每台UPS主机≥2个模块。</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947"/>
        <w:gridCol w:w="1453"/>
        <w:gridCol w:w="4056"/>
        <w:gridCol w:w="835"/>
        <w:gridCol w:w="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19" w:type="pct"/>
            <w:noWrap/>
            <w:vAlign w:val="center"/>
          </w:tcPr>
          <w:p>
            <w:pPr>
              <w:snapToGrid w:val="0"/>
              <w:spacing w:line="360" w:lineRule="auto"/>
              <w:rPr>
                <w:rFonts w:ascii="Times New Roman" w:hAnsi="Times New Roman"/>
                <w:color w:val="auto"/>
                <w:sz w:val="24"/>
                <w:szCs w:val="24"/>
              </w:rPr>
            </w:pPr>
            <w:r>
              <w:rPr>
                <w:rFonts w:ascii="Times New Roman" w:hAnsi="Times New Roman"/>
                <w:color w:val="auto"/>
                <w:sz w:val="24"/>
                <w:szCs w:val="24"/>
              </w:rPr>
              <w:t>序号</w:t>
            </w:r>
          </w:p>
        </w:tc>
        <w:tc>
          <w:tcPr>
            <w:tcW w:w="97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位置</w:t>
            </w:r>
          </w:p>
        </w:tc>
        <w:tc>
          <w:tcPr>
            <w:tcW w:w="72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名称</w:t>
            </w:r>
          </w:p>
        </w:tc>
        <w:tc>
          <w:tcPr>
            <w:tcW w:w="203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规格参数</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单位</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w:t>
            </w:r>
          </w:p>
        </w:tc>
        <w:tc>
          <w:tcPr>
            <w:tcW w:w="97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办公楼</w:t>
            </w:r>
          </w:p>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信通电源室</w:t>
            </w:r>
          </w:p>
        </w:tc>
        <w:tc>
          <w:tcPr>
            <w:tcW w:w="72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UPS主机</w:t>
            </w:r>
          </w:p>
        </w:tc>
        <w:tc>
          <w:tcPr>
            <w:tcW w:w="2035" w:type="pct"/>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模块化结构，热插拔，三进三出</w:t>
            </w:r>
          </w:p>
          <w:p>
            <w:pPr>
              <w:pStyle w:val="20"/>
              <w:spacing w:line="360" w:lineRule="auto"/>
              <w:rPr>
                <w:rFonts w:ascii="Times New Roman" w:hAnsi="Times New Roman"/>
                <w:color w:val="auto"/>
                <w:sz w:val="24"/>
                <w:szCs w:val="24"/>
              </w:rPr>
            </w:pPr>
            <w:r>
              <w:rPr>
                <w:rFonts w:ascii="Times New Roman" w:hAnsi="Times New Roman"/>
                <w:color w:val="auto"/>
                <w:sz w:val="24"/>
                <w:szCs w:val="24"/>
              </w:rPr>
              <w:t>容量：≥60</w:t>
            </w:r>
            <w:r>
              <w:rPr>
                <w:rFonts w:hint="eastAsia" w:ascii="Times New Roman" w:hAnsi="Times New Roman"/>
                <w:color w:val="auto"/>
                <w:sz w:val="24"/>
                <w:szCs w:val="24"/>
                <w:lang w:val="en-US" w:eastAsia="zh-CN"/>
              </w:rPr>
              <w:t>k</w:t>
            </w:r>
            <w:r>
              <w:rPr>
                <w:rFonts w:ascii="Times New Roman" w:hAnsi="Times New Roman"/>
                <w:color w:val="auto"/>
                <w:sz w:val="24"/>
                <w:szCs w:val="24"/>
              </w:rPr>
              <w:t>VA（≥2个功率模块,含通讯卡、含蓄电池输入开关、主路、旁路开关，维修旁路带挂锁</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套</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2</w:t>
            </w:r>
          </w:p>
        </w:tc>
        <w:tc>
          <w:tcPr>
            <w:tcW w:w="97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开关站</w:t>
            </w:r>
          </w:p>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信通电源室</w:t>
            </w:r>
          </w:p>
        </w:tc>
        <w:tc>
          <w:tcPr>
            <w:tcW w:w="72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UPS主机</w:t>
            </w:r>
          </w:p>
        </w:tc>
        <w:tc>
          <w:tcPr>
            <w:tcW w:w="2035" w:type="pct"/>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模块化结构，热插拔，三进三出</w:t>
            </w:r>
          </w:p>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容量：≥80kVA（≥2个功率模块,含通讯卡，含蓄电池输入开关、主路、旁路开关，维修旁路带挂锁</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套</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19" w:type="pct"/>
            <w:noWrap/>
            <w:vAlign w:val="center"/>
          </w:tcPr>
          <w:p>
            <w:pPr>
              <w:widowControl/>
              <w:spacing w:line="360" w:lineRule="auto"/>
              <w:jc w:val="center"/>
              <w:rPr>
                <w:rFonts w:ascii="Times New Roman" w:hAnsi="Times New Roman"/>
                <w:color w:val="auto"/>
                <w:sz w:val="24"/>
                <w:szCs w:val="24"/>
              </w:rPr>
            </w:pPr>
            <w:bookmarkStart w:id="424" w:name="_Toc449779619"/>
            <w:r>
              <w:rPr>
                <w:rFonts w:ascii="Times New Roman" w:hAnsi="Times New Roman"/>
                <w:color w:val="auto"/>
                <w:sz w:val="24"/>
                <w:szCs w:val="24"/>
              </w:rPr>
              <w:t>3</w:t>
            </w:r>
          </w:p>
        </w:tc>
        <w:tc>
          <w:tcPr>
            <w:tcW w:w="977" w:type="pct"/>
            <w:noWrap/>
            <w:vAlign w:val="center"/>
          </w:tcPr>
          <w:p>
            <w:pPr>
              <w:widowControl/>
              <w:spacing w:line="360" w:lineRule="auto"/>
              <w:jc w:val="center"/>
              <w:rPr>
                <w:rFonts w:ascii="Times New Roman" w:hAnsi="Times New Roman"/>
                <w:color w:val="auto"/>
                <w:sz w:val="24"/>
                <w:szCs w:val="24"/>
              </w:rPr>
            </w:pPr>
            <w:r>
              <w:rPr>
                <w:rFonts w:hint="eastAsia" w:ascii="Times New Roman" w:hAnsi="Times New Roman"/>
                <w:color w:val="auto"/>
                <w:sz w:val="24"/>
                <w:szCs w:val="24"/>
              </w:rPr>
              <w:t>地下厂房副厂房</w:t>
            </w:r>
          </w:p>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信通电源室</w:t>
            </w:r>
          </w:p>
        </w:tc>
        <w:tc>
          <w:tcPr>
            <w:tcW w:w="72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UPS主机</w:t>
            </w:r>
          </w:p>
        </w:tc>
        <w:tc>
          <w:tcPr>
            <w:tcW w:w="2035" w:type="pct"/>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模块化结构，热插拔，三进三出</w:t>
            </w:r>
          </w:p>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容量：≥80kVA（≥2个功率模块）,含通讯卡，含蓄电池输入开关、主路、旁路开关，维修旁路带挂锁</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套</w:t>
            </w:r>
          </w:p>
        </w:tc>
        <w:tc>
          <w:tcPr>
            <w:tcW w:w="419"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2</w:t>
            </w:r>
          </w:p>
          <w:p>
            <w:pPr>
              <w:pStyle w:val="2"/>
              <w:spacing w:before="0" w:after="0"/>
              <w:rPr>
                <w:rFonts w:ascii="Times New Roman" w:hAnsi="Times New Roman"/>
                <w:color w:val="auto"/>
                <w:szCs w:val="24"/>
              </w:rPr>
            </w:pP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不间断电源系统由输入配电部分、输出配电部分、功率模块、监控模块等组成。模块具有以下属性：</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——机械上具有独立的框架结构；</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——具有完整独立的功能；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——模块之间应能协同工作。</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投标文件应至少包含以下内容：</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——功率模块：模块化、冗余情况、在线热插拔情况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——控制模块：模块化、冗余情况、在线热插拔情况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——静态旁路：集中旁路、或分散旁路、在线热插拔情况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——监控单元：屏幕尺寸、最大事故记录数量、是否支持中文、触屏功能等</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——通信总线方式</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——模块之间、UPS主机柜之间采用铜缆或铜排方式</w:t>
      </w:r>
    </w:p>
    <w:bookmarkEnd w:id="424"/>
    <w:p>
      <w:pPr>
        <w:pStyle w:val="118"/>
        <w:numPr>
          <w:ilvl w:val="2"/>
          <w:numId w:val="25"/>
        </w:numPr>
        <w:spacing w:before="0" w:after="0"/>
        <w:rPr>
          <w:rFonts w:ascii="Times New Roman" w:hAnsi="Times New Roman"/>
          <w:color w:val="auto"/>
          <w:sz w:val="24"/>
          <w:szCs w:val="24"/>
        </w:rPr>
      </w:pPr>
      <w:bookmarkStart w:id="425" w:name="_Toc534807103"/>
      <w:bookmarkStart w:id="426" w:name="_Toc65773334"/>
      <w:bookmarkStart w:id="427" w:name="_Toc449779669"/>
      <w:r>
        <w:rPr>
          <w:rFonts w:ascii="Times New Roman" w:hAnsi="Times New Roman"/>
          <w:color w:val="auto"/>
          <w:sz w:val="24"/>
          <w:szCs w:val="24"/>
        </w:rPr>
        <w:t xml:space="preserve">UPS主机参数要求 </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物理架构</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采用模块化热插拔技术UPS产品，单机不少于2个模块，每个功率模块具有独立DSP控制，采用分散控制技术。提供UPS内部物理结构图及系统电路图以供查验。</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安全性</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UPS须内置主输入开关、旁路输入开关、维修旁路开关、输出开关，确保设备维修时可妥善隔离供电电源，保障人身安全。</w:t>
      </w:r>
      <w:bookmarkStart w:id="428" w:name="_Hlk10558084"/>
      <w:r>
        <w:rPr>
          <w:rFonts w:ascii="Times New Roman" w:hAnsi="Times New Roman"/>
          <w:color w:val="auto"/>
          <w:sz w:val="24"/>
          <w:szCs w:val="24"/>
        </w:rPr>
        <w:t>提供开关布局图及开关型号说明。</w:t>
      </w:r>
      <w:bookmarkEnd w:id="428"/>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运行环境要求：</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环境温度：-5℃～+40℃。</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相对湿度：不高于90％（装置内部应无凝露，也不结冰）。</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交流电源输入要求：</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输入电压范围：</w:t>
      </w:r>
      <w:r>
        <w:rPr>
          <w:rFonts w:ascii="Times New Roman" w:hAnsi="Times New Roman"/>
          <w:bCs/>
          <w:color w:val="auto"/>
          <w:sz w:val="24"/>
          <w:szCs w:val="24"/>
        </w:rPr>
        <w:t>323V～456V</w:t>
      </w:r>
      <w:r>
        <w:rPr>
          <w:rFonts w:ascii="Times New Roman" w:hAnsi="Times New Roman"/>
          <w:color w:val="auto"/>
          <w:sz w:val="24"/>
          <w:szCs w:val="24"/>
        </w:rPr>
        <w:t>（满载）。</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频率：50Hz。</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频率跟踪范围为50Hz±2Hz可调。</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频率跟踪速率：≤1Hz/s。</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输入功率因素：≥0.95。</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输入电流谐波失真度(THDI)：&lt;10%。</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整流器具有PFC功率因素校正功能。</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设备必须有良好的软启动功能。</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旁路电源输入要求：</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旁路输入：AC380V±10% 。</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输入频率：50Hz±4%。</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旁路过载能力：135%额定电流以下可长期过载。</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短路能力：200%额定电流的瞬间冲击。</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交流电源输出要求：</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输出电压稳压精度： 380VAC±1％，三相五线；可调范围：±5％。</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输出频率：50±2%。</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瞬态电压变化：在负载跳变100％时≤±2％。</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瞬时恢复时间：≤20ms。</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输出电压谐波失真度(THDU)：≤2%（线性负载）；≤5%（非线性负载）。</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峰值因数：≥3。</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输出功率因数：≥0.9。</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逆变输出效率 ：≥92%。</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输出过载能力：125%的额定负载10 分钟，150%的额定负载1 分钟。</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直流电源压：325V～600V不允许降容</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市电电池切换时间：0ms，旁路逆变切换时间：＜</w:t>
      </w:r>
      <w:r>
        <w:rPr>
          <w:rFonts w:hint="eastAsia" w:ascii="Times New Roman" w:hAnsi="Times New Roman"/>
          <w:color w:val="auto"/>
          <w:sz w:val="24"/>
          <w:szCs w:val="24"/>
        </w:rPr>
        <w:t>2</w:t>
      </w:r>
      <w:r>
        <w:rPr>
          <w:rFonts w:ascii="Times New Roman" w:hAnsi="Times New Roman"/>
          <w:color w:val="auto"/>
          <w:sz w:val="24"/>
          <w:szCs w:val="24"/>
        </w:rPr>
        <w:t>ms。</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UPS电源≤30</w:t>
      </w:r>
      <w:r>
        <w:rPr>
          <w:rFonts w:hint="eastAsia" w:ascii="Times New Roman" w:hAnsi="Times New Roman"/>
          <w:color w:val="auto"/>
          <w:sz w:val="24"/>
          <w:szCs w:val="24"/>
          <w:lang w:val="en-US" w:eastAsia="zh-CN"/>
        </w:rPr>
        <w:t>k</w:t>
      </w:r>
      <w:r>
        <w:rPr>
          <w:rFonts w:ascii="Times New Roman" w:hAnsi="Times New Roman"/>
          <w:color w:val="auto"/>
          <w:sz w:val="24"/>
          <w:szCs w:val="24"/>
        </w:rPr>
        <w:t>VA，噪声≤60d</w:t>
      </w:r>
      <w:r>
        <w:rPr>
          <w:rFonts w:hint="eastAsia" w:ascii="Times New Roman" w:hAnsi="Times New Roman"/>
          <w:color w:val="auto"/>
          <w:sz w:val="24"/>
          <w:szCs w:val="24"/>
          <w:lang w:val="en-US" w:eastAsia="zh-CN"/>
        </w:rPr>
        <w:t>B</w:t>
      </w:r>
      <w:r>
        <w:rPr>
          <w:rFonts w:ascii="Times New Roman" w:hAnsi="Times New Roman"/>
          <w:color w:val="auto"/>
          <w:sz w:val="24"/>
          <w:szCs w:val="24"/>
        </w:rPr>
        <w:t>；UPS电源≤50～100</w:t>
      </w:r>
      <w:r>
        <w:rPr>
          <w:rFonts w:hint="eastAsia" w:ascii="Times New Roman" w:hAnsi="Times New Roman"/>
          <w:color w:val="auto"/>
          <w:sz w:val="24"/>
          <w:szCs w:val="24"/>
          <w:lang w:val="en-US" w:eastAsia="zh-CN"/>
        </w:rPr>
        <w:t>k</w:t>
      </w:r>
      <w:r>
        <w:rPr>
          <w:rFonts w:ascii="Times New Roman" w:hAnsi="Times New Roman"/>
          <w:color w:val="auto"/>
          <w:sz w:val="24"/>
          <w:szCs w:val="24"/>
        </w:rPr>
        <w:t>VA，噪声≤65d</w:t>
      </w:r>
      <w:r>
        <w:rPr>
          <w:rFonts w:hint="eastAsia" w:ascii="Times New Roman" w:hAnsi="Times New Roman"/>
          <w:color w:val="auto"/>
          <w:sz w:val="24"/>
          <w:szCs w:val="24"/>
          <w:lang w:val="en-US" w:eastAsia="zh-CN"/>
        </w:rPr>
        <w:t>B</w:t>
      </w:r>
      <w:r>
        <w:rPr>
          <w:rFonts w:ascii="Times New Roman" w:hAnsi="Times New Roman"/>
          <w:color w:val="auto"/>
          <w:sz w:val="24"/>
          <w:szCs w:val="24"/>
        </w:rPr>
        <w:t>（距离1米）。</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运行海拔1000m不降容。</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须配置防尘滤网，电路板采用防水、防尘、防静电的三防漆保护。</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整机规格：立柜式柜架结构，采用下进下出线方式。</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支持主路和旁路分开输入，可根据需要灵活选择单路输入或双路输入，UPS出厂时标配主路和旁路短接铜排。提供相关实物图或示意图。</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防护等级IP20。</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 xml:space="preserve">操作面板： 采用彩色中文液晶大屏操作显示面板，可以显示整流器、逆变器元器件每项的实时温度，具有独立的开关机按键及辅助操作按键，同时配置部件状态LED指示灯，具备UPS运行模拟图和事件记录，方便操作维护。 </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具有EPO紧急停机按钮，同时提供1个EPO干接点可连接至远程EPO紧急停机按钮使用。</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标准配置RS485接口和干接点接口，干接点接口应不少于</w:t>
      </w:r>
      <w:r>
        <w:rPr>
          <w:rFonts w:hint="eastAsia" w:ascii="Times New Roman" w:hAnsi="Times New Roman"/>
          <w:color w:val="auto"/>
          <w:sz w:val="24"/>
          <w:szCs w:val="24"/>
        </w:rPr>
        <w:t>6</w:t>
      </w:r>
      <w:r>
        <w:rPr>
          <w:rFonts w:ascii="Times New Roman" w:hAnsi="Times New Roman"/>
          <w:color w:val="auto"/>
          <w:sz w:val="24"/>
          <w:szCs w:val="24"/>
        </w:rPr>
        <w:t>组，部分干接点可根据需要设置不同干接点信号。提供干接点相关设置说明。</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具有旁路电流反馈保护干接点，可外接保护装置满足输入保护。提供相关系统连接示意图。</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具有长延时充电器，UPS应具有不小于20% UPS额定功率的充电功率。</w:t>
      </w:r>
    </w:p>
    <w:p>
      <w:pPr>
        <w:pStyle w:val="83"/>
        <w:numPr>
          <w:ilvl w:val="0"/>
          <w:numId w:val="71"/>
        </w:numPr>
        <w:ind w:left="0" w:firstLine="480" w:firstLineChars="200"/>
        <w:rPr>
          <w:rFonts w:ascii="Times New Roman" w:hAnsi="Times New Roman"/>
          <w:color w:val="auto"/>
          <w:sz w:val="24"/>
          <w:szCs w:val="24"/>
        </w:rPr>
      </w:pPr>
      <w:bookmarkStart w:id="429" w:name="_Hlk5669059"/>
      <w:r>
        <w:rPr>
          <w:rFonts w:ascii="Times New Roman" w:hAnsi="Times New Roman"/>
          <w:color w:val="auto"/>
          <w:sz w:val="24"/>
          <w:szCs w:val="24"/>
        </w:rPr>
        <w:t>具备负载自测试功能。设备安装调试完成后需要现场测试负载自测试功能，负载测试容量可根据UPS功率的30-100%调节以验证不同负载率下UPS参数性能。</w:t>
      </w:r>
    </w:p>
    <w:bookmarkEnd w:id="429"/>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支持部件生命周期监测功能，具备提示防尘滤网、风机等部件的使用时间及定时检查</w:t>
      </w:r>
      <w:bookmarkStart w:id="430" w:name="_Hlk10560437"/>
      <w:r>
        <w:rPr>
          <w:rFonts w:ascii="Times New Roman" w:hAnsi="Times New Roman"/>
          <w:color w:val="auto"/>
          <w:sz w:val="24"/>
          <w:szCs w:val="24"/>
        </w:rPr>
        <w:t>提醒</w:t>
      </w:r>
      <w:bookmarkEnd w:id="430"/>
      <w:r>
        <w:rPr>
          <w:rFonts w:ascii="Times New Roman" w:hAnsi="Times New Roman"/>
          <w:color w:val="auto"/>
          <w:sz w:val="24"/>
          <w:szCs w:val="24"/>
        </w:rPr>
        <w:t>功能。提供相关设置界面截图。</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UPS电源的使用年限</w:t>
      </w:r>
      <w:r>
        <w:rPr>
          <w:rFonts w:hint="eastAsia" w:ascii="Times New Roman" w:hAnsi="Times New Roman"/>
          <w:color w:val="auto"/>
          <w:sz w:val="24"/>
          <w:szCs w:val="24"/>
        </w:rPr>
        <w:t>≥12年。</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UPS主机具备泰尔检测证书及完整的详细测试报告。</w:t>
      </w:r>
    </w:p>
    <w:p>
      <w:pPr>
        <w:pStyle w:val="83"/>
        <w:numPr>
          <w:ilvl w:val="0"/>
          <w:numId w:val="71"/>
        </w:numPr>
        <w:ind w:left="0" w:firstLine="480" w:firstLineChars="200"/>
        <w:rPr>
          <w:rFonts w:ascii="Times New Roman" w:hAnsi="Times New Roman"/>
          <w:color w:val="auto"/>
          <w:sz w:val="24"/>
          <w:szCs w:val="24"/>
        </w:rPr>
      </w:pPr>
      <w:r>
        <w:rPr>
          <w:rFonts w:ascii="Times New Roman" w:hAnsi="Times New Roman"/>
          <w:color w:val="auto"/>
          <w:sz w:val="24"/>
          <w:szCs w:val="24"/>
        </w:rPr>
        <w:t>电池管理：</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具有电池均充、浮充自动控制功能：UPS在停机放置一段时间后，以及在蓄电池放电结束恢复正常供电后，自动启动均充充电，均充电压及均充时间根据蓄电池性能要求设定好进行均充，均充完成能够自动转为浮充充电。</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具有电池充电温度补偿功能：能够根据电池环境温度，自动调整充电器输出电压，避免过充电和欠充电；</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具有电池定期自动维护和测试功能：可以按客户要求设定蓄电池自动维护测试，到了设定的维护时间UPS自动转到电池供电，测试完成后自动恢复正常供电（测试到电池有问题时，即使没有完成电池测试，UPS都恢复正常供电，并报电池故障通知运维人员）。</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 xml:space="preserve">须采用带有通讯和监控功能的专用直流断路器，不采用普通交流断路器或交直流两用断路器，电池断路器具有防止误操作和深度放电保护的功能；UPS主机能检测电池断路器状态并可以远程监控。 </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在开关意外脱扣的情况下，系统能够提供报警。当整流器未建立直流母线电压时，电池断路器不能被闭合。</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当电池放电终止时，断路器应能自动断开，以避免蓄电池组因过放电而损坏。</w:t>
      </w:r>
    </w:p>
    <w:p>
      <w:p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电池断路器应选用带有通讯和监控功能的断路器， 系统应具有防止误操作和深度放电保护的功能； UPS 主机应能检测到电池断路器状态并可远程监控。</w:t>
      </w:r>
    </w:p>
    <w:p>
      <w:pPr>
        <w:numPr>
          <w:ilvl w:val="255"/>
          <w:numId w:val="0"/>
        </w:numPr>
        <w:adjustRightInd w:val="0"/>
        <w:snapToGrid w:val="0"/>
        <w:spacing w:line="360" w:lineRule="auto"/>
        <w:ind w:left="420" w:leftChars="200" w:firstLine="480" w:firstLineChars="200"/>
        <w:rPr>
          <w:rFonts w:ascii="Times New Roman" w:hAnsi="Times New Roman"/>
          <w:color w:val="auto"/>
          <w:sz w:val="24"/>
          <w:szCs w:val="24"/>
        </w:rPr>
      </w:pPr>
      <w:r>
        <w:rPr>
          <w:rFonts w:ascii="Times New Roman" w:hAnsi="Times New Roman"/>
          <w:color w:val="auto"/>
          <w:sz w:val="24"/>
          <w:szCs w:val="24"/>
        </w:rPr>
        <w:t>以上参数为基本参数要求，要求提供的产品满足或优于以上要求。设备颜色与机房整体颜色配置匹配，需提供多种主流的产品颜色供选择。</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 xml:space="preserve">UPS输入、输出柜技术要求 </w:t>
      </w:r>
    </w:p>
    <w:bookmarkEnd w:id="425"/>
    <w:bookmarkEnd w:id="426"/>
    <w:bookmarkEnd w:id="427"/>
    <w:p>
      <w:pPr>
        <w:pStyle w:val="83"/>
        <w:numPr>
          <w:ilvl w:val="0"/>
          <w:numId w:val="72"/>
        </w:numPr>
        <w:ind w:left="0" w:firstLine="480" w:firstLineChars="200"/>
        <w:jc w:val="left"/>
        <w:rPr>
          <w:rFonts w:ascii="Times New Roman" w:hAnsi="Times New Roman"/>
          <w:color w:val="auto"/>
          <w:sz w:val="24"/>
          <w:szCs w:val="24"/>
        </w:rPr>
      </w:pPr>
      <w:r>
        <w:rPr>
          <w:rFonts w:ascii="Times New Roman" w:hAnsi="Times New Roman"/>
          <w:color w:val="auto"/>
          <w:sz w:val="24"/>
          <w:szCs w:val="24"/>
        </w:rPr>
        <w:t>UPS输入输出柜外型参考尺寸：600*800*2</w:t>
      </w:r>
      <w:r>
        <w:rPr>
          <w:rFonts w:hint="eastAsia" w:ascii="Times New Roman" w:hAnsi="Times New Roman"/>
          <w:color w:val="auto"/>
          <w:sz w:val="24"/>
          <w:szCs w:val="24"/>
        </w:rPr>
        <w:t>2</w:t>
      </w:r>
      <w:r>
        <w:rPr>
          <w:rFonts w:ascii="Times New Roman" w:hAnsi="Times New Roman"/>
          <w:color w:val="auto"/>
          <w:sz w:val="24"/>
          <w:szCs w:val="24"/>
        </w:rPr>
        <w:t>60mm、600*800*2260mm、600*1100*2260mm宽*深*高，最终尺寸可按现场及实际需求配置。</w:t>
      </w:r>
    </w:p>
    <w:tbl>
      <w:tblPr>
        <w:tblStyle w:val="56"/>
        <w:tblW w:w="9940" w:type="dxa"/>
        <w:tblInd w:w="0" w:type="dxa"/>
        <w:tblLayout w:type="autofit"/>
        <w:tblCellMar>
          <w:top w:w="0" w:type="dxa"/>
          <w:left w:w="108" w:type="dxa"/>
          <w:bottom w:w="0" w:type="dxa"/>
          <w:right w:w="108" w:type="dxa"/>
        </w:tblCellMar>
      </w:tblPr>
      <w:tblGrid>
        <w:gridCol w:w="856"/>
        <w:gridCol w:w="1238"/>
        <w:gridCol w:w="828"/>
        <w:gridCol w:w="5459"/>
        <w:gridCol w:w="703"/>
        <w:gridCol w:w="856"/>
      </w:tblGrid>
      <w:tr>
        <w:tblPrEx>
          <w:tblCellMar>
            <w:top w:w="0" w:type="dxa"/>
            <w:left w:w="108" w:type="dxa"/>
            <w:bottom w:w="0" w:type="dxa"/>
            <w:right w:w="108" w:type="dxa"/>
          </w:tblCellMar>
        </w:tblPrEx>
        <w:trPr>
          <w:trHeight w:val="260" w:hRule="atLeast"/>
          <w:tblHeader/>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textAlignment w:val="center"/>
              <w:rPr>
                <w:rFonts w:ascii="Times New Roman" w:hAnsi="Times New Roman"/>
                <w:b/>
                <w:bCs/>
                <w:color w:val="auto"/>
                <w:kern w:val="0"/>
                <w:sz w:val="24"/>
                <w:szCs w:val="24"/>
                <w:lang w:bidi="ar"/>
              </w:rPr>
            </w:pPr>
            <w:r>
              <w:rPr>
                <w:rFonts w:ascii="Times New Roman" w:hAnsi="Times New Roman"/>
                <w:b/>
                <w:bCs/>
                <w:color w:val="auto"/>
                <w:kern w:val="0"/>
                <w:sz w:val="24"/>
                <w:szCs w:val="24"/>
                <w:lang w:bidi="ar"/>
              </w:rPr>
              <w:t>位置</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名称</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型号及规格</w:t>
            </w:r>
          </w:p>
        </w:tc>
        <w:tc>
          <w:tcPr>
            <w:tcW w:w="70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单位</w:t>
            </w:r>
          </w:p>
        </w:tc>
        <w:tc>
          <w:tcPr>
            <w:tcW w:w="856"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数量</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信通电源室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UPS输入柜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柜体规格：600*800*2260mm宽*深*高（含门楣）</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输入开关：2个200A/3P的开关、1个200A/4P/PC级ATS切换开关；</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输出开关：3个160A/3P开关，3个63A/3P开关；2个32A/3P开关；3个25A/2P开关</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其它配套：母排、</w:t>
            </w:r>
            <w:r>
              <w:rPr>
                <w:rFonts w:hint="eastAsia" w:ascii="Times New Roman" w:hAnsi="Times New Roman"/>
                <w:color w:val="auto"/>
                <w:sz w:val="24"/>
                <w:szCs w:val="24"/>
              </w:rPr>
              <w:t>二</w:t>
            </w:r>
            <w:r>
              <w:rPr>
                <w:rFonts w:ascii="Times New Roman" w:hAnsi="Times New Roman"/>
                <w:color w:val="auto"/>
                <w:sz w:val="24"/>
                <w:szCs w:val="24"/>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sz w:val="24"/>
                <w:szCs w:val="24"/>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2</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信通机房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UPS输出柜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柜体规格：600*1100*2260mm宽*深*高（含门楣）</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输入开关：1个160A/3P的开关，带互锁；</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输出开关：6个63A/3P开关；3个32A/3P开关；18个32A/2P开关，6个16A/2P开关，</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sz w:val="24"/>
                <w:szCs w:val="24"/>
              </w:rPr>
              <w:t>其它配套：母排、</w:t>
            </w:r>
            <w:r>
              <w:rPr>
                <w:rFonts w:hint="eastAsia" w:ascii="Times New Roman" w:hAnsi="Times New Roman"/>
                <w:color w:val="auto"/>
                <w:sz w:val="24"/>
                <w:szCs w:val="24"/>
              </w:rPr>
              <w:t>三</w:t>
            </w:r>
            <w:r>
              <w:rPr>
                <w:rFonts w:ascii="Times New Roman" w:hAnsi="Times New Roman"/>
                <w:color w:val="auto"/>
                <w:sz w:val="24"/>
                <w:szCs w:val="24"/>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sz w:val="24"/>
                <w:szCs w:val="24"/>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2</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信通电源室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UPS输入柜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柜体规格：800*800*2260mm宽*深*高（含门楣）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输入开关：2个250A/3P的开关、1个250A/4P/PC级ATS切换开关；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输出开关：3个200A/3P开关，3个63A/3P开关；2个32A/3P开关；3个25A/2P开关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2</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4</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数据机房</w:t>
            </w:r>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UPS输出柜1</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柜体规格：600*1100*2260mm宽*深*高（含门楣）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输入开关：1个200A/3P的开关，带互锁；</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输出开关：3个63A/3P开关；3个32A/3P开关；24个32A/2P开关，6个16A/2P开关，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1</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5</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数据机房</w:t>
            </w:r>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UPS输出柜</w:t>
            </w:r>
            <w:r>
              <w:rPr>
                <w:rFonts w:hint="eastAsia" w:ascii="Times New Roman" w:hAnsi="Times New Roman"/>
                <w:color w:val="auto"/>
                <w:kern w:val="0"/>
                <w:sz w:val="24"/>
                <w:szCs w:val="24"/>
                <w:lang w:bidi="ar"/>
              </w:rPr>
              <w:t>2</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输入开关：1个200A/3P的开关，带互锁；</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输出开关：3个63A/3P开关；3个32A/3P开关；24个32A/2P开关，6个16A/2P开关，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1</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6</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pStyle w:val="2"/>
              <w:spacing w:before="0" w:after="0"/>
              <w:ind w:firstLine="0"/>
              <w:rPr>
                <w:rFonts w:ascii="Times New Roman" w:hAnsi="Times New Roman"/>
                <w:color w:val="auto"/>
                <w:szCs w:val="24"/>
              </w:rPr>
            </w:pPr>
            <w:bookmarkStart w:id="431" w:name="_Toc14608"/>
            <w:r>
              <w:rPr>
                <w:rFonts w:ascii="Times New Roman" w:hAnsi="Times New Roman"/>
                <w:color w:val="auto"/>
                <w:kern w:val="0"/>
                <w:szCs w:val="24"/>
                <w:lang w:bidi="ar"/>
              </w:rPr>
              <w:t>信通电源室</w:t>
            </w:r>
            <w:bookmarkEnd w:id="431"/>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UPS输入柜</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输入开关：2个250A/3P的开关、1个250A/4P/PC级ATS切换开关；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输出开关：3个200A/3P开关，3个63A/3P开关；2个32A/3P开关；3个25A/2P开关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二</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（标称通流容量In≥20kA）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2</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7</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pStyle w:val="2"/>
              <w:spacing w:before="0" w:after="0"/>
              <w:ind w:firstLine="0"/>
              <w:rPr>
                <w:rFonts w:ascii="Times New Roman" w:hAnsi="Times New Roman"/>
                <w:color w:val="auto"/>
                <w:kern w:val="0"/>
                <w:szCs w:val="24"/>
                <w:lang w:bidi="ar"/>
              </w:rPr>
            </w:pPr>
            <w:bookmarkStart w:id="432" w:name="_Toc584"/>
            <w:r>
              <w:rPr>
                <w:rFonts w:ascii="Times New Roman" w:hAnsi="Times New Roman"/>
                <w:color w:val="auto"/>
                <w:kern w:val="0"/>
                <w:szCs w:val="24"/>
                <w:lang w:bidi="ar"/>
              </w:rPr>
              <w:t>信通机房</w:t>
            </w:r>
            <w:bookmarkEnd w:id="432"/>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UPS输出柜1</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柜体规格：600*1100*2260mm宽*深*高（含门楣）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输入开关：1个200A/3P的开关，带互锁；</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输出开关：3个63A/3P开关；3个32A/3P开关；30个32A/2P开关，6个16A/2P开关，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1</w:t>
            </w:r>
          </w:p>
        </w:tc>
      </w:tr>
      <w:tr>
        <w:tblPrEx>
          <w:tblCellMar>
            <w:top w:w="0" w:type="dxa"/>
            <w:left w:w="108" w:type="dxa"/>
            <w:bottom w:w="0" w:type="dxa"/>
            <w:right w:w="108" w:type="dxa"/>
          </w:tblCellMar>
        </w:tblPrEx>
        <w:trPr>
          <w:trHeight w:val="1820" w:hRule="atLeast"/>
        </w:trPr>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8</w:t>
            </w:r>
          </w:p>
        </w:tc>
        <w:tc>
          <w:tcPr>
            <w:tcW w:w="123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pStyle w:val="2"/>
              <w:spacing w:before="0" w:after="0"/>
              <w:ind w:firstLine="0"/>
              <w:rPr>
                <w:rFonts w:ascii="Times New Roman" w:hAnsi="Times New Roman"/>
                <w:color w:val="auto"/>
                <w:kern w:val="0"/>
                <w:szCs w:val="24"/>
                <w:lang w:bidi="ar"/>
              </w:rPr>
            </w:pPr>
            <w:bookmarkStart w:id="433" w:name="_Toc11114"/>
            <w:r>
              <w:rPr>
                <w:rFonts w:ascii="Times New Roman" w:hAnsi="Times New Roman"/>
                <w:color w:val="auto"/>
                <w:kern w:val="0"/>
                <w:szCs w:val="24"/>
                <w:lang w:bidi="ar"/>
              </w:rPr>
              <w:t>信通机房</w:t>
            </w:r>
            <w:bookmarkEnd w:id="433"/>
          </w:p>
        </w:tc>
        <w:tc>
          <w:tcPr>
            <w:tcW w:w="82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UPS输出柜2</w:t>
            </w:r>
          </w:p>
        </w:tc>
        <w:tc>
          <w:tcPr>
            <w:tcW w:w="545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柜体规格：600*800*2260mm宽*深*高（含门楣）</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输入开关：1个200A/3P的开关，带互锁；</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输出开关：3个63A/3P开关；3个32A/3P开关；30个32A/2P开关，6个16A/2P开关，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703"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sz w:val="24"/>
                <w:szCs w:val="24"/>
              </w:rPr>
              <w:t>1</w:t>
            </w:r>
          </w:p>
        </w:tc>
      </w:tr>
    </w:tbl>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配电柜元器件配置要求参考招标清单及施工图要求，供货时需与招标人确认，如果有元件器容量</w:t>
      </w:r>
      <w:r>
        <w:rPr>
          <w:rFonts w:hint="eastAsia" w:ascii="Times New Roman" w:hAnsi="Times New Roman"/>
          <w:color w:val="auto"/>
          <w:sz w:val="24"/>
          <w:szCs w:val="24"/>
        </w:rPr>
        <w:t>或数量</w:t>
      </w:r>
      <w:r>
        <w:rPr>
          <w:rFonts w:ascii="Times New Roman" w:hAnsi="Times New Roman"/>
          <w:color w:val="auto"/>
          <w:sz w:val="24"/>
          <w:szCs w:val="24"/>
        </w:rPr>
        <w:t>存在差异，投标人</w:t>
      </w:r>
      <w:r>
        <w:rPr>
          <w:rFonts w:hint="eastAsia" w:ascii="Times New Roman" w:hAnsi="Times New Roman"/>
          <w:color w:val="auto"/>
          <w:sz w:val="24"/>
          <w:szCs w:val="24"/>
        </w:rPr>
        <w:t>配合</w:t>
      </w:r>
      <w:r>
        <w:rPr>
          <w:rFonts w:ascii="Times New Roman" w:hAnsi="Times New Roman"/>
          <w:color w:val="auto"/>
          <w:sz w:val="24"/>
          <w:szCs w:val="24"/>
        </w:rPr>
        <w:t>免费提供。</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UPS输入柜的功能单元有可靠的机械联锁，通过操作手柄控制，具有专用位置指示器，并配有鲜明的颜色及符号标示；</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配电柜要求前、后开门，前门采用玻璃门，保证能够清晰观察电柜里面开关状态</w:t>
      </w:r>
      <w:r>
        <w:rPr>
          <w:rFonts w:hint="eastAsia" w:ascii="Times New Roman" w:hAnsi="Times New Roman"/>
          <w:color w:val="auto"/>
          <w:sz w:val="24"/>
          <w:szCs w:val="24"/>
        </w:rPr>
        <w:t>；</w:t>
      </w:r>
      <w:r>
        <w:rPr>
          <w:rFonts w:ascii="Times New Roman" w:hAnsi="Times New Roman"/>
          <w:color w:val="auto"/>
          <w:sz w:val="24"/>
          <w:szCs w:val="24"/>
        </w:rPr>
        <w:t>后门采用金属门，柜体内有安全档板</w:t>
      </w:r>
      <w:r>
        <w:rPr>
          <w:rFonts w:hint="eastAsia" w:ascii="Times New Roman" w:hAnsi="Times New Roman"/>
          <w:color w:val="auto"/>
          <w:sz w:val="24"/>
          <w:szCs w:val="24"/>
        </w:rPr>
        <w:t>，采用双开门</w:t>
      </w:r>
      <w:r>
        <w:rPr>
          <w:rFonts w:ascii="Times New Roman" w:hAnsi="Times New Roman"/>
          <w:color w:val="auto"/>
          <w:sz w:val="24"/>
          <w:szCs w:val="24"/>
        </w:rPr>
        <w:t>。</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开关端子连线采用铜排。</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要求安装相应的电压和电流三相指示表。</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柜内下部要求安装相应的输入与输出的零排和地排，铜材规格满足电气要求。</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柜体颜色按RAL9004标准黑（最终颜色供货时需招标方确认）。</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进出线要求：输入出电缆采用下出线方式。</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柜体要坚实牢固，板材厚度≥2毫米。</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配电柜要求配置安装</w:t>
      </w:r>
      <w:r>
        <w:rPr>
          <w:rFonts w:hint="eastAsia" w:ascii="Times New Roman" w:hAnsi="Times New Roman"/>
          <w:color w:val="auto"/>
          <w:sz w:val="24"/>
          <w:szCs w:val="24"/>
        </w:rPr>
        <w:t>二</w:t>
      </w:r>
      <w:r>
        <w:rPr>
          <w:rFonts w:ascii="Times New Roman" w:hAnsi="Times New Roman"/>
          <w:color w:val="auto"/>
          <w:sz w:val="24"/>
          <w:szCs w:val="24"/>
        </w:rPr>
        <w:t>级防雷器。</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配电柜设计要考虑监控设备的安装位置。</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配电柜中的各种电气元件均有相应的标识，以便识别，每个柜体的后侧粘贴本柜配置的电气系统图，以便运行使用中的维护和管理。</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可配合动力环境监控实现统一的监控。</w:t>
      </w:r>
    </w:p>
    <w:p>
      <w:pPr>
        <w:pStyle w:val="83"/>
        <w:numPr>
          <w:ilvl w:val="0"/>
          <w:numId w:val="72"/>
        </w:numPr>
        <w:ind w:left="0" w:firstLine="480" w:firstLineChars="200"/>
        <w:rPr>
          <w:rFonts w:ascii="Times New Roman" w:hAnsi="Times New Roman"/>
          <w:color w:val="auto"/>
          <w:sz w:val="24"/>
          <w:szCs w:val="24"/>
        </w:rPr>
      </w:pPr>
      <w:r>
        <w:rPr>
          <w:rFonts w:ascii="Times New Roman" w:hAnsi="Times New Roman"/>
          <w:color w:val="auto"/>
          <w:sz w:val="24"/>
          <w:szCs w:val="24"/>
        </w:rPr>
        <w:t>柜体其它要求：满足8.1.1.</w:t>
      </w:r>
      <w:r>
        <w:rPr>
          <w:rFonts w:hint="eastAsia" w:ascii="Times New Roman" w:hAnsi="Times New Roman"/>
          <w:color w:val="auto"/>
          <w:sz w:val="24"/>
          <w:szCs w:val="24"/>
        </w:rPr>
        <w:t>1</w:t>
      </w:r>
      <w:r>
        <w:rPr>
          <w:rFonts w:ascii="Times New Roman" w:hAnsi="Times New Roman"/>
          <w:color w:val="auto"/>
          <w:sz w:val="24"/>
          <w:szCs w:val="24"/>
        </w:rPr>
        <w:t>、8.1.1.</w:t>
      </w:r>
      <w:r>
        <w:rPr>
          <w:rFonts w:hint="eastAsia" w:ascii="Times New Roman" w:hAnsi="Times New Roman"/>
          <w:color w:val="auto"/>
          <w:sz w:val="24"/>
          <w:szCs w:val="24"/>
        </w:rPr>
        <w:t>2</w:t>
      </w:r>
      <w:r>
        <w:rPr>
          <w:rFonts w:ascii="Times New Roman" w:hAnsi="Times New Roman"/>
          <w:color w:val="auto"/>
          <w:sz w:val="24"/>
          <w:szCs w:val="24"/>
        </w:rPr>
        <w:t>、8.1.1.</w:t>
      </w:r>
      <w:r>
        <w:rPr>
          <w:rFonts w:hint="eastAsia" w:ascii="Times New Roman" w:hAnsi="Times New Roman"/>
          <w:color w:val="auto"/>
          <w:sz w:val="24"/>
          <w:szCs w:val="24"/>
        </w:rPr>
        <w:t>3</w:t>
      </w:r>
      <w:r>
        <w:rPr>
          <w:rFonts w:ascii="Times New Roman" w:hAnsi="Times New Roman"/>
          <w:color w:val="auto"/>
          <w:sz w:val="24"/>
          <w:szCs w:val="24"/>
        </w:rPr>
        <w:t>、8.1.1.</w:t>
      </w:r>
      <w:r>
        <w:rPr>
          <w:rFonts w:hint="eastAsia" w:ascii="Times New Roman" w:hAnsi="Times New Roman"/>
          <w:color w:val="auto"/>
          <w:sz w:val="24"/>
          <w:szCs w:val="24"/>
        </w:rPr>
        <w:t>4</w:t>
      </w:r>
      <w:r>
        <w:rPr>
          <w:rFonts w:ascii="Times New Roman" w:hAnsi="Times New Roman"/>
          <w:color w:val="auto"/>
          <w:sz w:val="24"/>
          <w:szCs w:val="24"/>
        </w:rPr>
        <w:t>的详细技术要求</w:t>
      </w:r>
    </w:p>
    <w:p>
      <w:pPr>
        <w:pStyle w:val="83"/>
        <w:numPr>
          <w:ilvl w:val="0"/>
          <w:numId w:val="72"/>
        </w:numPr>
        <w:ind w:left="0" w:firstLine="480" w:firstLineChars="200"/>
        <w:rPr>
          <w:rFonts w:ascii="Times New Roman" w:hAnsi="Times New Roman"/>
          <w:b/>
          <w:color w:val="auto"/>
          <w:sz w:val="24"/>
          <w:szCs w:val="24"/>
        </w:rPr>
      </w:pPr>
      <w:r>
        <w:rPr>
          <w:rFonts w:ascii="Times New Roman" w:hAnsi="Times New Roman"/>
          <w:color w:val="auto"/>
          <w:sz w:val="24"/>
          <w:szCs w:val="24"/>
        </w:rPr>
        <w:t>配电柜规格参数详见主要设备材料清单。</w:t>
      </w:r>
    </w:p>
    <w:p>
      <w:pPr>
        <w:pStyle w:val="83"/>
        <w:numPr>
          <w:ilvl w:val="0"/>
          <w:numId w:val="72"/>
        </w:numPr>
        <w:ind w:left="0" w:firstLine="482" w:firstLineChars="200"/>
        <w:rPr>
          <w:rFonts w:ascii="Times New Roman" w:hAnsi="Times New Roman"/>
          <w:b/>
          <w:color w:val="auto"/>
          <w:sz w:val="24"/>
          <w:szCs w:val="24"/>
        </w:rPr>
      </w:pPr>
      <w:r>
        <w:rPr>
          <w:rFonts w:ascii="Times New Roman" w:hAnsi="Times New Roman"/>
          <w:b/>
          <w:color w:val="auto"/>
          <w:sz w:val="24"/>
          <w:szCs w:val="24"/>
        </w:rPr>
        <w:t>本期采购的UPS输入、输出配电柜投标方须提供正式的</w:t>
      </w:r>
      <w:r>
        <w:rPr>
          <w:rFonts w:hint="eastAsia" w:ascii="Times New Roman" w:hAnsi="Times New Roman"/>
          <w:b/>
          <w:color w:val="auto"/>
          <w:sz w:val="24"/>
          <w:szCs w:val="24"/>
        </w:rPr>
        <w:t>型</w:t>
      </w:r>
      <w:r>
        <w:rPr>
          <w:rFonts w:ascii="Times New Roman" w:hAnsi="Times New Roman"/>
          <w:b/>
          <w:color w:val="auto"/>
          <w:sz w:val="24"/>
          <w:szCs w:val="24"/>
        </w:rPr>
        <w:t>式测试报告。</w:t>
      </w:r>
    </w:p>
    <w:p>
      <w:pPr>
        <w:pStyle w:val="4"/>
        <w:numPr>
          <w:ilvl w:val="1"/>
          <w:numId w:val="25"/>
        </w:numPr>
        <w:spacing w:line="360" w:lineRule="auto"/>
        <w:rPr>
          <w:rFonts w:ascii="Times New Roman" w:hAnsi="Times New Roman"/>
          <w:b/>
          <w:bCs/>
          <w:color w:val="auto"/>
          <w:sz w:val="24"/>
          <w:szCs w:val="24"/>
        </w:rPr>
      </w:pPr>
      <w:bookmarkStart w:id="434" w:name="_Toc462888577"/>
      <w:bookmarkStart w:id="435" w:name="_Toc65773343"/>
      <w:bookmarkStart w:id="436" w:name="_Toc29520"/>
      <w:bookmarkStart w:id="437" w:name="_Toc7507"/>
      <w:bookmarkStart w:id="438" w:name="_Toc22623"/>
      <w:bookmarkStart w:id="439" w:name="_Toc1217"/>
      <w:bookmarkStart w:id="440" w:name="_Toc23475"/>
      <w:bookmarkStart w:id="441" w:name="_Toc15380"/>
      <w:bookmarkStart w:id="442" w:name="_Toc13045"/>
      <w:r>
        <w:rPr>
          <w:rFonts w:ascii="Times New Roman" w:hAnsi="Times New Roman"/>
          <w:b/>
          <w:bCs/>
          <w:color w:val="auto"/>
          <w:sz w:val="24"/>
          <w:szCs w:val="24"/>
        </w:rPr>
        <w:t>通信</w:t>
      </w:r>
      <w:bookmarkEnd w:id="434"/>
      <w:bookmarkEnd w:id="435"/>
      <w:r>
        <w:rPr>
          <w:rFonts w:ascii="Times New Roman" w:hAnsi="Times New Roman"/>
          <w:b/>
          <w:bCs/>
          <w:color w:val="auto"/>
          <w:sz w:val="24"/>
          <w:szCs w:val="24"/>
        </w:rPr>
        <w:t>直流供电系统技术要求</w:t>
      </w:r>
      <w:bookmarkEnd w:id="436"/>
      <w:bookmarkEnd w:id="437"/>
      <w:bookmarkEnd w:id="438"/>
      <w:bookmarkEnd w:id="439"/>
      <w:bookmarkEnd w:id="440"/>
      <w:bookmarkEnd w:id="441"/>
      <w:bookmarkEnd w:id="442"/>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通信电源系统构成</w:t>
      </w:r>
    </w:p>
    <w:p>
      <w:pPr>
        <w:numPr>
          <w:ilvl w:val="255"/>
          <w:numId w:val="0"/>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通信直流供电系统由通信电源、直流输出柜、蓄电池组和监控单元等设备组成，按双重化配置。交流配电柜、高频开关电源、直流输出柜均采用下进下出线。</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系统配置与接线</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为通信直流供电系统供电的交流电源应分别取自两路不同变压器出线的交流母线。</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项目的通信电源通过熔断器过载保护装置与蓄电池组相连，每套高频开关电源配置1套独立的蓄电池组，蓄电池型号详见供货范围；双重化配置的通信直流供电系统，任一套通信电源故障时，另一套通信电源应具备承载全部负载并同时对本组电池充电的能力。</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两套通信直流供电系统彼此独立运行，两套直流供电系统的输出分配单元应完全隔离，并且在操作中不能互相影响。</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每套通信电源配置独立的直流输出柜，通信电源通过熔断器等过载保护装置与直流输出柜互联，两套通信直流供电系统的直流输出母线禁止并联运行。</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通信电源应具有智能化、人工可控的均衡充电、浮充电、均浮充转换和温度补偿等功能，适应蓄电池充电性能的要求。</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lang w:bidi="ar"/>
        </w:rPr>
        <w:t>交流配电柜、高频开关电源的交流输入侧均应设有交流防雷保护装置（标称通流容量 In≥20kA）及防雷模块开关。直流配电柜的输入侧应有直流防雷保护装置（标称通流容量 In≥10kA）及防雷模块开关。</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直流供电系统采用并联浮充的运行方式，在交流电正常的情况下，整流器向负载供电的同时对蓄电池浮充。若发生交流中断，则由电池向负载供电，电池电压下降到设置的最低保护工作电压时，电池被保护断开；当交流恢复后，应实行带负载恒压限流对蓄电池组充电。</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直流母线在正常运行和改变运行方式的操作中，严禁脱开蓄电池组。</w:t>
      </w:r>
    </w:p>
    <w:p>
      <w:pPr>
        <w:numPr>
          <w:ilvl w:val="0"/>
          <w:numId w:val="73"/>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通信直流电源应同时满足《南方电网通信电源监控系统技术规范》要求的软报文及干接点两种方式实现电源远程监控N-1。干接点参照下表1节点配置。</w:t>
      </w:r>
    </w:p>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表8.3.2-1  干接点配置</w:t>
      </w:r>
    </w:p>
    <w:tbl>
      <w:tblPr>
        <w:tblStyle w:val="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4"/>
        <w:gridCol w:w="3251"/>
        <w:gridCol w:w="2886"/>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序号</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干接点名称</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第一路输出</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第二路输出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故障总告警</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A1</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交流输入缺相、</w:t>
            </w:r>
            <w:r>
              <w:rPr>
                <w:rFonts w:ascii="Times New Roman" w:hAnsi="Times New Roman"/>
                <w:bCs/>
                <w:color w:val="auto"/>
                <w:sz w:val="24"/>
                <w:szCs w:val="24"/>
              </w:rPr>
              <w:t>停电</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A2</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交流输入过压或欠压</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A3</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直流输出过压或欠压</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A4</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直流输出过流</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A5</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整流模块故障</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A6</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负载/电池分断告警</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A7</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kern w:val="0"/>
                <w:sz w:val="24"/>
                <w:szCs w:val="24"/>
              </w:rPr>
              <w:t>过热告警</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A8</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1666"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防雷故障告警</w:t>
            </w:r>
          </w:p>
        </w:tc>
        <w:tc>
          <w:tcPr>
            <w:tcW w:w="1479"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A9</w:t>
            </w:r>
          </w:p>
        </w:tc>
        <w:tc>
          <w:tcPr>
            <w:tcW w:w="1451"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B9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02" w:type="pct"/>
            <w:vAlign w:val="center"/>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w:t>
            </w:r>
          </w:p>
        </w:tc>
        <w:tc>
          <w:tcPr>
            <w:tcW w:w="1666" w:type="pct"/>
            <w:vAlign w:val="center"/>
          </w:tcPr>
          <w:p>
            <w:pPr>
              <w:spacing w:line="360" w:lineRule="auto"/>
              <w:jc w:val="center"/>
              <w:rPr>
                <w:rFonts w:ascii="Times New Roman" w:hAnsi="Times New Roman"/>
                <w:bCs/>
                <w:color w:val="auto"/>
                <w:sz w:val="24"/>
                <w:szCs w:val="24"/>
              </w:rPr>
            </w:pPr>
          </w:p>
        </w:tc>
        <w:tc>
          <w:tcPr>
            <w:tcW w:w="1479" w:type="pct"/>
            <w:vAlign w:val="center"/>
          </w:tcPr>
          <w:p>
            <w:pPr>
              <w:spacing w:line="360" w:lineRule="auto"/>
              <w:jc w:val="center"/>
              <w:rPr>
                <w:rFonts w:ascii="Times New Roman" w:hAnsi="Times New Roman"/>
                <w:bCs/>
                <w:color w:val="auto"/>
                <w:sz w:val="24"/>
                <w:szCs w:val="24"/>
              </w:rPr>
            </w:pPr>
          </w:p>
        </w:tc>
        <w:tc>
          <w:tcPr>
            <w:tcW w:w="1451" w:type="pct"/>
            <w:vAlign w:val="center"/>
          </w:tcPr>
          <w:p>
            <w:pPr>
              <w:spacing w:line="360" w:lineRule="auto"/>
              <w:jc w:val="center"/>
              <w:rPr>
                <w:rFonts w:ascii="Times New Roman" w:hAnsi="Times New Roman"/>
                <w:bCs/>
                <w:color w:val="auto"/>
                <w:sz w:val="24"/>
                <w:szCs w:val="24"/>
              </w:rPr>
            </w:pPr>
          </w:p>
        </w:tc>
      </w:tr>
    </w:tbl>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配置要求</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电源由多模块组成，任一电源模块故障时应能自动退出并不影响其它模块的正常工作。在各种工作方式下，高频开关电源应能在不影响装置正常运行的情况下更换模块，且更换过程中不应对系统产生不良影响。</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投标方应对通信电源内部结构进行检测，任何情况下，模块内部故障不能影响其它模块的正常工作，模块内部故障不应引起高频开关电源交流总输入跳闸。</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通信电源整流模块应满足N+M冗余配置，其中N只主用，N≤10时，1只备用；N＞10时，每10只备用1只。整流模块数量应不少于3只。主用整流模块总容量应大于负载电流和电池的10小时率充电电流之和。</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本项目通信电源设备容量和尺寸详见下表。</w:t>
      </w:r>
    </w:p>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表8.3.3-1 通信电源配置要求</w:t>
      </w:r>
    </w:p>
    <w:tbl>
      <w:tblPr>
        <w:tblStyle w:val="56"/>
        <w:tblW w:w="4998" w:type="pct"/>
        <w:tblInd w:w="0" w:type="dxa"/>
        <w:tblLayout w:type="autofit"/>
        <w:tblCellMar>
          <w:top w:w="0" w:type="dxa"/>
          <w:left w:w="108" w:type="dxa"/>
          <w:bottom w:w="0" w:type="dxa"/>
          <w:right w:w="108" w:type="dxa"/>
        </w:tblCellMar>
      </w:tblPr>
      <w:tblGrid>
        <w:gridCol w:w="817"/>
        <w:gridCol w:w="1305"/>
        <w:gridCol w:w="5640"/>
        <w:gridCol w:w="2196"/>
      </w:tblGrid>
      <w:tr>
        <w:tblPrEx>
          <w:tblCellMar>
            <w:top w:w="0" w:type="dxa"/>
            <w:left w:w="108" w:type="dxa"/>
            <w:bottom w:w="0" w:type="dxa"/>
            <w:right w:w="108" w:type="dxa"/>
          </w:tblCellMar>
        </w:tblPrEx>
        <w:trPr>
          <w:tblHeader/>
        </w:trPr>
        <w:tc>
          <w:tcPr>
            <w:tcW w:w="41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序号</w:t>
            </w:r>
          </w:p>
        </w:tc>
        <w:tc>
          <w:tcPr>
            <w:tcW w:w="655" w:type="pct"/>
            <w:tcBorders>
              <w:top w:val="single" w:color="auto" w:sz="4" w:space="0"/>
              <w:left w:val="nil"/>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功能区域</w:t>
            </w:r>
          </w:p>
        </w:tc>
        <w:tc>
          <w:tcPr>
            <w:tcW w:w="2831" w:type="pct"/>
            <w:tcBorders>
              <w:top w:val="single" w:color="auto" w:sz="4" w:space="0"/>
              <w:left w:val="nil"/>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主要技术参数</w:t>
            </w:r>
          </w:p>
        </w:tc>
        <w:tc>
          <w:tcPr>
            <w:tcW w:w="1102" w:type="pct"/>
            <w:tcBorders>
              <w:top w:val="single" w:color="auto" w:sz="4" w:space="0"/>
              <w:left w:val="nil"/>
              <w:bottom w:val="single" w:color="auto" w:sz="4" w:space="0"/>
              <w:right w:val="single" w:color="auto" w:sz="4" w:space="0"/>
            </w:tcBorders>
            <w:vAlign w:val="center"/>
          </w:tcPr>
          <w:p>
            <w:pPr>
              <w:widowControl/>
              <w:snapToGrid w:val="0"/>
              <w:spacing w:line="360" w:lineRule="auto"/>
              <w:rPr>
                <w:rFonts w:ascii="Times New Roman" w:hAnsi="Times New Roman"/>
                <w:color w:val="auto"/>
                <w:sz w:val="24"/>
                <w:szCs w:val="24"/>
              </w:rPr>
            </w:pPr>
            <w:r>
              <w:rPr>
                <w:rFonts w:ascii="Times New Roman" w:hAnsi="Times New Roman"/>
                <w:color w:val="auto"/>
                <w:sz w:val="24"/>
                <w:szCs w:val="24"/>
              </w:rPr>
              <w:t>尺寸（宽*深*高）</w:t>
            </w:r>
          </w:p>
        </w:tc>
      </w:tr>
      <w:tr>
        <w:tblPrEx>
          <w:tblCellMar>
            <w:top w:w="0" w:type="dxa"/>
            <w:left w:w="108" w:type="dxa"/>
            <w:bottom w:w="0" w:type="dxa"/>
            <w:right w:w="108" w:type="dxa"/>
          </w:tblCellMar>
        </w:tblPrEx>
        <w:tc>
          <w:tcPr>
            <w:tcW w:w="410" w:type="pct"/>
            <w:tcBorders>
              <w:top w:val="nil"/>
              <w:left w:val="single" w:color="auto" w:sz="4" w:space="0"/>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w:t>
            </w:r>
          </w:p>
        </w:tc>
        <w:tc>
          <w:tcPr>
            <w:tcW w:w="655" w:type="pct"/>
            <w:tcBorders>
              <w:top w:val="nil"/>
              <w:left w:val="nil"/>
              <w:bottom w:val="single" w:color="auto" w:sz="4" w:space="0"/>
              <w:right w:val="single" w:color="auto" w:sz="4" w:space="0"/>
            </w:tcBorders>
            <w:vAlign w:val="center"/>
          </w:tcPr>
          <w:p>
            <w:pPr>
              <w:snapToGrid w:val="0"/>
              <w:spacing w:line="360" w:lineRule="auto"/>
              <w:rPr>
                <w:rFonts w:ascii="Times New Roman" w:hAnsi="Times New Roman"/>
                <w:color w:val="auto"/>
                <w:sz w:val="24"/>
                <w:szCs w:val="24"/>
              </w:rPr>
            </w:pPr>
            <w:r>
              <w:rPr>
                <w:rFonts w:ascii="Times New Roman" w:hAnsi="Times New Roman"/>
                <w:color w:val="auto"/>
                <w:sz w:val="24"/>
                <w:szCs w:val="24"/>
              </w:rPr>
              <w:t>开关站</w:t>
            </w:r>
          </w:p>
        </w:tc>
        <w:tc>
          <w:tcPr>
            <w:tcW w:w="2831" w:type="pct"/>
            <w:tcBorders>
              <w:top w:val="nil"/>
              <w:left w:val="nil"/>
              <w:bottom w:val="single" w:color="auto" w:sz="4" w:space="0"/>
              <w:right w:val="single" w:color="auto" w:sz="4" w:space="0"/>
            </w:tcBorders>
            <w:vAlign w:val="center"/>
          </w:tcPr>
          <w:p>
            <w:pPr>
              <w:widowControl/>
              <w:snapToGrid w:val="0"/>
              <w:spacing w:line="360" w:lineRule="auto"/>
              <w:jc w:val="left"/>
              <w:rPr>
                <w:rFonts w:ascii="Times New Roman" w:hAnsi="Times New Roman"/>
                <w:color w:val="auto"/>
                <w:sz w:val="24"/>
                <w:szCs w:val="24"/>
              </w:rPr>
            </w:pPr>
            <w:r>
              <w:rPr>
                <w:rFonts w:ascii="Times New Roman" w:hAnsi="Times New Roman"/>
                <w:color w:val="auto"/>
                <w:sz w:val="24"/>
                <w:szCs w:val="24"/>
              </w:rPr>
              <w:t>400A，交流输入开关为2×63A（3P），直流输出熔丝为2*400A，含蓄电池熔丝。本期配置不少于400A的整流模块，本期配置的整流模块不少于8个；带输入电压指示；输出电压指示；输出电流指示。含蓄电池巡检仪、放电试验回路。</w:t>
            </w:r>
          </w:p>
        </w:tc>
        <w:tc>
          <w:tcPr>
            <w:tcW w:w="1102" w:type="pct"/>
            <w:tcBorders>
              <w:top w:val="nil"/>
              <w:left w:val="nil"/>
              <w:bottom w:val="single" w:color="auto" w:sz="4" w:space="0"/>
              <w:right w:val="single" w:color="auto" w:sz="4" w:space="0"/>
            </w:tcBorders>
            <w:vAlign w:val="center"/>
          </w:tcPr>
          <w:p>
            <w:pPr>
              <w:widowControl/>
              <w:snapToGrid w:val="0"/>
              <w:spacing w:line="360" w:lineRule="auto"/>
              <w:rPr>
                <w:rFonts w:ascii="Times New Roman" w:hAnsi="Times New Roman"/>
                <w:color w:val="auto"/>
                <w:sz w:val="24"/>
                <w:szCs w:val="24"/>
              </w:rPr>
            </w:pPr>
            <w:r>
              <w:rPr>
                <w:rFonts w:ascii="Times New Roman" w:hAnsi="Times New Roman"/>
                <w:color w:val="auto"/>
                <w:sz w:val="24"/>
                <w:szCs w:val="24"/>
              </w:rPr>
              <w:t>600*800*2260mm</w:t>
            </w:r>
          </w:p>
        </w:tc>
      </w:tr>
      <w:tr>
        <w:tblPrEx>
          <w:tblCellMar>
            <w:top w:w="0" w:type="dxa"/>
            <w:left w:w="108" w:type="dxa"/>
            <w:bottom w:w="0" w:type="dxa"/>
            <w:right w:w="108" w:type="dxa"/>
          </w:tblCellMar>
        </w:tblPrEx>
        <w:tc>
          <w:tcPr>
            <w:tcW w:w="410" w:type="pct"/>
            <w:tcBorders>
              <w:top w:val="nil"/>
              <w:left w:val="single" w:color="auto" w:sz="4" w:space="0"/>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w:t>
            </w:r>
          </w:p>
        </w:tc>
        <w:tc>
          <w:tcPr>
            <w:tcW w:w="655" w:type="pct"/>
            <w:tcBorders>
              <w:top w:val="nil"/>
              <w:left w:val="nil"/>
              <w:bottom w:val="single" w:color="auto" w:sz="4" w:space="0"/>
              <w:right w:val="single" w:color="auto" w:sz="4" w:space="0"/>
            </w:tcBorders>
            <w:vAlign w:val="center"/>
          </w:tcPr>
          <w:p>
            <w:pPr>
              <w:snapToGrid w:val="0"/>
              <w:spacing w:line="360" w:lineRule="auto"/>
              <w:rPr>
                <w:rFonts w:ascii="Times New Roman" w:hAnsi="Times New Roman"/>
                <w:color w:val="auto"/>
                <w:sz w:val="24"/>
                <w:szCs w:val="24"/>
              </w:rPr>
            </w:pPr>
            <w:r>
              <w:rPr>
                <w:rFonts w:ascii="Times New Roman" w:hAnsi="Times New Roman"/>
                <w:color w:val="auto"/>
                <w:sz w:val="24"/>
                <w:szCs w:val="24"/>
              </w:rPr>
              <w:t>地下厂房</w:t>
            </w:r>
          </w:p>
        </w:tc>
        <w:tc>
          <w:tcPr>
            <w:tcW w:w="2831" w:type="pct"/>
            <w:tcBorders>
              <w:top w:val="nil"/>
              <w:left w:val="nil"/>
              <w:bottom w:val="single" w:color="auto" w:sz="4" w:space="0"/>
              <w:right w:val="single" w:color="auto" w:sz="4" w:space="0"/>
            </w:tcBorders>
            <w:vAlign w:val="center"/>
          </w:tcPr>
          <w:p>
            <w:pPr>
              <w:widowControl/>
              <w:snapToGrid w:val="0"/>
              <w:spacing w:line="360" w:lineRule="auto"/>
              <w:jc w:val="left"/>
              <w:rPr>
                <w:rFonts w:ascii="Times New Roman" w:hAnsi="Times New Roman"/>
                <w:color w:val="auto"/>
                <w:sz w:val="24"/>
                <w:szCs w:val="24"/>
              </w:rPr>
            </w:pPr>
            <w:r>
              <w:rPr>
                <w:rFonts w:ascii="Times New Roman" w:hAnsi="Times New Roman"/>
                <w:color w:val="auto"/>
                <w:sz w:val="24"/>
                <w:szCs w:val="24"/>
              </w:rPr>
              <w:t>400A，交流输入开关为2×63A（3P），直流输出熔丝为2*400A，含蓄电池熔丝。本期配置不少于400A的整流模块，本期配置的整流模块不少于8个；带输入电压指示；输出电压指示；输出电流指示。含蓄电池巡检仪、放电试验回路。</w:t>
            </w:r>
          </w:p>
        </w:tc>
        <w:tc>
          <w:tcPr>
            <w:tcW w:w="1102" w:type="pct"/>
            <w:tcBorders>
              <w:top w:val="nil"/>
              <w:left w:val="nil"/>
              <w:bottom w:val="single" w:color="auto" w:sz="4" w:space="0"/>
              <w:right w:val="single" w:color="auto" w:sz="4" w:space="0"/>
            </w:tcBorders>
            <w:vAlign w:val="center"/>
          </w:tcPr>
          <w:p>
            <w:pPr>
              <w:widowControl/>
              <w:snapToGrid w:val="0"/>
              <w:spacing w:line="360" w:lineRule="auto"/>
              <w:rPr>
                <w:rFonts w:ascii="Times New Roman" w:hAnsi="Times New Roman"/>
                <w:color w:val="auto"/>
                <w:sz w:val="24"/>
                <w:szCs w:val="24"/>
              </w:rPr>
            </w:pPr>
            <w:r>
              <w:rPr>
                <w:rFonts w:ascii="Times New Roman" w:hAnsi="Times New Roman"/>
                <w:color w:val="auto"/>
                <w:sz w:val="24"/>
                <w:szCs w:val="24"/>
              </w:rPr>
              <w:t>600*800*2260mm</w:t>
            </w:r>
          </w:p>
        </w:tc>
      </w:tr>
      <w:tr>
        <w:tblPrEx>
          <w:tblCellMar>
            <w:top w:w="0" w:type="dxa"/>
            <w:left w:w="108" w:type="dxa"/>
            <w:bottom w:w="0" w:type="dxa"/>
            <w:right w:w="108" w:type="dxa"/>
          </w:tblCellMar>
        </w:tblPrEx>
        <w:tc>
          <w:tcPr>
            <w:tcW w:w="410" w:type="pct"/>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3</w:t>
            </w:r>
          </w:p>
        </w:tc>
        <w:tc>
          <w:tcPr>
            <w:tcW w:w="655" w:type="pct"/>
            <w:tcBorders>
              <w:top w:val="single" w:color="auto" w:sz="4" w:space="0"/>
              <w:left w:val="nil"/>
              <w:bottom w:val="single" w:color="auto" w:sz="4" w:space="0"/>
              <w:right w:val="single" w:color="auto" w:sz="4" w:space="0"/>
            </w:tcBorders>
            <w:vAlign w:val="center"/>
          </w:tcPr>
          <w:p>
            <w:pPr>
              <w:snapToGrid w:val="0"/>
              <w:spacing w:line="360" w:lineRule="auto"/>
              <w:rPr>
                <w:rFonts w:ascii="Times New Roman" w:hAnsi="Times New Roman"/>
                <w:color w:val="auto"/>
                <w:sz w:val="24"/>
                <w:szCs w:val="24"/>
              </w:rPr>
            </w:pPr>
            <w:r>
              <w:rPr>
                <w:rFonts w:ascii="Times New Roman" w:hAnsi="Times New Roman"/>
                <w:color w:val="auto"/>
                <w:sz w:val="24"/>
                <w:szCs w:val="24"/>
              </w:rPr>
              <w:t>办公楼</w:t>
            </w:r>
          </w:p>
        </w:tc>
        <w:tc>
          <w:tcPr>
            <w:tcW w:w="2831" w:type="pct"/>
            <w:tcBorders>
              <w:top w:val="single" w:color="auto" w:sz="4" w:space="0"/>
              <w:left w:val="nil"/>
              <w:bottom w:val="single" w:color="auto" w:sz="4" w:space="0"/>
              <w:right w:val="single" w:color="auto" w:sz="4" w:space="0"/>
            </w:tcBorders>
            <w:vAlign w:val="center"/>
          </w:tcPr>
          <w:p>
            <w:pPr>
              <w:widowControl/>
              <w:snapToGrid w:val="0"/>
              <w:spacing w:line="360" w:lineRule="auto"/>
              <w:jc w:val="left"/>
              <w:rPr>
                <w:rFonts w:ascii="Times New Roman" w:hAnsi="Times New Roman"/>
                <w:color w:val="auto"/>
                <w:sz w:val="24"/>
                <w:szCs w:val="24"/>
              </w:rPr>
            </w:pPr>
            <w:r>
              <w:rPr>
                <w:rFonts w:ascii="Times New Roman" w:hAnsi="Times New Roman"/>
                <w:color w:val="auto"/>
                <w:sz w:val="24"/>
                <w:szCs w:val="24"/>
              </w:rPr>
              <w:t>300A，交流输入开关为2×63A（3P），直流输出熔丝为2*300A，含蓄电池熔丝。本期配置不少于300A的整流模块，本期配置的整流模块不少于6个；带输入电压指示；输出电压指示；输出电流指示。含蓄电池巡检仪、放电试验回路。</w:t>
            </w:r>
          </w:p>
        </w:tc>
        <w:tc>
          <w:tcPr>
            <w:tcW w:w="1102" w:type="pct"/>
            <w:tcBorders>
              <w:top w:val="single" w:color="auto" w:sz="4" w:space="0"/>
              <w:left w:val="nil"/>
              <w:bottom w:val="single" w:color="auto" w:sz="4" w:space="0"/>
              <w:right w:val="single" w:color="auto" w:sz="4" w:space="0"/>
            </w:tcBorders>
            <w:vAlign w:val="center"/>
          </w:tcPr>
          <w:p>
            <w:pPr>
              <w:widowControl/>
              <w:snapToGrid w:val="0"/>
              <w:spacing w:line="360" w:lineRule="auto"/>
              <w:rPr>
                <w:rFonts w:ascii="Times New Roman" w:hAnsi="Times New Roman"/>
                <w:color w:val="auto"/>
                <w:sz w:val="24"/>
                <w:szCs w:val="24"/>
              </w:rPr>
            </w:pPr>
            <w:r>
              <w:rPr>
                <w:rFonts w:ascii="Times New Roman" w:hAnsi="Times New Roman"/>
                <w:color w:val="auto"/>
                <w:sz w:val="24"/>
                <w:szCs w:val="24"/>
              </w:rPr>
              <w:t>600*800*2260mm</w:t>
            </w:r>
          </w:p>
        </w:tc>
      </w:tr>
    </w:tbl>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通信电源技术性能</w:t>
      </w:r>
    </w:p>
    <w:p>
      <w:pPr>
        <w:pStyle w:val="118"/>
        <w:numPr>
          <w:ilvl w:val="3"/>
          <w:numId w:val="25"/>
        </w:numPr>
        <w:spacing w:before="0" w:after="0"/>
        <w:rPr>
          <w:rFonts w:ascii="Times New Roman" w:hAnsi="Times New Roman"/>
          <w:color w:val="auto"/>
          <w:sz w:val="24"/>
          <w:szCs w:val="24"/>
        </w:rPr>
      </w:pPr>
      <w:bookmarkStart w:id="443" w:name="_Toc65773345"/>
      <w:r>
        <w:rPr>
          <w:rFonts w:ascii="Times New Roman" w:hAnsi="Times New Roman"/>
          <w:color w:val="auto"/>
          <w:sz w:val="24"/>
          <w:szCs w:val="24"/>
        </w:rPr>
        <w:t>输入性能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输入额定电压： AC380V或AC220V 。</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输入220V电压范围： 187V～242V。</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输入380V电压范围： 323V～418V。</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交流电源频率范围：  50×(1±5%)Hz。</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当输入额定电压、输出满载时，系统的输入电流谐波成分应满足表8.1-6的要求。</w:t>
      </w:r>
    </w:p>
    <w:p>
      <w:pPr>
        <w:pStyle w:val="16"/>
        <w:spacing w:line="360" w:lineRule="auto"/>
        <w:rPr>
          <w:rFonts w:ascii="Times New Roman" w:hAnsi="Times New Roman" w:eastAsia="宋体"/>
          <w:color w:val="auto"/>
          <w:sz w:val="24"/>
          <w:szCs w:val="24"/>
        </w:rPr>
      </w:pPr>
      <w:r>
        <w:rPr>
          <w:rFonts w:ascii="Times New Roman" w:hAnsi="Times New Roman" w:eastAsia="宋体"/>
          <w:color w:val="auto"/>
          <w:sz w:val="24"/>
          <w:szCs w:val="24"/>
        </w:rPr>
        <w:t>表8.3.4-1 输入电流谐波成份</w:t>
      </w:r>
    </w:p>
    <w:tbl>
      <w:tblPr>
        <w:tblStyle w:val="56"/>
        <w:tblW w:w="4998"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2293"/>
        <w:gridCol w:w="2293"/>
        <w:gridCol w:w="1574"/>
        <w:gridCol w:w="1899"/>
        <w:gridCol w:w="189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02" w:type="pct"/>
            <w:gridSpan w:val="2"/>
          </w:tcPr>
          <w:p>
            <w:pPr>
              <w:pStyle w:val="77"/>
              <w:spacing w:line="360" w:lineRule="auto"/>
              <w:ind w:firstLine="0" w:firstLineChars="0"/>
              <w:jc w:val="center"/>
              <w:rPr>
                <w:rFonts w:ascii="Times New Roman"/>
                <w:color w:val="auto"/>
                <w:sz w:val="24"/>
                <w:szCs w:val="24"/>
              </w:rPr>
            </w:pPr>
          </w:p>
        </w:tc>
        <w:tc>
          <w:tcPr>
            <w:tcW w:w="790"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1级</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2级</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51" w:type="pct"/>
            <w:vMerge w:val="restar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输入电流谐波成分</w:t>
            </w:r>
          </w:p>
          <w:p>
            <w:pPr>
              <w:pStyle w:val="77"/>
              <w:spacing w:line="360" w:lineRule="auto"/>
              <w:ind w:firstLine="0" w:firstLineChars="0"/>
              <w:jc w:val="center"/>
              <w:rPr>
                <w:rFonts w:ascii="Times New Roman"/>
                <w:color w:val="auto"/>
                <w:sz w:val="24"/>
                <w:szCs w:val="24"/>
              </w:rPr>
            </w:pPr>
            <w:r>
              <w:rPr>
                <w:rFonts w:ascii="Times New Roman"/>
                <w:color w:val="auto"/>
                <w:sz w:val="24"/>
                <w:szCs w:val="24"/>
              </w:rPr>
              <w:t>（3次～39次）</w:t>
            </w:r>
          </w:p>
        </w:tc>
        <w:tc>
          <w:tcPr>
            <w:tcW w:w="1151"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100%额定负载</w:t>
            </w:r>
          </w:p>
        </w:tc>
        <w:tc>
          <w:tcPr>
            <w:tcW w:w="790"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≤5%</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≤10%</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≤28%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51" w:type="pct"/>
            <w:vMerge w:val="continue"/>
            <w:vAlign w:val="center"/>
          </w:tcPr>
          <w:p>
            <w:pPr>
              <w:widowControl/>
              <w:spacing w:line="360" w:lineRule="auto"/>
              <w:jc w:val="left"/>
              <w:rPr>
                <w:rFonts w:ascii="Times New Roman" w:hAnsi="Times New Roman"/>
                <w:color w:val="auto"/>
                <w:kern w:val="0"/>
                <w:sz w:val="24"/>
                <w:szCs w:val="24"/>
              </w:rPr>
            </w:pPr>
          </w:p>
        </w:tc>
        <w:tc>
          <w:tcPr>
            <w:tcW w:w="1151"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50%额定负载</w:t>
            </w:r>
          </w:p>
        </w:tc>
        <w:tc>
          <w:tcPr>
            <w:tcW w:w="790"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≤8%</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≤15%</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51" w:type="pct"/>
            <w:vMerge w:val="continue"/>
            <w:vAlign w:val="center"/>
          </w:tcPr>
          <w:p>
            <w:pPr>
              <w:widowControl/>
              <w:spacing w:line="360" w:lineRule="auto"/>
              <w:jc w:val="left"/>
              <w:rPr>
                <w:rFonts w:ascii="Times New Roman" w:hAnsi="Times New Roman"/>
                <w:color w:val="auto"/>
                <w:kern w:val="0"/>
                <w:sz w:val="24"/>
                <w:szCs w:val="24"/>
              </w:rPr>
            </w:pPr>
          </w:p>
        </w:tc>
        <w:tc>
          <w:tcPr>
            <w:tcW w:w="1151"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30%额定负载</w:t>
            </w:r>
          </w:p>
        </w:tc>
        <w:tc>
          <w:tcPr>
            <w:tcW w:w="790"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≤15%</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≤20%</w:t>
            </w:r>
          </w:p>
        </w:tc>
        <w:tc>
          <w:tcPr>
            <w:tcW w:w="953"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≤35%</w:t>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当输入额定电压、输出满载时，系统的输入功率因数应满足表8.1-7的要求。 </w:t>
      </w:r>
    </w:p>
    <w:p>
      <w:pPr>
        <w:pStyle w:val="16"/>
        <w:spacing w:line="360" w:lineRule="auto"/>
        <w:rPr>
          <w:rFonts w:ascii="Times New Roman" w:hAnsi="Times New Roman" w:eastAsia="宋体"/>
          <w:color w:val="auto"/>
          <w:sz w:val="24"/>
          <w:szCs w:val="24"/>
        </w:rPr>
      </w:pPr>
      <w:r>
        <w:rPr>
          <w:rFonts w:ascii="Times New Roman" w:hAnsi="Times New Roman" w:eastAsia="宋体"/>
          <w:color w:val="auto"/>
          <w:sz w:val="24"/>
          <w:szCs w:val="24"/>
        </w:rPr>
        <w:t>表8.3.4-2 输入功率因数</w:t>
      </w:r>
    </w:p>
    <w:tbl>
      <w:tblPr>
        <w:tblStyle w:val="56"/>
        <w:tblW w:w="4998"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2270"/>
        <w:gridCol w:w="2292"/>
        <w:gridCol w:w="1582"/>
        <w:gridCol w:w="1907"/>
        <w:gridCol w:w="190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289" w:type="pct"/>
            <w:gridSpan w:val="2"/>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 xml:space="preserve"> </w:t>
            </w:r>
          </w:p>
        </w:tc>
        <w:tc>
          <w:tcPr>
            <w:tcW w:w="794"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1级</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2级</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39" w:type="pct"/>
            <w:vMerge w:val="restar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输入功率因数</w:t>
            </w:r>
          </w:p>
        </w:tc>
        <w:tc>
          <w:tcPr>
            <w:tcW w:w="1150"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100%额定负载</w:t>
            </w:r>
          </w:p>
        </w:tc>
        <w:tc>
          <w:tcPr>
            <w:tcW w:w="794"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≥0.99</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≥0.96</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39" w:type="pct"/>
            <w:vMerge w:val="continue"/>
            <w:vAlign w:val="center"/>
          </w:tcPr>
          <w:p>
            <w:pPr>
              <w:widowControl/>
              <w:spacing w:line="360" w:lineRule="auto"/>
              <w:jc w:val="left"/>
              <w:rPr>
                <w:rFonts w:ascii="Times New Roman" w:hAnsi="Times New Roman"/>
                <w:color w:val="auto"/>
                <w:kern w:val="0"/>
                <w:sz w:val="24"/>
                <w:szCs w:val="24"/>
              </w:rPr>
            </w:pPr>
          </w:p>
        </w:tc>
        <w:tc>
          <w:tcPr>
            <w:tcW w:w="1150"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50%额定负载</w:t>
            </w:r>
          </w:p>
        </w:tc>
        <w:tc>
          <w:tcPr>
            <w:tcW w:w="794"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≥0.98</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≥0.95</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1139" w:type="pct"/>
            <w:vMerge w:val="continue"/>
            <w:vAlign w:val="center"/>
          </w:tcPr>
          <w:p>
            <w:pPr>
              <w:widowControl/>
              <w:spacing w:line="360" w:lineRule="auto"/>
              <w:jc w:val="left"/>
              <w:rPr>
                <w:rFonts w:ascii="Times New Roman" w:hAnsi="Times New Roman"/>
                <w:color w:val="auto"/>
                <w:kern w:val="0"/>
                <w:sz w:val="24"/>
                <w:szCs w:val="24"/>
              </w:rPr>
            </w:pPr>
          </w:p>
        </w:tc>
        <w:tc>
          <w:tcPr>
            <w:tcW w:w="1150" w:type="pct"/>
            <w:vAlign w:val="center"/>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30%额定负载</w:t>
            </w:r>
          </w:p>
        </w:tc>
        <w:tc>
          <w:tcPr>
            <w:tcW w:w="794"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≥0.97</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≥0.90</w:t>
            </w:r>
          </w:p>
        </w:tc>
        <w:tc>
          <w:tcPr>
            <w:tcW w:w="957" w:type="pct"/>
          </w:tcPr>
          <w:p>
            <w:pPr>
              <w:pStyle w:val="77"/>
              <w:spacing w:line="360" w:lineRule="auto"/>
              <w:ind w:firstLine="0" w:firstLineChars="0"/>
              <w:jc w:val="center"/>
              <w:rPr>
                <w:rFonts w:ascii="Times New Roman"/>
                <w:color w:val="auto"/>
                <w:sz w:val="24"/>
                <w:szCs w:val="24"/>
              </w:rPr>
            </w:pPr>
            <w:r>
              <w:rPr>
                <w:rFonts w:ascii="Times New Roman"/>
                <w:color w:val="auto"/>
                <w:sz w:val="24"/>
                <w:szCs w:val="24"/>
              </w:rPr>
              <w:t>≥0.85</w:t>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具备两路市电输入功能， 一路失电自动切换至另一路；可预置优先路，送电恢复能自动回复至优先路。</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输出性能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输出额定电压： DC 48V （正极接地）。</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系统在稳压工作的基础上，应能与蓄电池并联以浮充工作方式和均充工作及蓄电池放电测试工作方式经母线接到直流配电柜向通信设备供电。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输出电压可调节范围：－（43.2～57.6）V。</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系统的直流输出电压值在其可调范围内应能手动或自动连续可调。</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稳压精度为±1%。</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可靠性： MTBF≥10 万小时。</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输出电流过载能力： （1.0～1.1 倍）额定电流。</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输出短路保护： 承受8～24 小时长期连续的输出短路。</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峰值杂音电压： ≤200mV（0～20MHz）。</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宽频杂音电压： ≤50mV （3.4～150kHz）（有效值）。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≤20mV （0.15～30MHz）（有效值）。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离散杂音电压： ≤5mV （3.4～150kHz）（有效值）。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≤3mV （150～200kHz）（有效值）。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≤2mV （200～500kHz）（有效值）。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≤1mV （0.5～30MHz）（有效值）。</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衡重杂音： ≤2mV （符合ITU-T 建议</w:t>
      </w:r>
      <w:r>
        <w:rPr>
          <w:rFonts w:hint="eastAsia" w:ascii="Times New Roman" w:hAnsi="Times New Roman"/>
          <w:color w:val="auto"/>
          <w:sz w:val="24"/>
          <w:szCs w:val="24"/>
          <w:lang w:val="en-US" w:eastAsia="zh-CN"/>
        </w:rPr>
        <w:t>0.</w:t>
      </w:r>
      <w:r>
        <w:rPr>
          <w:rFonts w:ascii="Times New Roman" w:hAnsi="Times New Roman"/>
          <w:color w:val="auto"/>
          <w:sz w:val="24"/>
          <w:szCs w:val="24"/>
        </w:rPr>
        <w:t>41 条件）。</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整流器应具有直流输出电流的限制性能，系统直流输出电流的限流范围可在其标称值的20%～110%之间调整，当输出电流达到限流值时，系统以限流值输出。</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环境温度为20℃条件下，直流配电部分蓄电池端子与负载端子之间放电回路满载时的电压降不超过500mV。</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可闻噪声：在正常运行带额定电流电阻性负载时，所产生的噪声［环境噪声不大于 40dB(A)］，自冷式模块的噪声应不大于 50dB(A)，风冷式模块的音响噪声应不大于 60dB(A)。</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系统效率</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单个模块输出电流大于或等于 30A 时系统效率应大于或等于 93%（30%负载），输出电流小于 30A 时系统效率应大于或等于 89%（30%负载）。</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并联工作性能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系统中整流模块应能并联工作，并且能按比例均分负载：负载为50%～100%额定输出电流时，整流模块输出额定电流不小于30A的系统，其负载不平衡度应优于±5%，其他系统的负载不平衡度应优于±10%。</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负载为50%～100%额定输出电流时，监控单元出现异常，各整流模块应仍能输出设定电压，且输出电流的不平衡度应优于±10%。</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当某个整流模块出现异常时，应不影响系统的正常工作，应能显示其故障并告警，必要时该整流模块应能退出系统。</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交流输入</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w:t>
      </w:r>
      <w:r>
        <w:rPr>
          <w:rFonts w:ascii="Times New Roman" w:hAnsi="Times New Roman"/>
          <w:color w:val="auto"/>
          <w:sz w:val="24"/>
          <w:szCs w:val="24"/>
        </w:rPr>
        <w:tab/>
      </w:r>
      <w:r>
        <w:rPr>
          <w:rFonts w:ascii="Times New Roman" w:hAnsi="Times New Roman"/>
          <w:color w:val="auto"/>
          <w:sz w:val="24"/>
          <w:szCs w:val="24"/>
        </w:rPr>
        <w:t>高频开关电源交流输入应具备防雷保护设备，两路交流输入均应加装限压型SPD（浪涌保护器），至少能承受电流脉冲（8/20</w:t>
      </w:r>
      <w:r>
        <w:rPr>
          <w:rFonts w:ascii="Times New Roman" w:hAnsi="Times New Roman"/>
          <w:color w:val="auto"/>
          <w:sz w:val="24"/>
          <w:szCs w:val="24"/>
        </w:rPr>
        <w:sym w:font="Symbol" w:char="F06D"/>
      </w:r>
      <w:r>
        <w:rPr>
          <w:rFonts w:ascii="Times New Roman" w:hAnsi="Times New Roman"/>
          <w:color w:val="auto"/>
          <w:sz w:val="24"/>
          <w:szCs w:val="24"/>
        </w:rPr>
        <w:t xml:space="preserve">s、20kA）的冲击。两路进线应能自动及手动切换，当主电源在欠压、缺相时均能实现自动切换。交流输入开关采用小型断路器。 </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2)</w:t>
      </w:r>
      <w:r>
        <w:rPr>
          <w:rFonts w:ascii="Times New Roman" w:hAnsi="Times New Roman"/>
          <w:color w:val="auto"/>
          <w:sz w:val="24"/>
          <w:szCs w:val="24"/>
        </w:rPr>
        <w:tab/>
      </w:r>
      <w:r>
        <w:rPr>
          <w:rFonts w:ascii="Times New Roman" w:hAnsi="Times New Roman"/>
          <w:color w:val="auto"/>
          <w:sz w:val="24"/>
          <w:szCs w:val="24"/>
        </w:rPr>
        <w:t>交流进线为三相四线，每台开关电源设三组进线端子，不配置交流配电柜时，为便于站内两台高频开关电源并联连接，要求开关电源屏Ⅰ的第一路进线设两组内部并联的接线端子，开关电源屏Ⅱ的第二路进线设两组内部并联的接线端子。</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原理接线及端子接线如下图：</w:t>
      </w:r>
    </w:p>
    <w:p>
      <w:pPr>
        <w:spacing w:line="360" w:lineRule="auto"/>
        <w:jc w:val="center"/>
        <w:rPr>
          <w:rFonts w:ascii="Times New Roman" w:hAnsi="Times New Roman"/>
          <w:color w:val="auto"/>
          <w:sz w:val="24"/>
          <w:szCs w:val="24"/>
        </w:rPr>
      </w:pPr>
      <w:r>
        <w:rPr>
          <w:rFonts w:ascii="Times New Roman" w:hAnsi="Times New Roman"/>
          <w:color w:val="auto"/>
          <w:sz w:val="24"/>
          <w:szCs w:val="24"/>
        </w:rPr>
        <w:drawing>
          <wp:inline distT="0" distB="0" distL="0" distR="0">
            <wp:extent cx="5335270" cy="6043295"/>
            <wp:effectExtent l="0" t="0" r="0" b="1905"/>
            <wp:docPr id="5" name="图片 5" descr="电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电源图"/>
                    <pic:cNvPicPr>
                      <a:picLocks noChangeAspect="1" noChangeArrowheads="1"/>
                    </pic:cNvPicPr>
                  </pic:nvPicPr>
                  <pic:blipFill>
                    <a:blip r:embed="rId29">
                      <a:extLst>
                        <a:ext uri="{28A0092B-C50C-407E-A947-70E740481C1C}">
                          <a14:useLocalDpi xmlns:a14="http://schemas.microsoft.com/office/drawing/2010/main" val="0"/>
                        </a:ext>
                      </a:extLst>
                    </a:blip>
                    <a:srcRect l="42142" t="24062" r="33069" b="13840"/>
                    <a:stretch>
                      <a:fillRect/>
                    </a:stretch>
                  </pic:blipFill>
                  <pic:spPr>
                    <a:xfrm>
                      <a:off x="0" y="0"/>
                      <a:ext cx="5335270" cy="6043295"/>
                    </a:xfrm>
                    <a:prstGeom prst="rect">
                      <a:avLst/>
                    </a:prstGeom>
                    <a:noFill/>
                    <a:ln>
                      <a:noFill/>
                    </a:ln>
                  </pic:spPr>
                </pic:pic>
              </a:graphicData>
            </a:graphic>
          </wp:inline>
        </w:drawing>
      </w:r>
    </w:p>
    <w:p>
      <w:pPr>
        <w:spacing w:line="360" w:lineRule="auto"/>
        <w:jc w:val="center"/>
        <w:rPr>
          <w:rFonts w:ascii="Times New Roman" w:hAnsi="Times New Roman"/>
          <w:color w:val="auto"/>
          <w:sz w:val="24"/>
          <w:szCs w:val="24"/>
        </w:rPr>
      </w:pPr>
      <w:r>
        <w:rPr>
          <w:rFonts w:ascii="Times New Roman" w:hAnsi="Times New Roman"/>
          <w:color w:val="auto"/>
          <w:sz w:val="24"/>
          <w:szCs w:val="24"/>
        </w:rPr>
        <w:t>图8.3.4-1 高频开关电源交流输入端子接线示意图</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机架交流母线配置软电缆与整流模块直接连接，按终期整流模块数量配置。</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交流输出</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整流模块和监控模块应支持热插拔，能在线投入或撤出。当某个整流模块或监控模块出现异常时，更换新的整流模块应不影响系统的正常输出电压。</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整流模块采用分组供电方式，不配置模块输入总开关。单组发生故障时，其它组需能正常运行且能带起所有负载，每组模块（一台或几台模块）配置一个断路器，以避免所有模块共用一个模块总开关而存在单点故障的风险。</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监视要求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监控单元至少显示选用的交流输入回路的电压，宜具备显示两路输入交流电压能力。监控两路交流输入，对两路交流输入的过压、欠压、缺相故障均有监测、告警、保护措施。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监控单元应能显示设备实时运行工况，实现对设备的设置、调整。</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视的信息应包括输入三相交流电压、电流，输出端的直流电压、电流，蓄电池组在线电压、电流，每个模块输出电压、电流（可通过监视系统或仪表来采集）、工作状态（开/关机，限流/不限流）、故障/正常等。</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故障告警</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故障应具备声光告警。告警信号至少应包括：每一路输入交流缺相、交流失电、交流电压过高或过低、整流模块故障、直流输出电压过高或过低、过流、故障总信号、负载/电池分断告警，过热告警等。告警信号除在设备上以告警灯的方式响应外，还需提供与设备电气隔离的干接点输出，接点容量为DC250V/1A，常开或常闭可选。当出现告警时，操作人员可以通过按键在监控器上手动消声，但故障状态依旧在监控器的液晶屏幕上保留显示，直到告警消除。新投运的高频开关电源的干接点须具备交流、直流失电上送告警功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采用不小于3英寸的显示屏幕，显示字体不小于4号字体，主屏应显示交流输入电压，直流输出电压、输出电流、蓄电池放电电流。</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系统应配置红色总告警（或分类告警）指示灯。</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交流接线端子必须有防触电安全防护措施。</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前后门不允许有功率、控制线缆及显示电路等。</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监控单元对模块的操作应有校验机制，发现模块不能正常执行相关指令时，应重新触发告警。</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监控单元应由直流母线供电。</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配置要求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扩容用的模块插槽应预留模块接插件，并用装饰面板封堵。</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所有输出开关应当连接端子，方便用户接线，不允许用户直接从开关接线。</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熔断器的输出端应安装接线用汇流排，避免用户直接从熔断器接线。</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负载效应（负载调整率）</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不同负载情况下的直流输出电压与输出电压整定值的差值应不超过输出电压整定值的±0.5%。</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源效应（电网调整率）</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不同交流输入电压情况下的直流输出电压与输出电压整定值的差值应不超过输出电压整定值的±0.1%。</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温度系数（1/℃）</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相对于20℃环境温度情况下，温度每变化1℃时的直流输出电压与输出电压整定值的差值应不超过输出电压整定值的±0.02%。</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负载效应恢复时间（动态响应）</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由于负载的阶跃变化（突变）引起的直流输出电压变化后的恢复时间应不大于200μs，其超调量应不超过输出电压不安定因素值的±5%。恢复时间定义为直流输出电压变化量上升至大于稳压精度处开始，恢复至小于等于并不再超过稳压精度处为止的时间段。</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开关机过冲幅度</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由于开关机引起直流输出电压变化的最大峰值应不超过直流输出电压稳定值的±10%。</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启动冲击电流（浪涌电流）</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由于启动引起的输入冲击电流应不大于额定输入电压条件下最大稳态输入电流峰值的150%。</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软启动时间</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软启动时间（从启动至直流输出电压爬升到标称值所用的时间）应在3～10s间，并可根据需要调整。</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绝缘电阻</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在环境温度为15℃～35℃，相对湿度为90%，试验电压为直流500V时，交流电路和直流电路对地、交流部分对直流部分的绝缘电阻均不低于2MΩ。</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电磁兼容</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传导骚扰限值应符合GB 9254-2008信息技术设备的无线电骚扰限值和测量方法，表1中A级的要求。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辐射骚扰限值应符合GB 9254-2008信息技术设备的无线电骚扰限值和测量方法，表5中A级的要求。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单相交流输入的整流模块其谐波电流限值应符合YD/T 983-2013中8.3节的限值要求。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电压起伏和闪烁限值应符合YD/T 983-2013中8.4节的要求。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整流器的抗扰度应符合YD/T 983-2013中第九章的要求。抗扰性包含：针对整流器外壳表面的抗扰性、针对整流器直流端口的抗扰性、针对整流器交流端口的抗扰性。</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静电放电抗扰度，系统机柜应能保护产品抵御静电的破坏，应能承受GB/T 17626.2-2006中第5章表1第4试验等级8kV试验电压的冲击，应符合YD/T 983-2013中6.2判定准则B的要求。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直流输出连接</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每台高频开关电源具有至少4路直流输出熔断器，其中两路用于直流配电柜供电（一主用，一备用），两路用于蓄电池组供电（一主用，一备用），并配置引入连接端；要求蓄电池分路具有蓄电池投切、熔断器保护功能；同时配置蓄电池组监测模块，把蓄电池组监测信号上传调度端。</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维护管理功能</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维护管理硬件要求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卖方随整流器配置维护管理模块。该模块应具有当地人机对话功能，显示设备的工作状态，实现对设备的设置；该模块应具有RS232或RS485或RJ45接口，与本地维护终端及远方维护管理系统的连接，实现当地及远方的监视、维护等功能。</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维护管理软件要求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厂商随设备提供维护管理软件（PC机版），介质为光盘，含软件及相应说明书。</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维护管理功能要求</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管理系统投入和退出、管理系统故障、管理系统有关机盘的插入和拔出等均不影响设备的正常运行。</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当地功能</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显示设备实时运行工况；</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实现对设备的设置、调整；</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监视的信息应包括输入三相交流电压、电流，输出端的直流电压、电流，蓄电池组在线电压、电流，每个模块输出电压、电流（可通过监视系统或仪表来采集）、工作状态（开/关机，限流/不限流）、故障/正常等。</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卖方应提供维护管理系统的通信接口协议并开放，配合买方将卖方所供电源设备接入动力环境监测系统。</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远方功能</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可通过电话拨号或网络远端接入进行维护管理，远方功能应包括：</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显示设备实时运行工况；</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实现对设备的设置、调整；</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故障告警。</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直流输出过流及短路</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电源系统带额定电流的负载运行30min，试验结束后电源系统能够保证额定电流输出；</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被测电源系统应有短路的自动保护功能，短路故障排除后应自动或人工恢复正常工作状态。</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蓄电池电压采集回路失压</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通信电源系统正常工作状态时，断开蓄电池组电压采样回路或系统母排电压，不能影响电源系统对负载的正常供电，电源模块输出应无影响，输出电压在正常范围内。</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抗电强度</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w:t>
      </w:r>
      <w:r>
        <w:rPr>
          <w:rFonts w:ascii="Times New Roman" w:hAnsi="Times New Roman"/>
          <w:color w:val="auto"/>
          <w:sz w:val="24"/>
          <w:szCs w:val="24"/>
        </w:rPr>
        <w:tab/>
      </w:r>
      <w:r>
        <w:rPr>
          <w:rFonts w:ascii="Times New Roman" w:hAnsi="Times New Roman"/>
          <w:color w:val="auto"/>
          <w:sz w:val="24"/>
          <w:szCs w:val="24"/>
        </w:rPr>
        <w:t>交流输入对地应能承受到</w:t>
      </w:r>
      <w:r>
        <w:rPr>
          <w:rFonts w:hint="eastAsia" w:ascii="Times New Roman" w:hAnsi="Times New Roman"/>
          <w:color w:val="auto"/>
          <w:sz w:val="24"/>
          <w:szCs w:val="24"/>
        </w:rPr>
        <w:t>50</w:t>
      </w:r>
      <w:r>
        <w:rPr>
          <w:rFonts w:ascii="Times New Roman" w:hAnsi="Times New Roman"/>
          <w:color w:val="auto"/>
          <w:sz w:val="24"/>
          <w:szCs w:val="24"/>
        </w:rPr>
        <w:t>Hz</w:t>
      </w:r>
      <w:r>
        <w:rPr>
          <w:rFonts w:hint="eastAsia" w:ascii="Times New Roman" w:hAnsi="Times New Roman"/>
          <w:color w:val="auto"/>
          <w:sz w:val="24"/>
          <w:szCs w:val="24"/>
        </w:rPr>
        <w:t>、</w:t>
      </w:r>
      <w:r>
        <w:rPr>
          <w:rFonts w:ascii="Times New Roman" w:hAnsi="Times New Roman"/>
          <w:color w:val="auto"/>
          <w:sz w:val="24"/>
          <w:szCs w:val="24"/>
        </w:rPr>
        <w:t>有效值为2000V的正弦交流电压或等效其峰值的 2828V直流</w:t>
      </w:r>
      <w:r>
        <w:rPr>
          <w:rFonts w:hint="eastAsia" w:ascii="Times New Roman" w:hAnsi="Times New Roman"/>
          <w:color w:val="auto"/>
          <w:sz w:val="24"/>
          <w:szCs w:val="24"/>
        </w:rPr>
        <w:t>电压</w:t>
      </w:r>
      <w:r>
        <w:rPr>
          <w:rFonts w:ascii="Times New Roman" w:hAnsi="Times New Roman"/>
          <w:color w:val="auto"/>
          <w:sz w:val="24"/>
          <w:szCs w:val="24"/>
        </w:rPr>
        <w:t>1min 且无击穿或飞弧现象</w:t>
      </w:r>
      <w:r>
        <w:rPr>
          <w:rFonts w:hint="eastAsia" w:ascii="Times New Roman" w:hAnsi="Times New Roman"/>
          <w:color w:val="auto"/>
          <w:sz w:val="24"/>
          <w:szCs w:val="24"/>
        </w:rPr>
        <w:t>；</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b)</w:t>
      </w:r>
      <w:r>
        <w:rPr>
          <w:rFonts w:ascii="Times New Roman" w:hAnsi="Times New Roman"/>
          <w:color w:val="auto"/>
          <w:sz w:val="24"/>
          <w:szCs w:val="24"/>
        </w:rPr>
        <w:tab/>
      </w:r>
      <w:r>
        <w:rPr>
          <w:rFonts w:ascii="Times New Roman" w:hAnsi="Times New Roman"/>
          <w:color w:val="auto"/>
          <w:sz w:val="24"/>
          <w:szCs w:val="24"/>
        </w:rPr>
        <w:t>交流输入对直流输出应能承受50Hz、有效值为3000V的正弦交流电压或等效其峰值</w:t>
      </w:r>
      <w:r>
        <w:rPr>
          <w:rFonts w:hint="eastAsia" w:ascii="Times New Roman" w:hAnsi="Times New Roman"/>
          <w:color w:val="auto"/>
          <w:sz w:val="24"/>
          <w:szCs w:val="24"/>
        </w:rPr>
        <w:t>的4242V</w:t>
      </w:r>
      <w:r>
        <w:rPr>
          <w:rFonts w:ascii="Times New Roman" w:hAnsi="Times New Roman"/>
          <w:color w:val="auto"/>
          <w:sz w:val="24"/>
          <w:szCs w:val="24"/>
        </w:rPr>
        <w:t>直流电压1min且无击穿或飞弧现象；</w:t>
      </w:r>
    </w:p>
    <w:p>
      <w:pPr>
        <w:numPr>
          <w:ilvl w:val="255"/>
          <w:numId w:val="0"/>
        </w:num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c)</w:t>
      </w:r>
      <w:r>
        <w:rPr>
          <w:rFonts w:ascii="Times New Roman" w:hAnsi="Times New Roman"/>
          <w:color w:val="auto"/>
          <w:sz w:val="24"/>
          <w:szCs w:val="24"/>
        </w:rPr>
        <w:tab/>
      </w:r>
      <w:r>
        <w:rPr>
          <w:rFonts w:ascii="Times New Roman" w:hAnsi="Times New Roman"/>
          <w:color w:val="auto"/>
          <w:sz w:val="24"/>
          <w:szCs w:val="24"/>
        </w:rPr>
        <w:t>直流输出对地应能承受50Hz、有效值为</w:t>
      </w:r>
      <w:r>
        <w:rPr>
          <w:rFonts w:hint="eastAsia" w:ascii="Times New Roman" w:hAnsi="Times New Roman"/>
          <w:color w:val="auto"/>
          <w:sz w:val="24"/>
          <w:szCs w:val="24"/>
        </w:rPr>
        <w:t>1000</w:t>
      </w:r>
      <w:r>
        <w:rPr>
          <w:rFonts w:ascii="Times New Roman" w:hAnsi="Times New Roman"/>
          <w:color w:val="auto"/>
          <w:sz w:val="24"/>
          <w:szCs w:val="24"/>
        </w:rPr>
        <w:t>V的正弦交流电压或等效其峰值</w:t>
      </w:r>
      <w:r>
        <w:rPr>
          <w:rFonts w:hint="eastAsia" w:ascii="Times New Roman" w:hAnsi="Times New Roman"/>
          <w:color w:val="auto"/>
          <w:sz w:val="24"/>
          <w:szCs w:val="24"/>
        </w:rPr>
        <w:t>的1414V</w:t>
      </w:r>
      <w:r>
        <w:rPr>
          <w:rFonts w:ascii="Times New Roman" w:hAnsi="Times New Roman"/>
          <w:color w:val="auto"/>
          <w:sz w:val="24"/>
          <w:szCs w:val="24"/>
        </w:rPr>
        <w:t>直流电压1min且无击穿或飞弧现象。</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系统温升</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系统额定工作状态时，常温条件下，母线排、连接导线、接线端子的温升不应超过50℃。</w:t>
      </w:r>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蓄电池管理功能</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系统应具有蓄电池接口，输出额定容量60A或以下的系统应至少接入1组蓄电池，其他系统应能接入2组蓄电池。</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系统应具备对蓄电池均充充电及浮充充电状态进行手动或自动转换功能。</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系统在对蓄电池进行充电时，应具有限流充电功能，并且限流值应能根据需要进行调整。</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系统应能根据蓄电池环境温度，对系统的输出电压进行温度补偿或保护。</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在蓄电池放电及均充时，系统应具备对蓄电池容量进行估算的功能。</w:t>
      </w:r>
    </w:p>
    <w:p>
      <w:pPr>
        <w:numPr>
          <w:ilvl w:val="255"/>
          <w:numId w:val="0"/>
        </w:numPr>
        <w:spacing w:line="360" w:lineRule="auto"/>
        <w:ind w:left="420" w:leftChars="200"/>
        <w:rPr>
          <w:rFonts w:ascii="Times New Roman" w:hAnsi="Times New Roman"/>
          <w:color w:val="auto"/>
          <w:sz w:val="24"/>
          <w:szCs w:val="24"/>
        </w:rPr>
      </w:pPr>
      <w:r>
        <w:rPr>
          <w:rFonts w:ascii="Times New Roman" w:hAnsi="Times New Roman"/>
          <w:color w:val="auto"/>
          <w:sz w:val="24"/>
          <w:szCs w:val="24"/>
        </w:rPr>
        <w:t>系统宜具备蓄电池单体电压管理功能（可选）。</w:t>
      </w:r>
      <w:bookmarkEnd w:id="443"/>
    </w:p>
    <w:p>
      <w:pPr>
        <w:numPr>
          <w:ilvl w:val="0"/>
          <w:numId w:val="74"/>
        </w:numPr>
        <w:spacing w:line="360" w:lineRule="auto"/>
        <w:ind w:left="0" w:firstLine="480" w:firstLineChars="200"/>
        <w:rPr>
          <w:rFonts w:ascii="Times New Roman" w:hAnsi="Times New Roman"/>
          <w:color w:val="auto"/>
          <w:sz w:val="24"/>
          <w:szCs w:val="24"/>
        </w:rPr>
      </w:pPr>
      <w:bookmarkStart w:id="444" w:name="_Toc65773359"/>
      <w:r>
        <w:rPr>
          <w:rFonts w:ascii="Times New Roman" w:hAnsi="Times New Roman"/>
          <w:color w:val="auto"/>
          <w:sz w:val="24"/>
          <w:szCs w:val="24"/>
        </w:rPr>
        <w:t>整流模块和监控模块在线投入或撤出</w:t>
      </w:r>
      <w:bookmarkEnd w:id="444"/>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整流模块和监控模块应具备在线投入或撤出功能，当某个整流模块或监控模块出现异常时，应不影响系统的正常工作，输出电压在正常指标范围内。</w:t>
      </w:r>
    </w:p>
    <w:p>
      <w:pPr>
        <w:numPr>
          <w:ilvl w:val="0"/>
          <w:numId w:val="74"/>
        </w:numPr>
        <w:spacing w:line="360" w:lineRule="auto"/>
        <w:ind w:left="0" w:firstLine="480" w:firstLineChars="200"/>
        <w:rPr>
          <w:rFonts w:ascii="Times New Roman" w:hAnsi="Times New Roman"/>
          <w:color w:val="auto"/>
          <w:sz w:val="24"/>
          <w:szCs w:val="24"/>
        </w:rPr>
      </w:pPr>
      <w:bookmarkStart w:id="445" w:name="_Toc65773362"/>
      <w:r>
        <w:rPr>
          <w:rFonts w:ascii="Times New Roman" w:hAnsi="Times New Roman"/>
          <w:color w:val="auto"/>
          <w:sz w:val="24"/>
          <w:szCs w:val="24"/>
        </w:rPr>
        <w:t>防止单一模块故障的系统结构</w:t>
      </w:r>
      <w:bookmarkEnd w:id="445"/>
    </w:p>
    <w:p>
      <w:pPr>
        <w:numPr>
          <w:ilvl w:val="0"/>
          <w:numId w:val="74"/>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交流进线切换后的系统交流输入取消模块总开关，对充电模块采用分组的方式（原则为单组发生故障时，其它组需能正常运行且能带起所有负载），每组模块（一台或几台模块）配置一个断路器，以避免所有模块共用一个模块总开关而存在单点故障的风险。</w:t>
      </w:r>
    </w:p>
    <w:p>
      <w:pPr>
        <w:numPr>
          <w:ilvl w:val="0"/>
          <w:numId w:val="74"/>
        </w:numPr>
        <w:spacing w:line="360" w:lineRule="auto"/>
        <w:ind w:left="0" w:firstLine="480" w:firstLineChars="200"/>
        <w:rPr>
          <w:rFonts w:ascii="Times New Roman" w:hAnsi="Times New Roman"/>
          <w:color w:val="auto"/>
          <w:sz w:val="24"/>
          <w:szCs w:val="24"/>
        </w:rPr>
      </w:pPr>
      <w:bookmarkStart w:id="446" w:name="_Toc65773363"/>
      <w:r>
        <w:rPr>
          <w:rFonts w:ascii="Times New Roman" w:hAnsi="Times New Roman"/>
          <w:color w:val="auto"/>
          <w:sz w:val="24"/>
          <w:szCs w:val="24"/>
        </w:rPr>
        <w:t>通信电源端子图</w:t>
      </w:r>
      <w:bookmarkEnd w:id="446"/>
    </w:p>
    <w:p>
      <w:pPr>
        <w:spacing w:line="360" w:lineRule="auto"/>
        <w:ind w:firstLine="480" w:firstLineChars="200"/>
        <w:rPr>
          <w:rFonts w:ascii="Times New Roman" w:hAnsi="Times New Roman"/>
          <w:color w:val="auto"/>
          <w:sz w:val="24"/>
          <w:szCs w:val="24"/>
        </w:rPr>
      </w:pPr>
    </w:p>
    <w:p>
      <w:pPr>
        <w:spacing w:line="360" w:lineRule="auto"/>
        <w:jc w:val="center"/>
        <w:rPr>
          <w:rFonts w:ascii="Times New Roman" w:hAnsi="Times New Roman"/>
          <w:color w:val="auto"/>
          <w:sz w:val="24"/>
          <w:szCs w:val="24"/>
        </w:rPr>
      </w:pPr>
      <w:bookmarkStart w:id="447" w:name="OLE_LINK21"/>
      <w:bookmarkStart w:id="448" w:name="OLE_LINK22"/>
      <w:r>
        <w:rPr>
          <w:rFonts w:ascii="Times New Roman" w:hAnsi="Times New Roman"/>
          <w:color w:val="auto"/>
          <w:sz w:val="24"/>
          <w:szCs w:val="24"/>
        </w:rPr>
        <w:drawing>
          <wp:inline distT="0" distB="0" distL="0" distR="0">
            <wp:extent cx="3615055" cy="54102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30" cstate="print">
                      <a:extLst>
                        <a:ext uri="{28A0092B-C50C-407E-A947-70E740481C1C}">
                          <a14:useLocalDpi xmlns:a14="http://schemas.microsoft.com/office/drawing/2010/main" val="0"/>
                        </a:ext>
                      </a:extLst>
                    </a:blip>
                    <a:srcRect l="36679" t="3690" r="39502" b="15063"/>
                    <a:stretch>
                      <a:fillRect/>
                    </a:stretch>
                  </pic:blipFill>
                  <pic:spPr>
                    <a:xfrm>
                      <a:off x="0" y="0"/>
                      <a:ext cx="3615055" cy="5410200"/>
                    </a:xfrm>
                    <a:prstGeom prst="rect">
                      <a:avLst/>
                    </a:prstGeom>
                    <a:noFill/>
                    <a:ln>
                      <a:noFill/>
                    </a:ln>
                  </pic:spPr>
                </pic:pic>
              </a:graphicData>
            </a:graphic>
          </wp:inline>
        </w:drawing>
      </w:r>
      <w:bookmarkEnd w:id="447"/>
      <w:bookmarkEnd w:id="448"/>
    </w:p>
    <w:p>
      <w:pPr>
        <w:pStyle w:val="83"/>
        <w:numPr>
          <w:ilvl w:val="0"/>
          <w:numId w:val="0"/>
        </w:numPr>
        <w:ind w:left="420" w:leftChars="200"/>
        <w:jc w:val="center"/>
        <w:rPr>
          <w:rFonts w:ascii="Times New Roman" w:hAnsi="Times New Roman"/>
          <w:color w:val="auto"/>
          <w:sz w:val="24"/>
          <w:szCs w:val="24"/>
        </w:rPr>
      </w:pPr>
      <w:r>
        <w:rPr>
          <w:rFonts w:ascii="Times New Roman" w:hAnsi="Times New Roman"/>
          <w:color w:val="auto"/>
          <w:sz w:val="24"/>
          <w:szCs w:val="24"/>
        </w:rPr>
        <w:t>图8.3.4-2通信电源正面布局示意图</w:t>
      </w:r>
    </w:p>
    <w:p>
      <w:pPr>
        <w:spacing w:line="360" w:lineRule="auto"/>
        <w:jc w:val="center"/>
        <w:rPr>
          <w:rFonts w:ascii="Times New Roman" w:hAnsi="Times New Roman"/>
          <w:color w:val="auto"/>
          <w:sz w:val="24"/>
          <w:szCs w:val="24"/>
        </w:rPr>
      </w:pPr>
      <w:r>
        <w:rPr>
          <w:rFonts w:ascii="Times New Roman" w:hAnsi="Times New Roman"/>
          <w:color w:val="auto"/>
          <w:sz w:val="24"/>
          <w:szCs w:val="24"/>
        </w:rPr>
        <w:drawing>
          <wp:inline distT="0" distB="0" distL="0" distR="0">
            <wp:extent cx="3340735" cy="5405755"/>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31" cstate="print">
                      <a:extLst>
                        <a:ext uri="{28A0092B-C50C-407E-A947-70E740481C1C}">
                          <a14:useLocalDpi xmlns:a14="http://schemas.microsoft.com/office/drawing/2010/main" val="0"/>
                        </a:ext>
                      </a:extLst>
                    </a:blip>
                    <a:srcRect l="42120" t="6500" r="35124" b="19257"/>
                    <a:stretch>
                      <a:fillRect/>
                    </a:stretch>
                  </pic:blipFill>
                  <pic:spPr>
                    <a:xfrm>
                      <a:off x="0" y="0"/>
                      <a:ext cx="3340735" cy="5405755"/>
                    </a:xfrm>
                    <a:prstGeom prst="rect">
                      <a:avLst/>
                    </a:prstGeom>
                    <a:noFill/>
                    <a:ln>
                      <a:noFill/>
                    </a:ln>
                  </pic:spPr>
                </pic:pic>
              </a:graphicData>
            </a:graphic>
          </wp:inline>
        </w:drawing>
      </w:r>
    </w:p>
    <w:p>
      <w:pPr>
        <w:pStyle w:val="83"/>
        <w:numPr>
          <w:ilvl w:val="0"/>
          <w:numId w:val="0"/>
        </w:numPr>
        <w:ind w:left="420" w:leftChars="200"/>
        <w:jc w:val="center"/>
        <w:rPr>
          <w:rFonts w:ascii="Times New Roman" w:hAnsi="Times New Roman"/>
          <w:color w:val="auto"/>
          <w:sz w:val="24"/>
          <w:szCs w:val="24"/>
        </w:rPr>
      </w:pPr>
      <w:r>
        <w:rPr>
          <w:rFonts w:ascii="Times New Roman" w:hAnsi="Times New Roman"/>
          <w:color w:val="auto"/>
          <w:sz w:val="24"/>
          <w:szCs w:val="24"/>
        </w:rPr>
        <w:t>图8.3.4-3 通信电源背面布局示意图</w:t>
      </w:r>
    </w:p>
    <w:bookmarkEnd w:id="384"/>
    <w:p>
      <w:pPr>
        <w:pStyle w:val="118"/>
        <w:numPr>
          <w:ilvl w:val="3"/>
          <w:numId w:val="25"/>
        </w:numPr>
        <w:spacing w:before="0" w:after="0"/>
        <w:rPr>
          <w:rFonts w:ascii="Times New Roman" w:hAnsi="Times New Roman"/>
          <w:color w:val="auto"/>
          <w:sz w:val="24"/>
          <w:szCs w:val="24"/>
        </w:rPr>
      </w:pPr>
      <w:bookmarkStart w:id="449" w:name="_Toc11138"/>
      <w:bookmarkStart w:id="450" w:name="_Toc26762"/>
      <w:bookmarkStart w:id="451" w:name="_Toc27741"/>
      <w:r>
        <w:rPr>
          <w:rFonts w:ascii="Times New Roman" w:hAnsi="Times New Roman"/>
          <w:color w:val="auto"/>
          <w:sz w:val="24"/>
          <w:szCs w:val="24"/>
        </w:rPr>
        <w:t>监控单元</w:t>
      </w:r>
    </w:p>
    <w:p>
      <w:pPr>
        <w:adjustRightInd w:val="0"/>
        <w:snapToGrid w:val="0"/>
        <w:spacing w:line="360" w:lineRule="auto"/>
        <w:ind w:firstLine="480" w:firstLineChars="200"/>
        <w:rPr>
          <w:rFonts w:ascii="Times New Roman" w:hAnsi="Times New Roman"/>
          <w:color w:val="auto"/>
          <w:kern w:val="0"/>
          <w:sz w:val="24"/>
          <w:szCs w:val="24"/>
        </w:rPr>
      </w:pPr>
      <w:bookmarkStart w:id="452" w:name="_Toc277174788"/>
      <w:r>
        <w:rPr>
          <w:rFonts w:ascii="Times New Roman" w:hAnsi="Times New Roman"/>
          <w:color w:val="auto"/>
          <w:kern w:val="0"/>
          <w:sz w:val="24"/>
          <w:szCs w:val="24"/>
        </w:rPr>
        <w:t>通信直流供电系统应具备本地和远程监控功能，并可通过通信电源远程监控平台将本地监控的全部信息及时远传至值班人员。</w:t>
      </w:r>
      <w:bookmarkEnd w:id="452"/>
    </w:p>
    <w:p>
      <w:pPr>
        <w:adjustRightInd w:val="0"/>
        <w:snapToGrid w:val="0"/>
        <w:spacing w:line="360" w:lineRule="auto"/>
        <w:ind w:firstLine="480" w:firstLineChars="200"/>
        <w:rPr>
          <w:rFonts w:ascii="Times New Roman" w:hAnsi="Times New Roman"/>
          <w:color w:val="auto"/>
          <w:kern w:val="0"/>
          <w:sz w:val="24"/>
          <w:szCs w:val="24"/>
        </w:rPr>
      </w:pPr>
      <w:bookmarkStart w:id="453" w:name="_Toc271903750"/>
      <w:bookmarkStart w:id="454" w:name="_Toc277174792"/>
      <w:r>
        <w:rPr>
          <w:rFonts w:ascii="Times New Roman" w:hAnsi="Times New Roman"/>
          <w:color w:val="auto"/>
          <w:kern w:val="0"/>
          <w:sz w:val="24"/>
          <w:szCs w:val="24"/>
        </w:rPr>
        <w:t>通信直流供电系统不具备远程监控功能时，应通过其他技术手段，采集交流输入异常、直流输出异常、蓄电池异常等关键告警，并能及时远传至值班人员。</w:t>
      </w:r>
      <w:bookmarkEnd w:id="453"/>
      <w:bookmarkEnd w:id="454"/>
    </w:p>
    <w:p>
      <w:pPr>
        <w:adjustRightInd w:val="0"/>
        <w:snapToGrid w:val="0"/>
        <w:spacing w:line="360" w:lineRule="auto"/>
        <w:ind w:firstLine="480" w:firstLineChars="200"/>
        <w:rPr>
          <w:rFonts w:ascii="Times New Roman" w:hAnsi="Times New Roman"/>
          <w:color w:val="auto"/>
          <w:kern w:val="0"/>
          <w:sz w:val="24"/>
          <w:szCs w:val="24"/>
        </w:rPr>
      </w:pPr>
      <w:bookmarkStart w:id="455" w:name="_Toc271903769"/>
      <w:bookmarkStart w:id="456" w:name="_Toc277174811"/>
      <w:r>
        <w:rPr>
          <w:rFonts w:ascii="Times New Roman" w:hAnsi="Times New Roman"/>
          <w:color w:val="auto"/>
          <w:kern w:val="0"/>
          <w:sz w:val="24"/>
          <w:szCs w:val="24"/>
        </w:rPr>
        <w:t>本地监测和远程监测及遥控功能：</w:t>
      </w:r>
      <w:bookmarkEnd w:id="455"/>
      <w:bookmarkEnd w:id="456"/>
      <w:bookmarkStart w:id="457" w:name="_Toc277174812"/>
      <w:bookmarkStart w:id="458" w:name="_Toc271903770"/>
      <w:r>
        <w:rPr>
          <w:rFonts w:ascii="Times New Roman" w:hAnsi="Times New Roman"/>
          <w:color w:val="auto"/>
          <w:kern w:val="0"/>
          <w:sz w:val="24"/>
          <w:szCs w:val="24"/>
        </w:rPr>
        <w:t>开放协议，开放接口，按《南方电网通信电源监控系统技术规范》要求提供以太网接口，预留不少于8 个干接点，干接点告警方式应可配置，支持断开及闭合两种告警方式。监控中心可远程下达命令对被控设备进行控制</w:t>
      </w:r>
      <w:bookmarkEnd w:id="457"/>
      <w:bookmarkEnd w:id="458"/>
      <w:r>
        <w:rPr>
          <w:rFonts w:ascii="Times New Roman" w:hAnsi="Times New Roman"/>
          <w:color w:val="auto"/>
          <w:kern w:val="0"/>
          <w:sz w:val="24"/>
          <w:szCs w:val="24"/>
        </w:rPr>
        <w:t>，支持IEC61850协议。</w:t>
      </w:r>
    </w:p>
    <w:p>
      <w:pPr>
        <w:adjustRightInd w:val="0"/>
        <w:snapToGrid w:val="0"/>
        <w:spacing w:line="360" w:lineRule="auto"/>
        <w:ind w:firstLine="480" w:firstLineChars="200"/>
        <w:rPr>
          <w:rFonts w:ascii="Times New Roman" w:hAnsi="Times New Roman"/>
          <w:color w:val="auto"/>
          <w:kern w:val="0"/>
          <w:sz w:val="24"/>
          <w:szCs w:val="24"/>
        </w:rPr>
      </w:pPr>
      <w:r>
        <w:rPr>
          <w:rFonts w:ascii="Times New Roman" w:hAnsi="Times New Roman"/>
          <w:color w:val="auto"/>
          <w:kern w:val="0"/>
          <w:sz w:val="24"/>
          <w:szCs w:val="24"/>
        </w:rPr>
        <w:t>监控单元具备故障自检测能力，当监控单元故障时，应能自动切断监控单元并保持通信电源正常对负载供电。</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保护功能</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 xml:space="preserve">交流输入过、欠压保护  </w:t>
      </w:r>
    </w:p>
    <w:p>
      <w:pPr>
        <w:numPr>
          <w:ilvl w:val="0"/>
          <w:numId w:val="75"/>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系统应能监视输入电压，当交流输入电压值过高或过低，可能会影响系统安全工作时，系统可以自动关机保护；当输入电压正常后，系统应能自动恢复工作。 </w:t>
      </w:r>
    </w:p>
    <w:p>
      <w:pPr>
        <w:numPr>
          <w:ilvl w:val="0"/>
          <w:numId w:val="75"/>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过压保护时的电压应不低于本标准中所规定的“交流输入电压变动范围”上限值的105%，欠压保护时的电压应不高于“交流输入电压变动范围”下限值的95%。</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 xml:space="preserve">三相交流输入缺相保护 </w:t>
      </w:r>
    </w:p>
    <w:p>
      <w:pPr>
        <w:numPr>
          <w:ilvl w:val="0"/>
          <w:numId w:val="76"/>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整流模块交流输入为三相时，系统应具有缺相保护功能。电网恢复正常后，应能自动恢复工作。</w:t>
      </w:r>
    </w:p>
    <w:p>
      <w:pPr>
        <w:numPr>
          <w:ilvl w:val="0"/>
          <w:numId w:val="76"/>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直流输出过、欠压保护 </w:t>
      </w:r>
    </w:p>
    <w:p>
      <w:pPr>
        <w:numPr>
          <w:ilvl w:val="0"/>
          <w:numId w:val="76"/>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系统直流输出电压的过、欠电压值可根据用户要求设定，当系统的直流输出电压值达到其设定值时，应能自动告警，过压时应能自动关机保护，故障排除后，手动恢复工作。欠压时，系统应能自动关机保护，故障排除后，自动或手动恢复。 </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直流输出电流限制或输出功率限制功能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系统直流输出限流保护功能分二种形式：</w:t>
      </w:r>
    </w:p>
    <w:p>
      <w:pPr>
        <w:numPr>
          <w:ilvl w:val="0"/>
          <w:numId w:val="77"/>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直流输出电流限制功能：当输出电流达到限流值时，系统以限流值输出，限流值应能根据需要进行调整，限流范围应不窄于其额定值的40%～100%；</w:t>
      </w:r>
    </w:p>
    <w:p>
      <w:pPr>
        <w:numPr>
          <w:ilvl w:val="0"/>
          <w:numId w:val="77"/>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直流输出功率限制功能：当系统直流输出功率达到功率限制值时，输出电流增大时系统应能自动降低输出电压以使输出功率不超过限制值，系统最大输出功率限制值应不小于系统直流输出电压标称值与额定电流乘积的120%。</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 xml:space="preserve">直流输出过流及短路保护 </w:t>
      </w:r>
    </w:p>
    <w:p>
      <w:pPr>
        <w:numPr>
          <w:ilvl w:val="0"/>
          <w:numId w:val="78"/>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系统应有过流与短路的自动保护功能，过流或短路故障排除后应自动或人工恢复正常工作状态。 </w:t>
      </w:r>
    </w:p>
    <w:p>
      <w:pPr>
        <w:numPr>
          <w:ilvl w:val="0"/>
          <w:numId w:val="78"/>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蓄电池欠压保护 </w:t>
      </w:r>
    </w:p>
    <w:p>
      <w:pPr>
        <w:numPr>
          <w:ilvl w:val="0"/>
          <w:numId w:val="78"/>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直流配电部分可以在蓄电池电压低于系统设定值时，自动一次或分次切断蓄电池输出，而在该设备的输出电压升高后应自动或人工再接入蓄电池。蓄电池欠压保护装置应设置在蓄电池支路，欠压保护动作时，蓄电池组受控脱离系统，负载和电源系统之间不应断开连接。同时需设有强制电池投入的控制开关，极端情况下可使电池持续放电状态以保障设备运行。</w:t>
      </w:r>
    </w:p>
    <w:p>
      <w:pPr>
        <w:numPr>
          <w:ilvl w:val="0"/>
          <w:numId w:val="78"/>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系统可以在蓄电池电压低于设定值时，自动切断蓄电池输出，当系统输出电压升高后应自动接入蓄电池。</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 xml:space="preserve">熔断器（或断路器）保护 </w:t>
      </w:r>
    </w:p>
    <w:p>
      <w:pPr>
        <w:numPr>
          <w:ilvl w:val="0"/>
          <w:numId w:val="79"/>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系统的交流输入分路应具有断路器保护装置。</w:t>
      </w:r>
    </w:p>
    <w:p>
      <w:pPr>
        <w:numPr>
          <w:ilvl w:val="0"/>
          <w:numId w:val="79"/>
        </w:numPr>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 xml:space="preserve">系统直流输出分路应具有熔断器（或断路器）保护装置，容量大于630A的直流输出分路可不设保护装置。 </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rPr>
        <w:t xml:space="preserve">温度过高保护 </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当系统所处的环境温度超过系统保护点时，系统应自动降额输出或停机。当环境温度下降到保护点后，系统应能自动恢复正常输出。</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通信电源远程监控模块</w:t>
      </w:r>
      <w:bookmarkEnd w:id="449"/>
      <w:bookmarkEnd w:id="450"/>
      <w:bookmarkEnd w:id="451"/>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kern w:val="0"/>
          <w:sz w:val="24"/>
          <w:szCs w:val="24"/>
        </w:rPr>
        <w:t>通信电源远程监控应满足《南方电网通信电源监控平台技术规范》的要求，通信电源系统提供以太网口（100Base-T）与监控主站之间通信。通信电源系统与监控主站之间采用TCP方式进行通讯，通信电源系统作为TCP服务端，监控系统作为TCP客户端。通信电源系统同时支持不少于4个监控系统同时访问。通信电源系统与监控系统通信之间采用DL/T860标准（IEC61850）上报数据，具体遥测、遥信、遥调、遥控量参照技术规范的要求，使用统一的监控名称及逻辑名称。</w:t>
      </w:r>
    </w:p>
    <w:p>
      <w:p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kern w:val="0"/>
          <w:sz w:val="24"/>
          <w:szCs w:val="24"/>
        </w:rPr>
        <w:t>通信电源远程监控模块应满足《南方电网通信电源监控系统技术规范》（Q/CSG1204027-2018）和《南方电网通信网管及业务应用系统安全防护技术规范》和《南方电网通信电源告警信号上送调度主站技术方案》</w:t>
      </w:r>
      <w:r>
        <w:rPr>
          <w:rFonts w:ascii="Times New Roman" w:hAnsi="Times New Roman"/>
          <w:color w:val="auto"/>
          <w:sz w:val="24"/>
          <w:szCs w:val="24"/>
        </w:rPr>
        <w:t>相关要求。</w:t>
      </w:r>
    </w:p>
    <w:p>
      <w:pPr>
        <w:adjustRightInd w:val="0"/>
        <w:snapToGrid w:val="0"/>
        <w:spacing w:line="360" w:lineRule="auto"/>
        <w:ind w:firstLine="480" w:firstLineChars="200"/>
        <w:jc w:val="left"/>
        <w:rPr>
          <w:rFonts w:ascii="Times New Roman" w:hAnsi="Times New Roman"/>
          <w:color w:val="auto"/>
          <w:sz w:val="24"/>
          <w:szCs w:val="24"/>
        </w:rPr>
      </w:pPr>
      <w:bookmarkStart w:id="459" w:name="_Toc19352"/>
      <w:r>
        <w:rPr>
          <w:rFonts w:ascii="Times New Roman" w:hAnsi="Times New Roman"/>
          <w:color w:val="auto"/>
          <w:sz w:val="24"/>
          <w:szCs w:val="24"/>
        </w:rPr>
        <w:t>8.3.4.8.1监控对象</w:t>
      </w:r>
      <w:bookmarkEnd w:id="459"/>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（1）逻辑设备</w:t>
      </w:r>
    </w:p>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表8.3.4.8-1 LD逻辑设备名称表</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3142"/>
        <w:gridCol w:w="4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序号</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名称</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逻辑设备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交流配电柜</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ACSWIB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2</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通信电源柜</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CPSS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3</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直流配电柜</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DCSWIB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4</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交直流配电柜</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ACDCSWIB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5</w:t>
            </w:r>
          </w:p>
        </w:tc>
        <w:tc>
          <w:tcPr>
            <w:tcW w:w="314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蓄电池</w:t>
            </w:r>
          </w:p>
        </w:tc>
        <w:tc>
          <w:tcPr>
            <w:tcW w:w="4638"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BTSE</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（2）逻辑节点</w:t>
      </w:r>
    </w:p>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表8.3.4.8-2 LN逻辑节点名称表</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690"/>
        <w:gridCol w:w="4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序号</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名称</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逻辑节点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1</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交流进线测量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aciGGIO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2</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交流母线测量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acbGGIO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3</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馈线开关</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fswGGIO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4</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1段馈线开关</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fsw1GGIO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5</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2段馈线开关</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fsw2GGIO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6</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馈线回路负载测量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flmGGIO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7</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1段馈线回路负载测量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flm1GGIO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8</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2段馈线回路负载测量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flm2GGIO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9</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直流母线测量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dbmGGIO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10</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直流进线测量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dciGGIO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11</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交流自动切换</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aasGGIO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12</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通用双头开关</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gdsGGIO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13</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通用开关</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gswGGIO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14</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蓄电池组测量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btgGGIO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15</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蓄电池节测量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celGGIO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16</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充电装置</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cheGGIO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17</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充电模块</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chmGGIO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18</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温度测量</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etmGGIO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lang w:bidi="ar"/>
              </w:rPr>
              <w:t>19</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总告警</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calmGGIO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20</w:t>
            </w:r>
          </w:p>
        </w:tc>
        <w:tc>
          <w:tcPr>
            <w:tcW w:w="369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蓄电池组放电装置</w:t>
            </w:r>
          </w:p>
        </w:tc>
        <w:tc>
          <w:tcPr>
            <w:tcW w:w="4591"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ncdGGIO</w:t>
            </w:r>
          </w:p>
        </w:tc>
      </w:tr>
    </w:tbl>
    <w:p>
      <w:pPr>
        <w:spacing w:line="360" w:lineRule="auto"/>
        <w:ind w:firstLine="480" w:firstLineChars="200"/>
        <w:jc w:val="center"/>
        <w:rPr>
          <w:rFonts w:ascii="Times New Roman" w:hAnsi="Times New Roman"/>
          <w:bCs/>
          <w:color w:val="auto"/>
          <w:sz w:val="24"/>
          <w:szCs w:val="24"/>
        </w:rPr>
      </w:pPr>
    </w:p>
    <w:p>
      <w:pPr>
        <w:adjustRightInd w:val="0"/>
        <w:snapToGrid w:val="0"/>
        <w:spacing w:line="360" w:lineRule="auto"/>
        <w:ind w:firstLine="482" w:firstLineChars="200"/>
        <w:jc w:val="left"/>
        <w:rPr>
          <w:rFonts w:ascii="Times New Roman" w:hAnsi="Times New Roman"/>
          <w:b/>
          <w:color w:val="auto"/>
          <w:sz w:val="24"/>
          <w:szCs w:val="24"/>
        </w:rPr>
      </w:pPr>
      <w:r>
        <w:rPr>
          <w:rFonts w:ascii="Times New Roman" w:hAnsi="Times New Roman"/>
          <w:b/>
          <w:color w:val="auto"/>
          <w:sz w:val="24"/>
          <w:szCs w:val="24"/>
        </w:rPr>
        <w:t>交流配电柜</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交流配电柜模型</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交流进线检测</w:t>
      </w:r>
    </w:p>
    <w:p>
      <w:pPr>
        <w:snapToGrid w:val="0"/>
        <w:spacing w:line="360" w:lineRule="auto"/>
        <w:ind w:firstLine="480" w:firstLineChars="200"/>
        <w:rPr>
          <w:rFonts w:ascii="Times New Roman" w:hAnsi="Times New Roman"/>
          <w:bCs/>
          <w:color w:val="auto"/>
          <w:sz w:val="24"/>
          <w:szCs w:val="24"/>
        </w:rPr>
      </w:pPr>
      <w:r>
        <w:rPr>
          <w:rFonts w:ascii="Times New Roman" w:hAnsi="Times New Roman"/>
          <w:bCs/>
          <w:color w:val="auto"/>
          <w:sz w:val="24"/>
          <w:szCs w:val="24"/>
        </w:rPr>
        <w:t>检测交流进线1#和交流进线2#输入电压测量值及其对应状态，实例化如下：</w:t>
      </w:r>
    </w:p>
    <w:p>
      <w:pPr>
        <w:pStyle w:val="701"/>
        <w:numPr>
          <w:ilvl w:val="0"/>
          <w:numId w:val="80"/>
        </w:numPr>
        <w:tabs>
          <w:tab w:val="left" w:pos="1620"/>
        </w:tabs>
        <w:snapToGrid w:val="0"/>
        <w:spacing w:line="360" w:lineRule="auto"/>
        <w:ind w:left="0" w:leftChars="0" w:firstLine="480" w:firstLineChars="200"/>
        <w:rPr>
          <w:rFonts w:ascii="Times New Roman"/>
          <w:bCs/>
          <w:color w:val="auto"/>
          <w:sz w:val="24"/>
          <w:szCs w:val="24"/>
        </w:rPr>
      </w:pPr>
      <w:r>
        <w:rPr>
          <w:rFonts w:ascii="Times New Roman"/>
          <w:bCs/>
          <w:color w:val="auto"/>
          <w:sz w:val="24"/>
          <w:szCs w:val="24"/>
        </w:rPr>
        <w:t>交流进线1#实例化为aciGGIO1(交流进线测量)、gswGGIO1(交流进线开关状态)逻辑节点对象。</w:t>
      </w:r>
    </w:p>
    <w:p>
      <w:pPr>
        <w:pStyle w:val="701"/>
        <w:numPr>
          <w:ilvl w:val="0"/>
          <w:numId w:val="80"/>
        </w:numPr>
        <w:tabs>
          <w:tab w:val="left" w:pos="1620"/>
        </w:tabs>
        <w:snapToGrid w:val="0"/>
        <w:spacing w:line="360" w:lineRule="auto"/>
        <w:ind w:left="0" w:leftChars="0" w:firstLine="480" w:firstLineChars="200"/>
        <w:rPr>
          <w:rFonts w:ascii="Times New Roman"/>
          <w:bCs/>
          <w:color w:val="auto"/>
          <w:sz w:val="24"/>
          <w:szCs w:val="24"/>
        </w:rPr>
      </w:pPr>
      <w:r>
        <w:rPr>
          <w:rFonts w:ascii="Times New Roman"/>
          <w:bCs/>
          <w:color w:val="auto"/>
          <w:sz w:val="24"/>
          <w:szCs w:val="24"/>
        </w:rPr>
        <w:t>交流进线2#实例化为aciGGIO2 (交流进线测量)、gswGGIO2(交流进线开关状态)逻辑节点对象。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交流母线状态检测</w:t>
      </w:r>
    </w:p>
    <w:p>
      <w:pPr>
        <w:snapToGrid w:val="0"/>
        <w:spacing w:line="360" w:lineRule="auto"/>
        <w:ind w:firstLine="480" w:firstLineChars="200"/>
        <w:rPr>
          <w:rFonts w:ascii="Times New Roman" w:hAnsi="Times New Roman"/>
          <w:bCs/>
          <w:color w:val="auto"/>
          <w:sz w:val="24"/>
          <w:szCs w:val="24"/>
        </w:rPr>
      </w:pPr>
      <w:r>
        <w:rPr>
          <w:rFonts w:ascii="Times New Roman" w:hAnsi="Times New Roman"/>
          <w:bCs/>
          <w:color w:val="auto"/>
          <w:sz w:val="24"/>
          <w:szCs w:val="24"/>
        </w:rPr>
        <w:t>检测交流母线1#和交流母线2#的电压、电流、运行状态，可实例化如下：</w:t>
      </w:r>
    </w:p>
    <w:p>
      <w:pPr>
        <w:pStyle w:val="701"/>
        <w:numPr>
          <w:ilvl w:val="0"/>
          <w:numId w:val="81"/>
        </w:numPr>
        <w:tabs>
          <w:tab w:val="left" w:pos="1620"/>
        </w:tabs>
        <w:spacing w:line="360" w:lineRule="auto"/>
        <w:ind w:left="0" w:leftChars="0" w:firstLine="480" w:firstLineChars="200"/>
        <w:rPr>
          <w:rFonts w:ascii="Times New Roman"/>
          <w:bCs/>
          <w:color w:val="auto"/>
          <w:sz w:val="24"/>
          <w:szCs w:val="24"/>
        </w:rPr>
      </w:pPr>
      <w:r>
        <w:rPr>
          <w:rFonts w:ascii="Times New Roman"/>
          <w:bCs/>
          <w:color w:val="auto"/>
          <w:sz w:val="24"/>
          <w:szCs w:val="24"/>
        </w:rPr>
        <w:t>交流母线1#采用acbGGIO1(交流母线测量) 逻辑节点。</w:t>
      </w:r>
    </w:p>
    <w:p>
      <w:pPr>
        <w:pStyle w:val="701"/>
        <w:numPr>
          <w:ilvl w:val="0"/>
          <w:numId w:val="81"/>
        </w:numPr>
        <w:tabs>
          <w:tab w:val="left" w:pos="1620"/>
        </w:tabs>
        <w:spacing w:line="360" w:lineRule="auto"/>
        <w:ind w:left="0" w:leftChars="0" w:firstLine="480" w:firstLineChars="200"/>
        <w:rPr>
          <w:rFonts w:ascii="Times New Roman"/>
          <w:bCs/>
          <w:color w:val="auto"/>
          <w:sz w:val="24"/>
          <w:szCs w:val="24"/>
        </w:rPr>
      </w:pPr>
      <w:r>
        <w:rPr>
          <w:rFonts w:ascii="Times New Roman"/>
          <w:bCs/>
          <w:color w:val="auto"/>
          <w:sz w:val="24"/>
          <w:szCs w:val="24"/>
        </w:rPr>
        <w:t>交流母线2#采用acbGGIO2(交流母线测量) 逻辑节点。</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交流馈线状态检测及控制</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检测每回馈线的开关位置、负载电流、开关脱扣报警或熔断器报警，以确定馈线回路的运行状态，可实例化如下：</w:t>
      </w:r>
    </w:p>
    <w:p>
      <w:pPr>
        <w:pStyle w:val="701"/>
        <w:numPr>
          <w:ilvl w:val="0"/>
          <w:numId w:val="82"/>
        </w:numPr>
        <w:tabs>
          <w:tab w:val="left" w:pos="1620"/>
        </w:tabs>
        <w:spacing w:line="360" w:lineRule="auto"/>
        <w:ind w:left="0" w:leftChars="0" w:firstLine="480" w:firstLineChars="200"/>
        <w:rPr>
          <w:rFonts w:ascii="Times New Roman"/>
          <w:bCs/>
          <w:color w:val="auto"/>
          <w:sz w:val="24"/>
          <w:szCs w:val="24"/>
        </w:rPr>
      </w:pPr>
      <w:r>
        <w:rPr>
          <w:rFonts w:ascii="Times New Roman"/>
          <w:bCs/>
          <w:color w:val="auto"/>
          <w:sz w:val="24"/>
          <w:szCs w:val="24"/>
        </w:rPr>
        <w:t>交流馈线1#采用fsw1GGIO(馈线开关) 逻辑节点。</w:t>
      </w:r>
    </w:p>
    <w:p>
      <w:pPr>
        <w:pStyle w:val="701"/>
        <w:numPr>
          <w:ilvl w:val="0"/>
          <w:numId w:val="82"/>
        </w:numPr>
        <w:tabs>
          <w:tab w:val="left" w:pos="1620"/>
        </w:tabs>
        <w:spacing w:line="360" w:lineRule="auto"/>
        <w:ind w:left="0" w:leftChars="0" w:firstLine="480" w:firstLineChars="200"/>
        <w:rPr>
          <w:rFonts w:ascii="Times New Roman"/>
          <w:bCs/>
          <w:color w:val="auto"/>
          <w:sz w:val="24"/>
          <w:szCs w:val="24"/>
        </w:rPr>
      </w:pPr>
      <w:r>
        <w:rPr>
          <w:rFonts w:ascii="Times New Roman"/>
          <w:bCs/>
          <w:color w:val="auto"/>
          <w:sz w:val="24"/>
          <w:szCs w:val="24"/>
        </w:rPr>
        <w:t>交流馈线2#采用fsw2GGIO(馈线开关) 逻辑节点。</w:t>
      </w:r>
    </w:p>
    <w:p>
      <w:pPr>
        <w:spacing w:line="360" w:lineRule="auto"/>
        <w:rPr>
          <w:rFonts w:ascii="Times New Roman" w:hAnsi="Times New Roman"/>
          <w:bCs/>
          <w:color w:val="auto"/>
          <w:sz w:val="24"/>
          <w:szCs w:val="24"/>
        </w:rPr>
      </w:pPr>
      <w:r>
        <w:rPr>
          <w:rFonts w:ascii="Times New Roman" w:hAnsi="Times New Roman"/>
          <w:bCs/>
          <w:color w:val="auto"/>
          <w:sz w:val="24"/>
          <w:szCs w:val="24"/>
        </w:rPr>
        <w:object>
          <v:shape id="_x0000_i1026" o:spt="75" type="#_x0000_t75" style="height:194.6pt;width:464.8pt;" o:ole="t" filled="f" o:preferrelative="t" stroked="f" coordsize="21600,21600">
            <v:path/>
            <v:fill on="f" focussize="0,0"/>
            <v:stroke on="f" joinstyle="miter"/>
            <v:imagedata r:id="rId33" o:title=""/>
            <o:lock v:ext="edit" aspectratio="t"/>
            <w10:wrap type="none"/>
            <w10:anchorlock/>
          </v:shape>
          <o:OLEObject Type="Embed" ProgID="Visio.Drawing.11" ShapeID="_x0000_i1026" DrawAspect="Content" ObjectID="_1468075726" r:id="rId32">
            <o:LockedField>false</o:LockedField>
          </o:OLEObject>
        </w:object>
      </w:r>
      <w:r>
        <w:rPr>
          <w:rFonts w:ascii="Times New Roman" w:hAnsi="Times New Roman"/>
          <w:bCs/>
          <w:color w:val="auto"/>
          <w:sz w:val="24"/>
          <w:szCs w:val="24"/>
        </w:rPr>
        <w:t xml:space="preserve">                              </w:t>
      </w:r>
    </w:p>
    <w:p>
      <w:pPr>
        <w:pStyle w:val="84"/>
        <w:numPr>
          <w:ilvl w:val="0"/>
          <w:numId w:val="0"/>
        </w:numPr>
        <w:tabs>
          <w:tab w:val="left" w:pos="360"/>
          <w:tab w:val="left" w:pos="420"/>
          <w:tab w:val="left" w:pos="425"/>
          <w:tab w:val="left" w:pos="780"/>
        </w:tabs>
        <w:spacing w:beforeLines="0" w:afterLines="0" w:line="360" w:lineRule="auto"/>
        <w:rPr>
          <w:rFonts w:ascii="Times New Roman" w:eastAsia="宋体" w:cs="Times New Roman"/>
          <w:b/>
          <w:bCs/>
          <w:color w:val="auto"/>
          <w:sz w:val="24"/>
          <w:szCs w:val="24"/>
        </w:rPr>
      </w:pPr>
      <w:r>
        <w:rPr>
          <w:rFonts w:ascii="Times New Roman" w:eastAsia="宋体" w:cs="Times New Roman"/>
          <w:color w:val="auto"/>
          <w:sz w:val="24"/>
          <w:szCs w:val="24"/>
        </w:rPr>
        <w:t xml:space="preserve">图8.3.4.8-1 </w:t>
      </w:r>
      <w:r>
        <w:rPr>
          <w:rFonts w:ascii="Times New Roman" w:eastAsia="宋体" w:cs="Times New Roman"/>
          <w:b/>
          <w:bCs/>
          <w:color w:val="auto"/>
          <w:sz w:val="24"/>
          <w:szCs w:val="24"/>
        </w:rPr>
        <w:t>交流配电柜模型图</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交流配电柜遥测量</w:t>
      </w:r>
    </w:p>
    <w:p>
      <w:pPr>
        <w:pStyle w:val="159"/>
        <w:snapToGrid w:val="0"/>
        <w:spacing w:line="360" w:lineRule="auto"/>
        <w:jc w:val="center"/>
        <w:rPr>
          <w:bCs/>
          <w:color w:val="auto"/>
          <w:szCs w:val="24"/>
        </w:rPr>
      </w:pPr>
      <w:r>
        <w:rPr>
          <w:color w:val="auto"/>
          <w:szCs w:val="24"/>
        </w:rPr>
        <w:t>表8.3.4.8-3</w:t>
      </w:r>
      <w:r>
        <w:rPr>
          <w:bCs/>
          <w:color w:val="auto"/>
          <w:szCs w:val="24"/>
        </w:rPr>
        <w:t xml:space="preserve"> 交流配电柜遥测量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503"/>
        <w:gridCol w:w="1843"/>
        <w:gridCol w:w="4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pStyle w:val="159"/>
              <w:overflowPunct/>
              <w:autoSpaceDE/>
              <w:autoSpaceDN/>
              <w:adjustRightInd/>
              <w:spacing w:line="360" w:lineRule="auto"/>
              <w:jc w:val="center"/>
              <w:rPr>
                <w:b/>
                <w:color w:val="auto"/>
                <w:szCs w:val="24"/>
              </w:rPr>
            </w:pPr>
            <w:r>
              <w:rPr>
                <w:b/>
                <w:color w:val="auto"/>
                <w:szCs w:val="24"/>
              </w:rPr>
              <w:t>序号</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采集量</w:t>
            </w:r>
          </w:p>
        </w:tc>
        <w:tc>
          <w:tcPr>
            <w:tcW w:w="4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第1路交流A相输入电压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第1路交流A相输入电流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第1路交流B相输入电压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第1路交流B相输入电流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第1路交流C相输入电压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第1路交流C相输入电流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ACSWIB/aciGGIO1$MX$ AnIn6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第2路交流A相输入电压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第2路交流A相输入电流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第2路交流B相输入电压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10</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第2路交流B相输入电流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11</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第2路交流C相输入电压</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12</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第2路交流C相输入电流</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13</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交流配电柜温度</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机柜温度值</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ACSWIB/etmGGIO1$MX$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14</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交流电压告警阈值上限</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15</w:t>
            </w:r>
          </w:p>
        </w:tc>
        <w:tc>
          <w:tcPr>
            <w:tcW w:w="25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交流电压告警阈值下限</w:t>
            </w:r>
          </w:p>
        </w:tc>
        <w:tc>
          <w:tcPr>
            <w:tcW w:w="184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417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ACSWIB/aciGGIO2$MX$ AnIn8</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交流配电柜遥信量</w:t>
      </w:r>
    </w:p>
    <w:p>
      <w:pPr>
        <w:pStyle w:val="159"/>
        <w:snapToGrid w:val="0"/>
        <w:spacing w:line="360" w:lineRule="auto"/>
        <w:jc w:val="center"/>
        <w:rPr>
          <w:bCs/>
          <w:color w:val="auto"/>
          <w:szCs w:val="24"/>
        </w:rPr>
      </w:pPr>
      <w:r>
        <w:rPr>
          <w:color w:val="auto"/>
          <w:szCs w:val="24"/>
        </w:rPr>
        <w:t>表8.3.4.8-4</w:t>
      </w:r>
      <w:r>
        <w:rPr>
          <w:bCs/>
          <w:color w:val="auto"/>
          <w:szCs w:val="24"/>
        </w:rPr>
        <w:t xml:space="preserve"> 交流配电柜遥信量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45"/>
        <w:gridCol w:w="2259"/>
        <w:gridCol w:w="1080"/>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序号</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告警说明</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告警级别</w:t>
            </w:r>
          </w:p>
        </w:tc>
        <w:tc>
          <w:tcPr>
            <w:tcW w:w="31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交流输入1停电</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三相电压均小于告警值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紧急</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ACSWIB/acbGGIO1$ST$Ind1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交流输入2停电</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三相电压均小于告警值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紧急</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ACSWIB/acbGGIO2$ST$Ind1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3</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交流输入1防雷器故障</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防雷电路有故障</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4</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交流输入2防雷器故障</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防雷电路有故障</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5</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第1路交流输入开关跳闸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第1路交流输入空开跳闸</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ACSWIB/gswGGIO1$ST$Alm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6</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第2路交流输入开关跳闸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第2路交流输入空开跳闸</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ACSWIB/gswGGIO2$ST$Alm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7</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8</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9</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10</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11</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12</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13</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14</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15</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16</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17</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第2路交流C相过压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第2路交流C相输入电压大于交流过压告警值。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18</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第2路交流C相欠压</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第2路交流C相输入电压小于交流欠压告警值。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19</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20</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21</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ACSWIB/aciGGIO1$ST$Ind9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22</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23</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24</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第2路交流C相缺相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第2路交流单相电压低于告警阈值。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ACSWIB/aciGGIO2$ST$Ind9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25</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交流监控单元故障</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监控单元硬件故障，或者采集交流数据失败</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ACSWIB/acbGGIO1$ST$Ind2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26</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1段交流母线输出开关1~N跳闸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1段交流母线输出开关1~n跳闸</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ACSWIB/fsw1GGIO1~n$ST$Alm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27</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2段交流母线输出开关1~N跳闸</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2段交流母线输出开关1~n跳闸</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ACSWIB/fsw2GGI01~n$ST$Alm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28</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交流配电柜总告警</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任一交流配电柜相关告警产生</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ACSWIB/calmGGIO1$ST$Alm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29</w:t>
            </w:r>
          </w:p>
        </w:tc>
        <w:tc>
          <w:tcPr>
            <w:tcW w:w="214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交流配电柜温度告警</w:t>
            </w:r>
          </w:p>
        </w:tc>
        <w:tc>
          <w:tcPr>
            <w:tcW w:w="22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交流配电柜环境温度高于告警值</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20"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ACSWIB/etmGGIO1$ST$Alm</w:t>
            </w:r>
          </w:p>
        </w:tc>
      </w:tr>
    </w:tbl>
    <w:p>
      <w:pPr>
        <w:spacing w:line="360" w:lineRule="auto"/>
        <w:ind w:firstLine="480" w:firstLineChars="200"/>
        <w:rPr>
          <w:rFonts w:ascii="Times New Roman" w:hAnsi="Times New Roman"/>
          <w:bCs/>
          <w:color w:val="auto"/>
          <w:sz w:val="24"/>
          <w:szCs w:val="24"/>
        </w:rPr>
      </w:pPr>
      <w:r>
        <w:rPr>
          <w:rFonts w:ascii="Times New Roman" w:hAnsi="Times New Roman"/>
          <w:bCs/>
          <w:color w:val="auto"/>
          <w:sz w:val="24"/>
          <w:szCs w:val="24"/>
        </w:rPr>
        <w:t>注：其中“0”代表正常、“1”代表异常。</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高频开关电源柜</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高频开关电源柜模型</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交流进线检测</w:t>
      </w:r>
    </w:p>
    <w:p>
      <w:pPr>
        <w:numPr>
          <w:ilvl w:val="0"/>
          <w:numId w:val="83"/>
        </w:numPr>
        <w:snapToGrid w:val="0"/>
        <w:spacing w:line="360" w:lineRule="auto"/>
        <w:ind w:left="0" w:firstLine="480" w:firstLineChars="200"/>
        <w:rPr>
          <w:rFonts w:ascii="Times New Roman" w:hAnsi="Times New Roman"/>
          <w:bCs/>
          <w:color w:val="auto"/>
          <w:sz w:val="24"/>
          <w:szCs w:val="24"/>
        </w:rPr>
      </w:pPr>
      <w:r>
        <w:rPr>
          <w:rFonts w:ascii="Times New Roman" w:hAnsi="Times New Roman"/>
          <w:bCs/>
          <w:color w:val="auto"/>
          <w:sz w:val="24"/>
          <w:szCs w:val="24"/>
        </w:rPr>
        <w:t>交流进线1#实例化为aciGGIO1(交流进线测量)、gswGGIO1(交流进线开关状态)逻辑节点对象。</w:t>
      </w:r>
    </w:p>
    <w:p>
      <w:pPr>
        <w:numPr>
          <w:ilvl w:val="0"/>
          <w:numId w:val="83"/>
        </w:numPr>
        <w:snapToGrid w:val="0"/>
        <w:spacing w:line="360" w:lineRule="auto"/>
        <w:ind w:left="0" w:firstLine="480" w:firstLineChars="200"/>
        <w:rPr>
          <w:rFonts w:ascii="Times New Roman" w:hAnsi="Times New Roman"/>
          <w:bCs/>
          <w:color w:val="auto"/>
          <w:sz w:val="24"/>
          <w:szCs w:val="24"/>
        </w:rPr>
      </w:pPr>
      <w:r>
        <w:rPr>
          <w:rFonts w:ascii="Times New Roman" w:hAnsi="Times New Roman"/>
          <w:bCs/>
          <w:color w:val="auto"/>
          <w:sz w:val="24"/>
          <w:szCs w:val="24"/>
        </w:rPr>
        <w:t>交流进线2#实例化为aciGGIO2 (交流进线测量)、gswGGIO2(交流进线开关状态) 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交流自动切换</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检测交流切换装置的控制逻辑，交流进线1#与交流进线2#的自动切换，实例化如下：交流自动切换装置实例化为aasGGIO1(交流自动切换)、gdsGGIO1(通用双投开关) 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充电装置运行状态检测及控制</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检测充电装置输出电压、运行状态及充电装置开关机、均浮充控制，实例化如下：充电装置实例化为chmGGIO1(充电模块)、cheGGIO1(充电装置) 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蓄电池组检测</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检测蓄电池组电压、电流、环境温度、开关或熔断器位置、报警信号，实例化如下：</w:t>
      </w:r>
    </w:p>
    <w:p>
      <w:pPr>
        <w:numPr>
          <w:ilvl w:val="0"/>
          <w:numId w:val="84"/>
        </w:numPr>
        <w:snapToGrid w:val="0"/>
        <w:spacing w:line="360" w:lineRule="auto"/>
        <w:ind w:left="0" w:firstLine="480" w:firstLineChars="200"/>
        <w:rPr>
          <w:rFonts w:ascii="Times New Roman" w:hAnsi="Times New Roman"/>
          <w:bCs/>
          <w:color w:val="auto"/>
          <w:sz w:val="24"/>
          <w:szCs w:val="24"/>
        </w:rPr>
      </w:pPr>
      <w:r>
        <w:rPr>
          <w:rFonts w:ascii="Times New Roman" w:hAnsi="Times New Roman"/>
          <w:bCs/>
          <w:color w:val="auto"/>
          <w:sz w:val="24"/>
          <w:szCs w:val="24"/>
        </w:rPr>
        <w:t>蓄电池组实例化为btgGGIO1(蓄电池组状态) 逻辑节点对象。</w:t>
      </w:r>
    </w:p>
    <w:p>
      <w:pPr>
        <w:numPr>
          <w:ilvl w:val="0"/>
          <w:numId w:val="84"/>
        </w:numPr>
        <w:snapToGrid w:val="0"/>
        <w:spacing w:line="360" w:lineRule="auto"/>
        <w:ind w:left="0" w:firstLine="480" w:firstLineChars="200"/>
        <w:rPr>
          <w:rFonts w:ascii="Times New Roman" w:hAnsi="Times New Roman"/>
          <w:bCs/>
          <w:color w:val="auto"/>
          <w:sz w:val="24"/>
          <w:szCs w:val="24"/>
        </w:rPr>
      </w:pPr>
      <w:r>
        <w:rPr>
          <w:rFonts w:ascii="Times New Roman" w:hAnsi="Times New Roman"/>
          <w:bCs/>
          <w:color w:val="auto"/>
          <w:sz w:val="24"/>
          <w:szCs w:val="24"/>
        </w:rPr>
        <w:t>欠压保护开关实例化为gswGGIO3(通用开关) 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直流母线状态检测</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检测直流母线电压、总负载电流、直流母线运行状态与以下信号有关：母线的电压、电流、过压报警、欠压报警，实例化如下：直流母线采用dbmGGIO1(直流母线测量) 逻辑节点对象。</w:t>
      </w:r>
    </w:p>
    <w:p>
      <w:pPr>
        <w:adjustRightInd w:val="0"/>
        <w:snapToGrid w:val="0"/>
        <w:spacing w:line="360" w:lineRule="auto"/>
        <w:ind w:left="420" w:leftChars="200" w:firstLine="480" w:firstLineChars="200"/>
        <w:jc w:val="left"/>
        <w:rPr>
          <w:rFonts w:ascii="Times New Roman" w:hAnsi="Times New Roman"/>
          <w:color w:val="auto"/>
          <w:sz w:val="24"/>
          <w:szCs w:val="24"/>
        </w:rPr>
      </w:pPr>
      <w:r>
        <w:rPr>
          <w:rFonts w:ascii="Times New Roman" w:hAnsi="Times New Roman"/>
          <w:color w:val="auto"/>
          <w:sz w:val="24"/>
          <w:szCs w:val="24"/>
        </w:rPr>
        <w:t>直流馈线状态检测及控制</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检测每回馈线的开关位置、负载电流、开关脱扣报警或熔断器报警，以确定馈线回路的运行状态，实例化如下：馈线采用flmGGIO1(馈线回路负载测量)、fswGGIO1(馈线开关) 逻辑节点对象。</w:t>
      </w:r>
    </w:p>
    <w:p>
      <w:pPr>
        <w:spacing w:line="360" w:lineRule="auto"/>
        <w:ind w:firstLine="480" w:firstLineChars="200"/>
        <w:rPr>
          <w:rFonts w:ascii="Times New Roman" w:hAnsi="Times New Roman"/>
          <w:bCs/>
          <w:color w:val="auto"/>
          <w:sz w:val="24"/>
          <w:szCs w:val="24"/>
        </w:rPr>
      </w:pPr>
      <w:r>
        <w:rPr>
          <w:rFonts w:ascii="Times New Roman" w:hAnsi="Times New Roman"/>
          <w:bCs/>
          <w:color w:val="auto"/>
          <w:sz w:val="24"/>
          <w:szCs w:val="24"/>
        </w:rPr>
        <w:object>
          <v:shape id="_x0000_i1027" o:spt="75" type="#_x0000_t75" style="height:349.3pt;width:444.85pt;" o:ole="t" filled="f" o:preferrelative="t" stroked="f" coordsize="21600,21600">
            <v:path/>
            <v:fill on="f" focussize="0,0"/>
            <v:stroke on="f" joinstyle="miter"/>
            <v:imagedata r:id="rId35" o:title=""/>
            <o:lock v:ext="edit" aspectratio="t"/>
            <w10:wrap type="none"/>
            <w10:anchorlock/>
          </v:shape>
          <o:OLEObject Type="Embed" ProgID="Visio.Drawing.11" ShapeID="_x0000_i1027" DrawAspect="Content" ObjectID="_1468075727" r:id="rId34">
            <o:LockedField>false</o:LockedField>
          </o:OLEObject>
        </w:object>
      </w:r>
    </w:p>
    <w:p>
      <w:pPr>
        <w:spacing w:line="360" w:lineRule="auto"/>
        <w:jc w:val="center"/>
        <w:rPr>
          <w:rFonts w:ascii="Times New Roman" w:hAnsi="Times New Roman"/>
          <w:bCs/>
          <w:color w:val="auto"/>
          <w:sz w:val="24"/>
          <w:szCs w:val="24"/>
        </w:rPr>
      </w:pPr>
      <w:r>
        <w:rPr>
          <w:rFonts w:ascii="Times New Roman" w:hAnsi="Times New Roman"/>
          <w:color w:val="auto"/>
          <w:sz w:val="24"/>
          <w:szCs w:val="24"/>
        </w:rPr>
        <w:t>图8.3.4.8-2</w:t>
      </w:r>
      <w:r>
        <w:rPr>
          <w:rFonts w:ascii="Times New Roman" w:hAnsi="Times New Roman"/>
          <w:bCs/>
          <w:color w:val="auto"/>
          <w:sz w:val="24"/>
          <w:szCs w:val="24"/>
        </w:rPr>
        <w:t xml:space="preserve"> 通信电源柜模型图</w:t>
      </w:r>
    </w:p>
    <w:p>
      <w:pPr>
        <w:adjustRightIn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通信电源柜遥测量</w:t>
      </w:r>
    </w:p>
    <w:p>
      <w:pPr>
        <w:pStyle w:val="159"/>
        <w:spacing w:line="360" w:lineRule="auto"/>
        <w:jc w:val="center"/>
        <w:rPr>
          <w:bCs/>
          <w:color w:val="auto"/>
          <w:szCs w:val="24"/>
        </w:rPr>
      </w:pPr>
      <w:r>
        <w:rPr>
          <w:color w:val="auto"/>
          <w:szCs w:val="24"/>
        </w:rPr>
        <w:t>表8.3.4.8-5</w:t>
      </w:r>
      <w:r>
        <w:rPr>
          <w:bCs/>
          <w:color w:val="auto"/>
          <w:szCs w:val="24"/>
        </w:rPr>
        <w:t xml:space="preserve"> 通信电源柜遥测量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772"/>
        <w:gridCol w:w="1755"/>
        <w:gridCol w:w="3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采集量</w:t>
            </w:r>
          </w:p>
        </w:tc>
        <w:tc>
          <w:tcPr>
            <w:tcW w:w="363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第2路交流C相输入电压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交流A相输出电压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交流B相输出电压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交流C相输出电压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10</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交流A相输出电流</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11</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交流B相输出电流</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12</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交流C相输出电流</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CPSS/acbGGIO1$MX$ AnIn6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13</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CPSS/dbmGGIO1$MX$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14</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负载电流</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CPSS/dbmGGIO1$MX$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15</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蓄电池组充电电流</w:t>
            </w:r>
          </w:p>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（-表示放电、+表示充电）</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CPSS/btgGGIO1$MX$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16</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电池充电限流值</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CPSS/cheGGIO1$MX$ AnIn4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17</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均充电压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18</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浮充电压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19</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电池组n端电压</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CPSS/btgGGIO1~n$MX$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20</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高频开关电源柜温度</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温度值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CPSS/etmGGIO1$MX$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21</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模块n输出电流</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CPSS/chmGGIO1~n$MX$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22</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交流电压告警阈值上限</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CPSS/aciGGIO1$MX$ AnIn7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23</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交流电压告警阈值下限</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CPSS/aciGGIO1$MX$ AnIn8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24</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直流输出电压告警阈值上限</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CPSS/dbmGGIO1$MX$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0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25</w:t>
            </w:r>
          </w:p>
        </w:tc>
        <w:tc>
          <w:tcPr>
            <w:tcW w:w="27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直流输出电压告警阈值下限</w:t>
            </w:r>
          </w:p>
        </w:tc>
        <w:tc>
          <w:tcPr>
            <w:tcW w:w="17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630"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CPSS/dbmGGIO1$MX$ AnIn4</w:t>
            </w:r>
          </w:p>
        </w:tc>
      </w:tr>
    </w:tbl>
    <w:p>
      <w:pPr>
        <w:adjustRightInd w:val="0"/>
        <w:snapToGrid w:val="0"/>
        <w:spacing w:line="360" w:lineRule="auto"/>
        <w:ind w:firstLine="480" w:firstLineChars="200"/>
        <w:jc w:val="left"/>
        <w:rPr>
          <w:rFonts w:ascii="Times New Roman" w:hAnsi="Times New Roman"/>
          <w:bCs/>
          <w:color w:val="auto"/>
          <w:sz w:val="24"/>
          <w:szCs w:val="24"/>
        </w:rPr>
      </w:pPr>
      <w:r>
        <w:rPr>
          <w:rFonts w:ascii="Times New Roman" w:hAnsi="Times New Roman"/>
          <w:color w:val="auto"/>
          <w:sz w:val="24"/>
          <w:szCs w:val="24"/>
        </w:rPr>
        <w:t>通信电源柜遥信量</w:t>
      </w:r>
    </w:p>
    <w:p>
      <w:pPr>
        <w:pStyle w:val="159"/>
        <w:snapToGrid w:val="0"/>
        <w:spacing w:line="360" w:lineRule="auto"/>
        <w:jc w:val="center"/>
        <w:rPr>
          <w:bCs/>
          <w:color w:val="auto"/>
          <w:szCs w:val="24"/>
        </w:rPr>
      </w:pPr>
      <w:r>
        <w:rPr>
          <w:color w:val="auto"/>
          <w:szCs w:val="24"/>
        </w:rPr>
        <w:t>表8.3.4.8-6</w:t>
      </w:r>
      <w:r>
        <w:rPr>
          <w:bCs/>
          <w:color w:val="auto"/>
          <w:szCs w:val="24"/>
        </w:rPr>
        <w:t xml:space="preserve">  </w:t>
      </w:r>
      <w:r>
        <w:rPr>
          <w:color w:val="auto"/>
          <w:szCs w:val="24"/>
        </w:rPr>
        <w:t>通信电源</w:t>
      </w:r>
      <w:r>
        <w:rPr>
          <w:bCs/>
          <w:color w:val="auto"/>
          <w:szCs w:val="24"/>
        </w:rPr>
        <w:t>柜遥信量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03"/>
        <w:gridCol w:w="2250"/>
        <w:gridCol w:w="1110"/>
        <w:gridCol w:w="3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告警说明</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告警级别</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交流输入1停电</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交流1输入三相电压均小于告警值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紧急</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交流输入2停电</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交流2输入三相电压均小于告警值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紧急</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交流输入1防雷器故障</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防雷电路故障</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交流输入2防雷器故障</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防雷电路故障</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第1路交流输入开关跳闸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第1路交流输入空开跳闸</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CPSS/gswGGIO1$ST$Alm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第2路交流输入开关跳闸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第2路交流输入空开跳闸</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CPSS/gswGGIO2$ST$Alm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10</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11</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12</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13</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14</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15</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16</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17</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第2路交流C相过压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第2路交流C相输入电压大于交流过压告警值。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18</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第2路交流C相欠压</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第2路交流C相输入电压小于交流欠压告警值。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19</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第1路交流A相电压低于告警阈值。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20</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第1路交流B相电压低于告警阈值。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21</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第1路交流C相电压低于告警阈值。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CPSS/aciGGIO1$ST$Ind9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22</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第2路交流A相电压低于告警阈值。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23</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第2路交流B相电压低于告警阈值。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24</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第2路交流C相缺相</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第2路交流C相电压低于告警阈值。</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CPSS/aciGGIO2$ST$Ind9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25</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监控单元故障</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监控单元硬件故障，或者采集交流/直流数据失败</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CPSS/acbGGIO1$ST$Ind2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26</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模块N开/关机（“0”代表开机，“1”代表关机）</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1~n模块开/关机状态</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CPSS/chmGGIO1~n$ST$Ind2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27</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模块N故障</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1~n模块故障状态</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CPSS/chmGGIO1~n$ST$Ind1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28</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高频开关电源柜总告警</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任一高频开关电源柜相关告警产生</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CPSS/calmGGIO1$ST$Alm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29</w:t>
            </w:r>
          </w:p>
        </w:tc>
        <w:tc>
          <w:tcPr>
            <w:tcW w:w="2003"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直流输出过压</w:t>
            </w:r>
          </w:p>
        </w:tc>
        <w:tc>
          <w:tcPr>
            <w:tcW w:w="2250"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直流输出电压大于直流过压告警值</w:t>
            </w:r>
          </w:p>
        </w:tc>
        <w:tc>
          <w:tcPr>
            <w:tcW w:w="1110"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CPSS/dbmGGIO1$ST$Ind1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30</w:t>
            </w:r>
          </w:p>
        </w:tc>
        <w:tc>
          <w:tcPr>
            <w:tcW w:w="2003"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直流输出欠压</w:t>
            </w:r>
          </w:p>
        </w:tc>
        <w:tc>
          <w:tcPr>
            <w:tcW w:w="2250"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直流输出电压小于直流欠压告警值</w:t>
            </w:r>
          </w:p>
        </w:tc>
        <w:tc>
          <w:tcPr>
            <w:tcW w:w="1110"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CPSS/dbmGGIO1$ST$Ind2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31</w:t>
            </w:r>
          </w:p>
        </w:tc>
        <w:tc>
          <w:tcPr>
            <w:tcW w:w="2003"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电池组下电保护告警</w:t>
            </w:r>
          </w:p>
        </w:tc>
        <w:tc>
          <w:tcPr>
            <w:tcW w:w="2250"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电池组电压过低，自动保护脱离系统</w:t>
            </w:r>
          </w:p>
        </w:tc>
        <w:tc>
          <w:tcPr>
            <w:tcW w:w="1110"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CPSS/btgGGIO1$ST$Ind4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32</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电池组N熔丝告警</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电池组n熔丝状态</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CPSS/gswGGIO(3+n)$ST$Alm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33</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负载熔丝状态</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供直流配电柜的负载熔丝状态</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CPSS/gswGGIO3$ST$Alm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34</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均/浮充状态</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高频开关电源柜处于均充/浮充</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CPSS/cheGGIO$ST$Ind1</w:t>
            </w:r>
          </w:p>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（“0”是浮充“1”是均充）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4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35</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在用交流输入路数</w:t>
            </w:r>
          </w:p>
        </w:tc>
        <w:tc>
          <w:tcPr>
            <w:tcW w:w="22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系统主用交流</w:t>
            </w:r>
          </w:p>
        </w:tc>
        <w:tc>
          <w:tcPr>
            <w:tcW w:w="11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1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gdsGGIO1$ST$IntIn</w:t>
            </w:r>
          </w:p>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“1”代表第1路交流输入在用，“2”代表第2路交流输入在用，“3”代表交流输入全部中断</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通信电源柜遥控量</w:t>
      </w:r>
    </w:p>
    <w:p>
      <w:pPr>
        <w:pStyle w:val="159"/>
        <w:snapToGrid w:val="0"/>
        <w:spacing w:line="360" w:lineRule="auto"/>
        <w:jc w:val="center"/>
        <w:rPr>
          <w:bCs/>
          <w:color w:val="auto"/>
          <w:szCs w:val="24"/>
        </w:rPr>
      </w:pPr>
      <w:r>
        <w:rPr>
          <w:color w:val="auto"/>
          <w:szCs w:val="24"/>
        </w:rPr>
        <w:t>表8.3.4.8-7</w:t>
      </w:r>
      <w:r>
        <w:rPr>
          <w:bCs/>
          <w:color w:val="auto"/>
          <w:szCs w:val="24"/>
        </w:rPr>
        <w:t xml:space="preserve">  </w:t>
      </w:r>
      <w:r>
        <w:rPr>
          <w:color w:val="auto"/>
          <w:szCs w:val="24"/>
        </w:rPr>
        <w:t>通信电源</w:t>
      </w:r>
      <w:r>
        <w:rPr>
          <w:bCs/>
          <w:color w:val="auto"/>
          <w:szCs w:val="24"/>
        </w:rPr>
        <w:t>柜遥控量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22"/>
        <w:gridCol w:w="1464"/>
        <w:gridCol w:w="4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46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遥控量说明</w:t>
            </w:r>
          </w:p>
        </w:tc>
        <w:tc>
          <w:tcPr>
            <w:tcW w:w="473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模块开关机</w:t>
            </w:r>
          </w:p>
        </w:tc>
        <w:tc>
          <w:tcPr>
            <w:tcW w:w="146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控制第n个模块开机、关机</w:t>
            </w:r>
          </w:p>
        </w:tc>
        <w:tc>
          <w:tcPr>
            <w:tcW w:w="4736"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CPSS/ chmGGIOn$CO$SPCSO1$Oper$ctlVal</w:t>
            </w:r>
            <w:r>
              <w:rPr>
                <w:rFonts w:ascii="Times New Roman" w:hAnsi="Times New Roman"/>
                <w:bCs/>
                <w:color w:val="auto"/>
                <w:sz w:val="24"/>
                <w:szCs w:val="24"/>
              </w:rPr>
              <w:tab/>
            </w:r>
          </w:p>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1—关机 0—开机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模块均充/浮充</w:t>
            </w:r>
          </w:p>
        </w:tc>
        <w:tc>
          <w:tcPr>
            <w:tcW w:w="146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控制系统处于均充/浮充状态</w:t>
            </w:r>
          </w:p>
        </w:tc>
        <w:tc>
          <w:tcPr>
            <w:tcW w:w="4736"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CPSS/ cheGGIO1 $CO$SPCSO1$Oper$ctlVal</w:t>
            </w:r>
          </w:p>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1—均充 0—浮充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电池组测试</w:t>
            </w:r>
          </w:p>
        </w:tc>
        <w:tc>
          <w:tcPr>
            <w:tcW w:w="146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控制电池组开始测试</w:t>
            </w:r>
          </w:p>
        </w:tc>
        <w:tc>
          <w:tcPr>
            <w:tcW w:w="4736"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CPSS/ btgGGIO1$CO$SPCSO1$Oper$ctlVal</w:t>
            </w:r>
          </w:p>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1—测试 0—充电</w:t>
            </w:r>
          </w:p>
        </w:tc>
      </w:tr>
    </w:tbl>
    <w:p>
      <w:pPr>
        <w:pStyle w:val="159"/>
        <w:snapToGrid w:val="0"/>
        <w:spacing w:line="360" w:lineRule="auto"/>
        <w:ind w:firstLine="480" w:firstLineChars="200"/>
        <w:rPr>
          <w:bCs/>
          <w:color w:val="auto"/>
          <w:szCs w:val="24"/>
        </w:rPr>
      </w:pPr>
      <w:r>
        <w:rPr>
          <w:bCs/>
          <w:color w:val="auto"/>
          <w:szCs w:val="24"/>
        </w:rPr>
        <w:t>注：遥控功能仅在需要对电池进行远程核容时才开放。</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高频开关电源柜遥调量</w:t>
      </w:r>
    </w:p>
    <w:p>
      <w:pPr>
        <w:pStyle w:val="159"/>
        <w:snapToGrid w:val="0"/>
        <w:spacing w:line="360" w:lineRule="auto"/>
        <w:jc w:val="center"/>
        <w:rPr>
          <w:bCs/>
          <w:color w:val="auto"/>
          <w:szCs w:val="24"/>
        </w:rPr>
      </w:pPr>
      <w:r>
        <w:rPr>
          <w:color w:val="auto"/>
          <w:szCs w:val="24"/>
        </w:rPr>
        <w:t>表8.3.4.8-8</w:t>
      </w:r>
      <w:r>
        <w:rPr>
          <w:bCs/>
          <w:color w:val="auto"/>
          <w:szCs w:val="24"/>
        </w:rPr>
        <w:t xml:space="preserve">  </w:t>
      </w:r>
      <w:r>
        <w:rPr>
          <w:color w:val="auto"/>
          <w:szCs w:val="24"/>
        </w:rPr>
        <w:t>通信电源</w:t>
      </w:r>
      <w:r>
        <w:rPr>
          <w:bCs/>
          <w:color w:val="auto"/>
          <w:szCs w:val="24"/>
        </w:rPr>
        <w:t>柜遥调量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22"/>
        <w:gridCol w:w="1318"/>
        <w:gridCol w:w="4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遥调量说明</w:t>
            </w:r>
          </w:p>
        </w:tc>
        <w:tc>
          <w:tcPr>
            <w:tcW w:w="488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模块浮充电压</w:t>
            </w: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88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CPSS/cheGGIO1$SP$Para1$setMag$f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22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模块均充电压</w:t>
            </w: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882"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CPSS/cheGGIO1$SP$Para2$setMag$f</w:t>
            </w:r>
          </w:p>
        </w:tc>
      </w:tr>
    </w:tbl>
    <w:p>
      <w:pPr>
        <w:pStyle w:val="159"/>
        <w:snapToGrid w:val="0"/>
        <w:spacing w:line="360" w:lineRule="auto"/>
        <w:ind w:firstLine="480" w:firstLineChars="200"/>
        <w:rPr>
          <w:bCs/>
          <w:color w:val="auto"/>
          <w:szCs w:val="24"/>
        </w:rPr>
      </w:pPr>
      <w:r>
        <w:rPr>
          <w:bCs/>
          <w:color w:val="auto"/>
          <w:szCs w:val="24"/>
        </w:rPr>
        <w:t>注：遥调功能仅在需要对电池进行远程核容时才开放。</w:t>
      </w:r>
    </w:p>
    <w:p>
      <w:pPr>
        <w:adjustRightInd w:val="0"/>
        <w:snapToGrid w:val="0"/>
        <w:spacing w:line="360" w:lineRule="auto"/>
        <w:ind w:firstLine="482" w:firstLineChars="200"/>
        <w:jc w:val="left"/>
        <w:rPr>
          <w:rFonts w:ascii="Times New Roman" w:hAnsi="Times New Roman"/>
          <w:b/>
          <w:bCs/>
          <w:color w:val="auto"/>
          <w:sz w:val="24"/>
          <w:szCs w:val="24"/>
        </w:rPr>
      </w:pPr>
      <w:r>
        <w:rPr>
          <w:rFonts w:ascii="Times New Roman" w:hAnsi="Times New Roman"/>
          <w:b/>
          <w:bCs/>
          <w:color w:val="auto"/>
          <w:sz w:val="24"/>
          <w:szCs w:val="24"/>
        </w:rPr>
        <w:t>直流配电柜</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直流配电柜遥测量</w:t>
      </w:r>
    </w:p>
    <w:p>
      <w:pPr>
        <w:pStyle w:val="159"/>
        <w:snapToGrid w:val="0"/>
        <w:spacing w:line="360" w:lineRule="auto"/>
        <w:jc w:val="center"/>
        <w:rPr>
          <w:bCs/>
          <w:color w:val="auto"/>
          <w:szCs w:val="24"/>
        </w:rPr>
      </w:pPr>
      <w:r>
        <w:rPr>
          <w:color w:val="auto"/>
          <w:szCs w:val="24"/>
        </w:rPr>
        <w:t>表8.3.4.8-9</w:t>
      </w:r>
      <w:r>
        <w:rPr>
          <w:bCs/>
          <w:color w:val="auto"/>
          <w:szCs w:val="24"/>
        </w:rPr>
        <w:t xml:space="preserve">  直流配电柜遥测量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571"/>
        <w:gridCol w:w="1615"/>
        <w:gridCol w:w="4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采集量</w:t>
            </w:r>
          </w:p>
        </w:tc>
        <w:tc>
          <w:tcPr>
            <w:tcW w:w="423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第1路直流输入电压</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DCSWIB/dciGGIO1$MX$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第2路直流输入电压</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DCSWIB/dciGGIO2$MX$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1段直流母线输出电压</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2段直流母线输出电压</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DCSWIB/dbmGGIO2$MX$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1段直流母线输出电流</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DCSWIB/dbmGGIO1$MX$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2段直流母线输出电流</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DCSWIB/dbmGGIO2$MX$ 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直流配电柜温度</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温度值</w:t>
            </w:r>
          </w:p>
        </w:tc>
        <w:tc>
          <w:tcPr>
            <w:tcW w:w="4235" w:type="dxa"/>
            <w:tcBorders>
              <w:top w:val="single" w:color="auto" w:sz="4" w:space="0"/>
              <w:left w:val="single" w:color="auto" w:sz="4" w:space="0"/>
              <w:bottom w:val="single" w:color="auto" w:sz="4" w:space="0"/>
              <w:right w:val="single" w:color="auto" w:sz="4" w:space="0"/>
            </w:tcBorders>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DCSWIB/etmGGIO1$MX$ 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直流电压告警阈值上限</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电压值（静态）</w:t>
            </w:r>
          </w:p>
        </w:tc>
        <w:tc>
          <w:tcPr>
            <w:tcW w:w="42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DCSWIB/dbmGGIO1$MX$ AnIn3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25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直流电压告警阈值下限</w:t>
            </w:r>
          </w:p>
        </w:tc>
        <w:tc>
          <w:tcPr>
            <w:tcW w:w="161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电压值（静态）</w:t>
            </w:r>
          </w:p>
        </w:tc>
        <w:tc>
          <w:tcPr>
            <w:tcW w:w="4235"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bCs/>
                <w:color w:val="auto"/>
                <w:sz w:val="24"/>
                <w:szCs w:val="24"/>
              </w:rPr>
            </w:pPr>
            <w:r>
              <w:rPr>
                <w:rFonts w:ascii="Times New Roman" w:hAnsi="Times New Roman"/>
                <w:bCs/>
                <w:color w:val="auto"/>
                <w:sz w:val="24"/>
                <w:szCs w:val="24"/>
              </w:rPr>
              <w:t>DCSWIB/dbmGGIO1$MX$ AnIn4</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直流配电柜遥信量</w:t>
      </w:r>
    </w:p>
    <w:p>
      <w:pPr>
        <w:pStyle w:val="159"/>
        <w:snapToGrid w:val="0"/>
        <w:spacing w:line="360" w:lineRule="auto"/>
        <w:jc w:val="center"/>
        <w:rPr>
          <w:bCs/>
          <w:color w:val="auto"/>
          <w:szCs w:val="24"/>
        </w:rPr>
      </w:pPr>
      <w:r>
        <w:rPr>
          <w:color w:val="auto"/>
          <w:szCs w:val="24"/>
        </w:rPr>
        <w:t>表8.3.4.8-10</w:t>
      </w:r>
      <w:r>
        <w:rPr>
          <w:bCs/>
          <w:color w:val="auto"/>
          <w:szCs w:val="24"/>
        </w:rPr>
        <w:t xml:space="preserve">   直流配电屏柜遥信量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686"/>
        <w:gridCol w:w="2262"/>
        <w:gridCol w:w="1395"/>
        <w:gridCol w:w="3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序号</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监控名称</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告警说明</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告警级别</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1</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第1路直流过压</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直流输出电压大于直流过压告警值</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DCSWIB/dbmGGIO1$ST$Ind1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2</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第1路直流欠压</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直流输出电压小于直流欠压告警值</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DCSWIB/dbmGGIO1$ST$Ind2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3</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第2路直流过压</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直流输出电压大于直流过压告警值</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DCSWIB/dbmGGIO2$ST$Ind1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4</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第2路直流欠压</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直流输出电压小于直流欠压告警值</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DCSWIB/dbmGGIO2$ST$Ind2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5</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第1路输入开关跳闸</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第1路输入开关跳闸</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DCSWIB/gswGGIO1$ST$Alm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6</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第2路输入开关跳闸</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第2路输入开关跳闸</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DCSWIB/gswGGIO2$ST$Alm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7</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1段直流第N路开关跳闸</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第N路开关跳闸状态</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DCSWIB/fsw1GGIOn$ST$Alm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158"/>
              <w:keepNext w:val="0"/>
              <w:spacing w:line="360" w:lineRule="auto"/>
              <w:rPr>
                <w:rFonts w:ascii="Times New Roman" w:hAnsi="Times New Roman" w:eastAsia="宋体"/>
                <w:bCs/>
                <w:color w:val="auto"/>
                <w:sz w:val="24"/>
                <w:szCs w:val="24"/>
              </w:rPr>
            </w:pPr>
            <w:r>
              <w:rPr>
                <w:rFonts w:ascii="Times New Roman" w:hAnsi="Times New Roman" w:eastAsia="宋体"/>
                <w:bCs/>
                <w:color w:val="auto"/>
                <w:sz w:val="24"/>
                <w:szCs w:val="24"/>
              </w:rPr>
              <w:t>8</w:t>
            </w:r>
          </w:p>
        </w:tc>
        <w:tc>
          <w:tcPr>
            <w:tcW w:w="16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2段直流第N路开关跳闸</w:t>
            </w:r>
          </w:p>
        </w:tc>
        <w:tc>
          <w:tcPr>
            <w:tcW w:w="226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第N路开关跳闸状态</w:t>
            </w:r>
          </w:p>
        </w:tc>
        <w:tc>
          <w:tcPr>
            <w:tcW w:w="13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22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DCSWIB/fsw2GGIOn$ST$Alm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9</w:t>
            </w:r>
          </w:p>
        </w:tc>
        <w:tc>
          <w:tcPr>
            <w:tcW w:w="1686"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温度告警</w:t>
            </w:r>
          </w:p>
        </w:tc>
        <w:tc>
          <w:tcPr>
            <w:tcW w:w="2262"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直流配电柜环境温度高于告警点</w:t>
            </w:r>
          </w:p>
        </w:tc>
        <w:tc>
          <w:tcPr>
            <w:tcW w:w="139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一般</w:t>
            </w:r>
          </w:p>
        </w:tc>
        <w:tc>
          <w:tcPr>
            <w:tcW w:w="322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DCSWIB/etmGGIO$ST$Alm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10</w:t>
            </w:r>
          </w:p>
        </w:tc>
        <w:tc>
          <w:tcPr>
            <w:tcW w:w="1686"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监控单元故障</w:t>
            </w:r>
          </w:p>
        </w:tc>
        <w:tc>
          <w:tcPr>
            <w:tcW w:w="2262"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直流监控单元故障</w:t>
            </w:r>
          </w:p>
        </w:tc>
        <w:tc>
          <w:tcPr>
            <w:tcW w:w="139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一般</w:t>
            </w:r>
          </w:p>
        </w:tc>
        <w:tc>
          <w:tcPr>
            <w:tcW w:w="322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DCSWIB/dbmGGIO$ST$Ind3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11</w:t>
            </w:r>
          </w:p>
        </w:tc>
        <w:tc>
          <w:tcPr>
            <w:tcW w:w="1686"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直流配电柜总告警</w:t>
            </w:r>
          </w:p>
        </w:tc>
        <w:tc>
          <w:tcPr>
            <w:tcW w:w="2262" w:type="dxa"/>
            <w:tcBorders>
              <w:top w:val="single" w:color="auto" w:sz="4" w:space="0"/>
              <w:left w:val="single" w:color="auto" w:sz="4" w:space="0"/>
              <w:bottom w:val="single" w:color="auto" w:sz="4" w:space="0"/>
              <w:right w:val="single" w:color="auto" w:sz="4" w:space="0"/>
            </w:tcBorders>
            <w:vAlign w:val="center"/>
          </w:tcPr>
          <w:p>
            <w:pPr>
              <w:pStyle w:val="795"/>
              <w:spacing w:line="360" w:lineRule="auto"/>
              <w:jc w:val="both"/>
              <w:rPr>
                <w:bCs/>
                <w:color w:val="auto"/>
                <w:sz w:val="24"/>
                <w:szCs w:val="24"/>
              </w:rPr>
            </w:pPr>
            <w:r>
              <w:rPr>
                <w:bCs/>
                <w:color w:val="auto"/>
                <w:sz w:val="24"/>
                <w:szCs w:val="24"/>
              </w:rPr>
              <w:t>直流配电柜任一告警</w:t>
            </w:r>
          </w:p>
        </w:tc>
        <w:tc>
          <w:tcPr>
            <w:tcW w:w="139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rPr>
                <w:bCs/>
                <w:color w:val="auto"/>
                <w:sz w:val="24"/>
                <w:szCs w:val="24"/>
              </w:rPr>
            </w:pPr>
            <w:r>
              <w:rPr>
                <w:bCs/>
                <w:color w:val="auto"/>
                <w:sz w:val="24"/>
                <w:szCs w:val="24"/>
              </w:rPr>
              <w:t>一般</w:t>
            </w:r>
          </w:p>
        </w:tc>
        <w:tc>
          <w:tcPr>
            <w:tcW w:w="3225" w:type="dxa"/>
            <w:tcBorders>
              <w:top w:val="single" w:color="auto" w:sz="4" w:space="0"/>
              <w:left w:val="single" w:color="auto" w:sz="4" w:space="0"/>
              <w:bottom w:val="single" w:color="auto" w:sz="4" w:space="0"/>
              <w:right w:val="single" w:color="auto" w:sz="4" w:space="0"/>
            </w:tcBorders>
            <w:vAlign w:val="center"/>
          </w:tcPr>
          <w:p>
            <w:pPr>
              <w:pStyle w:val="794"/>
              <w:spacing w:line="360" w:lineRule="auto"/>
              <w:jc w:val="both"/>
              <w:rPr>
                <w:bCs/>
                <w:color w:val="auto"/>
                <w:sz w:val="24"/>
                <w:szCs w:val="24"/>
              </w:rPr>
            </w:pPr>
            <w:r>
              <w:rPr>
                <w:bCs/>
                <w:color w:val="auto"/>
                <w:sz w:val="24"/>
                <w:szCs w:val="24"/>
              </w:rPr>
              <w:t>DCSWIB/calmGGIO$ST$Alm</w:t>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注：对于同一个配电柜中既交流、也有直流的交直流配电柜，交流部分参照交流配电柜的要求，直流部分参照直流配电柜的要求。</w:t>
      </w:r>
    </w:p>
    <w:p>
      <w:pPr>
        <w:adjustRightInd w:val="0"/>
        <w:snapToGrid w:val="0"/>
        <w:spacing w:line="360" w:lineRule="auto"/>
        <w:ind w:firstLine="482" w:firstLineChars="200"/>
        <w:jc w:val="left"/>
        <w:rPr>
          <w:rFonts w:ascii="Times New Roman" w:hAnsi="Times New Roman"/>
          <w:b/>
          <w:bCs/>
          <w:color w:val="auto"/>
          <w:sz w:val="24"/>
          <w:szCs w:val="24"/>
        </w:rPr>
      </w:pPr>
      <w:r>
        <w:rPr>
          <w:rFonts w:ascii="Times New Roman" w:hAnsi="Times New Roman"/>
          <w:b/>
          <w:bCs/>
          <w:color w:val="auto"/>
          <w:sz w:val="24"/>
          <w:szCs w:val="24"/>
        </w:rPr>
        <w:t>蓄电池</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蓄电池监控遥测量</w:t>
      </w:r>
    </w:p>
    <w:p>
      <w:pPr>
        <w:pStyle w:val="159"/>
        <w:snapToGrid w:val="0"/>
        <w:spacing w:line="360" w:lineRule="auto"/>
        <w:jc w:val="center"/>
        <w:rPr>
          <w:bCs/>
          <w:color w:val="auto"/>
          <w:szCs w:val="24"/>
        </w:rPr>
      </w:pPr>
      <w:r>
        <w:rPr>
          <w:color w:val="auto"/>
          <w:szCs w:val="24"/>
        </w:rPr>
        <w:t>表8.3.4.8-11</w:t>
      </w:r>
      <w:r>
        <w:rPr>
          <w:bCs/>
          <w:color w:val="auto"/>
          <w:szCs w:val="24"/>
        </w:rPr>
        <w:t xml:space="preserve">  蓄电池监控遥测量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3610"/>
        <w:gridCol w:w="1605"/>
        <w:gridCol w:w="3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采集量</w:t>
            </w:r>
          </w:p>
        </w:tc>
        <w:tc>
          <w:tcPr>
            <w:tcW w:w="328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第N组电池组电压</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BTSE/btgGGIOn$MX$AnIn1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第N组电池组电流</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电流值</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BTSE/btgGGIOn$MX$AnIn2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第N组电池组第M节单体电池电压值</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BTSE/celGGIOn$MX$AnInM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第N组电池组第M节单体电池内阻值</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电阻值</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BTSE/celGGIOn$MX$AnIn24+M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第N组电池组第M节单体负极极柱温度</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温度</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BTSE/celGGIOn$MX$AnIn48+M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第N组电池组第M节单体剩余容量</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容量</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BTSE/celGGIOn$MX$AnIn72+M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7</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第N组测试终止电压</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电压值（静态）</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CPSS/cheGGIOn$MX$LoBatVal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8</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第N组测试终止剩余容量（单位：Ah）</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容量值（静态）</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CPSS/cheGGIOn$MX$LoBatAh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9</w:t>
            </w:r>
          </w:p>
        </w:tc>
        <w:tc>
          <w:tcPr>
            <w:tcW w:w="3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第N组测试终止时间（单位：小时）</w:t>
            </w:r>
          </w:p>
        </w:tc>
        <w:tc>
          <w:tcPr>
            <w:tcW w:w="160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时间（静态）</w:t>
            </w:r>
          </w:p>
        </w:tc>
        <w:tc>
          <w:tcPr>
            <w:tcW w:w="3286" w:type="dxa"/>
            <w:tcBorders>
              <w:top w:val="single" w:color="auto" w:sz="4" w:space="0"/>
              <w:left w:val="single" w:color="auto" w:sz="4" w:space="0"/>
              <w:bottom w:val="single" w:color="auto" w:sz="4" w:space="0"/>
              <w:right w:val="single" w:color="auto" w:sz="4" w:space="0"/>
            </w:tcBorders>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CPSS/cheGGIOn$MX$HiTestTmhour</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蓄电池监控遥信量</w:t>
      </w:r>
    </w:p>
    <w:p>
      <w:pPr>
        <w:pStyle w:val="159"/>
        <w:snapToGrid w:val="0"/>
        <w:spacing w:line="360" w:lineRule="auto"/>
        <w:jc w:val="center"/>
        <w:rPr>
          <w:bCs/>
          <w:color w:val="auto"/>
          <w:szCs w:val="24"/>
        </w:rPr>
      </w:pPr>
      <w:r>
        <w:rPr>
          <w:color w:val="auto"/>
          <w:szCs w:val="24"/>
        </w:rPr>
        <w:t>表8.3.4.8-12</w:t>
      </w:r>
      <w:r>
        <w:rPr>
          <w:bCs/>
          <w:color w:val="auto"/>
          <w:szCs w:val="24"/>
        </w:rPr>
        <w:t xml:space="preserve">  蓄电池监控遥信量</w:t>
      </w:r>
    </w:p>
    <w:tbl>
      <w:tblPr>
        <w:tblStyle w:val="56"/>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610"/>
        <w:gridCol w:w="2172"/>
        <w:gridCol w:w="1320"/>
        <w:gridCol w:w="3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告警说明</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告警级别</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第N组电池组电压告警</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第N组电池组电压</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重大</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BTSE/btgGGIOn$ST$Alm1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第N组单体电池电压值</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第N组电池第M节电池电压告警</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BTSE/celGGIOn$ST$AlmM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第N组单体电池内阻值</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第N组电池第M节电池内阻告警</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BTSE/celGGIOn$ST$Alm24+M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第N组单体极柱温度</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第N组电池第M节电池极柱温度告警</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BTSE/celGGIOn$ST$Alm48+M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161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第N组单体剩余容量</w:t>
            </w:r>
          </w:p>
        </w:tc>
        <w:tc>
          <w:tcPr>
            <w:tcW w:w="2172"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第N组电池第M节电池单体剩余容量告警</w:t>
            </w:r>
          </w:p>
        </w:tc>
        <w:tc>
          <w:tcPr>
            <w:tcW w:w="132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一般</w:t>
            </w:r>
          </w:p>
        </w:tc>
        <w:tc>
          <w:tcPr>
            <w:tcW w:w="339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BTSE/celGGIOn$ST$Alm72+M</w:t>
            </w:r>
          </w:p>
        </w:tc>
      </w:tr>
    </w:tbl>
    <w:p>
      <w:pPr>
        <w:adjustRightInd w:val="0"/>
        <w:snapToGrid w:val="0"/>
        <w:spacing w:line="360" w:lineRule="auto"/>
        <w:ind w:firstLine="480" w:firstLineChars="200"/>
        <w:jc w:val="left"/>
        <w:rPr>
          <w:rFonts w:ascii="Times New Roman" w:hAnsi="Times New Roman"/>
          <w:bCs/>
          <w:color w:val="auto"/>
          <w:sz w:val="24"/>
          <w:szCs w:val="24"/>
        </w:rPr>
      </w:pPr>
      <w:r>
        <w:rPr>
          <w:rFonts w:ascii="Times New Roman" w:hAnsi="Times New Roman"/>
          <w:color w:val="auto"/>
          <w:sz w:val="24"/>
          <w:szCs w:val="24"/>
        </w:rPr>
        <w:t>蓄电池监控遥控量</w:t>
      </w:r>
    </w:p>
    <w:p>
      <w:pPr>
        <w:pStyle w:val="159"/>
        <w:snapToGrid w:val="0"/>
        <w:spacing w:line="360" w:lineRule="auto"/>
        <w:jc w:val="center"/>
        <w:rPr>
          <w:bCs/>
          <w:color w:val="auto"/>
          <w:szCs w:val="24"/>
        </w:rPr>
      </w:pPr>
      <w:r>
        <w:rPr>
          <w:color w:val="auto"/>
          <w:szCs w:val="24"/>
        </w:rPr>
        <w:t>表8.3.4.8-13</w:t>
      </w:r>
      <w:r>
        <w:rPr>
          <w:bCs/>
          <w:color w:val="auto"/>
          <w:szCs w:val="24"/>
        </w:rPr>
        <w:t xml:space="preserve">  蓄电池监控遥控量</w:t>
      </w:r>
    </w:p>
    <w:tbl>
      <w:tblPr>
        <w:tblStyle w:val="56"/>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771"/>
        <w:gridCol w:w="2595"/>
        <w:gridCol w:w="4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177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259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遥控量说明</w:t>
            </w:r>
          </w:p>
        </w:tc>
        <w:tc>
          <w:tcPr>
            <w:tcW w:w="405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1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177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蓄电池组开始放电/停止放电</w:t>
            </w:r>
          </w:p>
        </w:tc>
        <w:tc>
          <w:tcPr>
            <w:tcW w:w="259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远程开始控制对蓄电池放电/停止放电</w:t>
            </w:r>
          </w:p>
        </w:tc>
        <w:tc>
          <w:tcPr>
            <w:tcW w:w="405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BTSE/ncdGGIO1$CO$SPCSO1$Oper$ctlVal</w:t>
            </w:r>
          </w:p>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1:开始放电</w:t>
            </w:r>
          </w:p>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0:停止放电</w:t>
            </w:r>
          </w:p>
        </w:tc>
      </w:tr>
    </w:tbl>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蓄电池监控遥调量</w:t>
      </w:r>
    </w:p>
    <w:p>
      <w:pPr>
        <w:pStyle w:val="159"/>
        <w:snapToGrid w:val="0"/>
        <w:spacing w:line="360" w:lineRule="auto"/>
        <w:jc w:val="center"/>
        <w:rPr>
          <w:bCs/>
          <w:color w:val="auto"/>
          <w:szCs w:val="24"/>
        </w:rPr>
      </w:pPr>
      <w:r>
        <w:rPr>
          <w:color w:val="auto"/>
          <w:szCs w:val="24"/>
        </w:rPr>
        <w:t>表8.3.4.8-14</w:t>
      </w:r>
      <w:r>
        <w:rPr>
          <w:bCs/>
          <w:color w:val="auto"/>
          <w:szCs w:val="24"/>
        </w:rPr>
        <w:t xml:space="preserve"> 蓄电池监控遥调量</w:t>
      </w:r>
    </w:p>
    <w:tbl>
      <w:tblPr>
        <w:tblStyle w:val="56"/>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341"/>
        <w:gridCol w:w="3175"/>
        <w:gridCol w:w="3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序号</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监控名称</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遥调量说明</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Times New Roman" w:hAnsi="Times New Roman"/>
                <w:b/>
                <w:color w:val="auto"/>
                <w:sz w:val="24"/>
                <w:szCs w:val="24"/>
              </w:rPr>
            </w:pPr>
            <w:r>
              <w:rPr>
                <w:rFonts w:ascii="Times New Roman" w:hAnsi="Times New Roman"/>
                <w:b/>
                <w:color w:val="auto"/>
                <w:sz w:val="24"/>
                <w:szCs w:val="24"/>
              </w:rPr>
              <w:t>逻辑名称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1</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放电电流</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远程核容时蓄电池的放电电流</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BTSE/ncdGGIO1$SP$Para1$setMag$f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放电时间</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蓄电池池组放电时间（单位小时）</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BTSE/ncdGGIO1$SP$Para2$setMag$f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3</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蓄电池组放电容量</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蓄电池池组放电容量（单位安时）</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BTSE/ncdGGIO1$SP$Para3$setMag$f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蓄电池组放电终止个数N</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pacing w:line="360" w:lineRule="auto"/>
              <w:rPr>
                <w:rFonts w:ascii="Times New Roman" w:hAnsi="Times New Roman"/>
                <w:bCs/>
                <w:color w:val="auto"/>
                <w:sz w:val="24"/>
                <w:szCs w:val="24"/>
              </w:rPr>
            </w:pPr>
            <w:r>
              <w:rPr>
                <w:rFonts w:ascii="Times New Roman" w:hAnsi="Times New Roman"/>
                <w:bCs/>
                <w:color w:val="auto"/>
                <w:sz w:val="24"/>
                <w:szCs w:val="24"/>
              </w:rPr>
              <w:t>当N个蓄电池达到放电终止电压后停止放电</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BTSE/ncdGGIO1$SP$Para4$setMag$f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5</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蓄电池组放电终止电压</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当整组蓄电池组达到放电终止电压后停止放电</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BTSE/ncdGGIO1$SP$Para5$setMag$f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 w:hRule="atLeast"/>
          <w:tblHeader/>
          <w:jc w:val="center"/>
        </w:trPr>
        <w:tc>
          <w:tcPr>
            <w:tcW w:w="770"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36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1341"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单节蓄电池放电终止电压</w:t>
            </w:r>
          </w:p>
        </w:tc>
        <w:tc>
          <w:tcPr>
            <w:tcW w:w="3175" w:type="dxa"/>
            <w:tcBorders>
              <w:top w:val="single" w:color="auto" w:sz="4" w:space="0"/>
              <w:left w:val="single" w:color="auto" w:sz="4" w:space="0"/>
              <w:bottom w:val="single" w:color="auto" w:sz="4" w:space="0"/>
              <w:right w:val="single" w:color="auto" w:sz="4" w:space="0"/>
            </w:tcBorders>
            <w:tcMar>
              <w:top w:w="0" w:type="dxa"/>
              <w:left w:w="85" w:type="dxa"/>
              <w:bottom w:w="0" w:type="dxa"/>
              <w:right w:w="28" w:type="dxa"/>
            </w:tcMar>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单节蓄电池放电终止电压</w:t>
            </w:r>
          </w:p>
        </w:tc>
        <w:tc>
          <w:tcPr>
            <w:tcW w:w="385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Times New Roman" w:hAnsi="Times New Roman"/>
                <w:bCs/>
                <w:color w:val="auto"/>
                <w:sz w:val="24"/>
                <w:szCs w:val="24"/>
              </w:rPr>
            </w:pPr>
            <w:r>
              <w:rPr>
                <w:rFonts w:ascii="Times New Roman" w:hAnsi="Times New Roman"/>
                <w:bCs/>
                <w:color w:val="auto"/>
                <w:sz w:val="24"/>
                <w:szCs w:val="24"/>
              </w:rPr>
              <w:t>BTSE/ncdGGIO1$SP$Para6$setMag$f</w:t>
            </w:r>
          </w:p>
        </w:tc>
      </w:tr>
    </w:tbl>
    <w:p>
      <w:pPr>
        <w:adjustRightInd w:val="0"/>
        <w:snapToGrid w:val="0"/>
        <w:spacing w:line="360" w:lineRule="auto"/>
        <w:ind w:firstLine="482" w:firstLineChars="200"/>
        <w:jc w:val="left"/>
        <w:rPr>
          <w:rFonts w:ascii="Times New Roman" w:hAnsi="Times New Roman"/>
          <w:b/>
          <w:bCs/>
          <w:color w:val="auto"/>
          <w:sz w:val="24"/>
          <w:szCs w:val="24"/>
        </w:rPr>
      </w:pPr>
      <w:r>
        <w:rPr>
          <w:rFonts w:ascii="Times New Roman" w:hAnsi="Times New Roman"/>
          <w:b/>
          <w:bCs/>
          <w:color w:val="auto"/>
          <w:sz w:val="24"/>
          <w:szCs w:val="24"/>
        </w:rPr>
        <w:t>公共要求</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公用数据定义</w:t>
      </w:r>
    </w:p>
    <w:p>
      <w:pPr>
        <w:pStyle w:val="77"/>
        <w:numPr>
          <w:ilvl w:val="0"/>
          <w:numId w:val="85"/>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遥信量单点状态数据包括：数据值、数据质量、时标，数据类型为：Bool。</w:t>
      </w:r>
    </w:p>
    <w:p>
      <w:pPr>
        <w:pStyle w:val="77"/>
        <w:numPr>
          <w:ilvl w:val="0"/>
          <w:numId w:val="85"/>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遥测量单点状态数据包括：数据值、数据质量、时标，数据类型为：float。</w:t>
      </w:r>
    </w:p>
    <w:p>
      <w:pPr>
        <w:pStyle w:val="77"/>
        <w:numPr>
          <w:ilvl w:val="0"/>
          <w:numId w:val="85"/>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遥控量单点状态数据包括：数据值、数据质量、时标，数据类型为：Bool。</w:t>
      </w:r>
    </w:p>
    <w:p>
      <w:pPr>
        <w:pStyle w:val="77"/>
        <w:numPr>
          <w:ilvl w:val="0"/>
          <w:numId w:val="85"/>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遥调量单点状态数据包括：数据值、数据质量、时标，数据类型为：float。</w:t>
      </w:r>
    </w:p>
    <w:p>
      <w:pPr>
        <w:pStyle w:val="77"/>
        <w:numPr>
          <w:ilvl w:val="0"/>
          <w:numId w:val="85"/>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数据质量值参照DL/T 860-2004的要求，由2个字节表示，最高的2bit表示Validity（合法性），00代表数据质量好，01代表通信电源数据异常或采集不到数据。</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通信电源系统要求</w:t>
      </w:r>
    </w:p>
    <w:p>
      <w:pPr>
        <w:pStyle w:val="77"/>
        <w:numPr>
          <w:ilvl w:val="0"/>
          <w:numId w:val="86"/>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通信电源监控单元的数据采集周期&lt;10S，蓄电池内阻采集周期为一周。</w:t>
      </w:r>
    </w:p>
    <w:p>
      <w:pPr>
        <w:pStyle w:val="77"/>
        <w:numPr>
          <w:ilvl w:val="0"/>
          <w:numId w:val="86"/>
        </w:numPr>
        <w:adjustRightInd w:val="0"/>
        <w:snapToGrid w:val="0"/>
        <w:spacing w:line="360" w:lineRule="auto"/>
        <w:ind w:left="0" w:firstLine="480"/>
        <w:rPr>
          <w:rFonts w:ascii="Times New Roman"/>
          <w:bCs/>
          <w:color w:val="auto"/>
          <w:sz w:val="24"/>
          <w:szCs w:val="24"/>
        </w:rPr>
      </w:pPr>
      <w:r>
        <w:rPr>
          <w:rFonts w:ascii="Times New Roman"/>
          <w:bCs/>
          <w:color w:val="auto"/>
          <w:sz w:val="24"/>
          <w:szCs w:val="24"/>
        </w:rPr>
        <w:t>通信电源系统数值精度保留小数点后2位，蓄电池组单节电压数值精度保留小数点后为3位。</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电源厂家名称定义</w:t>
      </w:r>
    </w:p>
    <w:p>
      <w:pPr>
        <w:snapToGrid w:val="0"/>
        <w:spacing w:line="360" w:lineRule="auto"/>
        <w:ind w:firstLine="480" w:firstLineChars="200"/>
        <w:rPr>
          <w:rFonts w:ascii="Times New Roman" w:hAnsi="Times New Roman"/>
          <w:bCs/>
          <w:color w:val="auto"/>
          <w:sz w:val="24"/>
          <w:szCs w:val="24"/>
        </w:rPr>
      </w:pPr>
      <w:r>
        <w:rPr>
          <w:rFonts w:ascii="Times New Roman" w:hAnsi="Times New Roman"/>
          <w:bCs/>
          <w:color w:val="auto"/>
          <w:sz w:val="24"/>
          <w:szCs w:val="24"/>
        </w:rPr>
        <w:t>设备IED Name由厂家名称拼音第一个字母大写缩写加设备型号组成。</w:t>
      </w:r>
    </w:p>
    <w:p>
      <w:pPr>
        <w:adjustRightInd w:val="0"/>
        <w:snapToGrid w:val="0"/>
        <w:spacing w:line="360" w:lineRule="auto"/>
        <w:ind w:firstLine="480" w:firstLineChars="200"/>
        <w:jc w:val="left"/>
        <w:rPr>
          <w:rFonts w:ascii="Times New Roman" w:hAnsi="Times New Roman"/>
          <w:color w:val="auto"/>
          <w:sz w:val="24"/>
          <w:szCs w:val="24"/>
        </w:rPr>
      </w:pPr>
      <w:bookmarkStart w:id="460" w:name="_Toc19979"/>
      <w:r>
        <w:rPr>
          <w:rFonts w:ascii="Times New Roman" w:hAnsi="Times New Roman"/>
          <w:color w:val="auto"/>
          <w:sz w:val="24"/>
          <w:szCs w:val="24"/>
        </w:rPr>
        <w:t>通信接口要求</w:t>
      </w:r>
      <w:bookmarkEnd w:id="460"/>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监控单元与监控点接口（A接口）要求</w:t>
      </w:r>
    </w:p>
    <w:p>
      <w:pPr>
        <w:pStyle w:val="77"/>
        <w:adjustRightInd w:val="0"/>
        <w:snapToGrid w:val="0"/>
        <w:spacing w:line="360" w:lineRule="auto"/>
        <w:ind w:firstLine="480"/>
        <w:rPr>
          <w:rFonts w:ascii="Times New Roman"/>
          <w:bCs/>
          <w:color w:val="auto"/>
          <w:sz w:val="24"/>
          <w:szCs w:val="24"/>
        </w:rPr>
      </w:pPr>
      <w:r>
        <w:rPr>
          <w:rFonts w:ascii="Times New Roman"/>
          <w:bCs/>
          <w:color w:val="auto"/>
          <w:sz w:val="24"/>
          <w:szCs w:val="24"/>
        </w:rPr>
        <w:t>可采用串行通信接口（如RS485、RS232、RS422）、以太网接口、干接点等多种接口方式，监控点接口协议应满足监控单元对设备接入的要求。</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监控单元与监控主站接口（B接口）要求</w:t>
      </w:r>
    </w:p>
    <w:p>
      <w:pPr>
        <w:pStyle w:val="159"/>
        <w:snapToGrid w:val="0"/>
        <w:spacing w:line="360" w:lineRule="auto"/>
        <w:ind w:firstLine="480" w:firstLineChars="200"/>
        <w:rPr>
          <w:bCs/>
          <w:color w:val="auto"/>
          <w:szCs w:val="24"/>
        </w:rPr>
      </w:pPr>
      <w:r>
        <w:rPr>
          <w:bCs/>
          <w:color w:val="auto"/>
          <w:szCs w:val="24"/>
        </w:rPr>
        <w:t>应采用以太网接口，接口速率不小于100Mbps。通信电源系统与监控主站之间采用TCP方式进行通信，通信电源系统作为TCP服务端，监控系统作为TCP客户端。</w:t>
      </w:r>
    </w:p>
    <w:p>
      <w:pPr>
        <w:pStyle w:val="159"/>
        <w:snapToGrid w:val="0"/>
        <w:spacing w:line="360" w:lineRule="auto"/>
        <w:ind w:firstLine="480" w:firstLineChars="200"/>
        <w:rPr>
          <w:bCs/>
          <w:color w:val="auto"/>
          <w:szCs w:val="24"/>
        </w:rPr>
      </w:pPr>
      <w:r>
        <w:rPr>
          <w:bCs/>
          <w:color w:val="auto"/>
          <w:szCs w:val="24"/>
        </w:rPr>
        <w:t>监控单元的上传接口和监控主站接入监控单元的接口都应符合DL/T 860-2004的要求。通信电源系统支持不少于4个监控主站同时访问。</w:t>
      </w:r>
    </w:p>
    <w:p>
      <w:pPr>
        <w:adjustRightInd w:val="0"/>
        <w:snapToGrid w:val="0"/>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监控主站之间的接口（C接口）要求</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应采用以太网接口，接口速率不小于100Mbps。</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监控主站间的接口宜采用WebService等接口进行数据交互。  </w:t>
      </w:r>
    </w:p>
    <w:p>
      <w:pPr>
        <w:pStyle w:val="118"/>
        <w:numPr>
          <w:ilvl w:val="2"/>
          <w:numId w:val="25"/>
        </w:numPr>
        <w:spacing w:before="0" w:after="0"/>
        <w:outlineLvl w:val="2"/>
        <w:rPr>
          <w:rFonts w:ascii="Times New Roman" w:hAnsi="Times New Roman"/>
          <w:color w:val="auto"/>
          <w:sz w:val="24"/>
          <w:szCs w:val="24"/>
        </w:rPr>
      </w:pPr>
      <w:bookmarkStart w:id="461" w:name="_Toc462888580"/>
      <w:bookmarkStart w:id="462" w:name="_Toc65773364"/>
      <w:r>
        <w:rPr>
          <w:rFonts w:ascii="Times New Roman" w:hAnsi="Times New Roman"/>
          <w:color w:val="auto"/>
          <w:sz w:val="24"/>
          <w:szCs w:val="24"/>
        </w:rPr>
        <w:t>直流输出柜</w:t>
      </w:r>
      <w:bookmarkEnd w:id="461"/>
      <w:bookmarkEnd w:id="462"/>
      <w:r>
        <w:rPr>
          <w:rFonts w:ascii="Times New Roman" w:hAnsi="Times New Roman"/>
          <w:color w:val="auto"/>
          <w:sz w:val="24"/>
          <w:szCs w:val="24"/>
        </w:rPr>
        <w:t>技术要求</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尺寸：600*600*2260、600*800*2260、600*1100*2260宽*深*高，最终尺寸可按现场及实际需求配置。具体如下表：</w:t>
      </w:r>
    </w:p>
    <w:tbl>
      <w:tblPr>
        <w:tblStyle w:val="56"/>
        <w:tblW w:w="9962" w:type="dxa"/>
        <w:tblInd w:w="0" w:type="dxa"/>
        <w:tblLayout w:type="autofit"/>
        <w:tblCellMar>
          <w:top w:w="0" w:type="dxa"/>
          <w:left w:w="108" w:type="dxa"/>
          <w:bottom w:w="0" w:type="dxa"/>
          <w:right w:w="108" w:type="dxa"/>
        </w:tblCellMar>
      </w:tblPr>
      <w:tblGrid>
        <w:gridCol w:w="667"/>
        <w:gridCol w:w="2178"/>
        <w:gridCol w:w="1594"/>
        <w:gridCol w:w="4187"/>
        <w:gridCol w:w="668"/>
        <w:gridCol w:w="668"/>
      </w:tblGrid>
      <w:tr>
        <w:tblPrEx>
          <w:tblCellMar>
            <w:top w:w="0" w:type="dxa"/>
            <w:left w:w="108" w:type="dxa"/>
            <w:bottom w:w="0" w:type="dxa"/>
            <w:right w:w="108" w:type="dxa"/>
          </w:tblCellMar>
        </w:tblPrEx>
        <w:trPr>
          <w:trHeight w:val="260"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序号</w:t>
            </w:r>
          </w:p>
        </w:tc>
        <w:tc>
          <w:tcPr>
            <w:tcW w:w="217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textAlignment w:val="center"/>
              <w:rPr>
                <w:rFonts w:ascii="Times New Roman" w:hAnsi="Times New Roman"/>
                <w:b/>
                <w:bCs/>
                <w:color w:val="auto"/>
                <w:kern w:val="0"/>
                <w:sz w:val="24"/>
                <w:szCs w:val="24"/>
                <w:lang w:bidi="ar"/>
              </w:rPr>
            </w:pPr>
            <w:r>
              <w:rPr>
                <w:rFonts w:ascii="Times New Roman" w:hAnsi="Times New Roman"/>
                <w:b/>
                <w:bCs/>
                <w:color w:val="auto"/>
                <w:kern w:val="0"/>
                <w:sz w:val="24"/>
                <w:szCs w:val="24"/>
                <w:lang w:bidi="ar"/>
              </w:rPr>
              <w:t>位置</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名称</w:t>
            </w:r>
          </w:p>
        </w:tc>
        <w:tc>
          <w:tcPr>
            <w:tcW w:w="41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型号及规格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单位</w:t>
            </w:r>
          </w:p>
        </w:tc>
        <w:tc>
          <w:tcPr>
            <w:tcW w:w="66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数量</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c>
          <w:tcPr>
            <w:tcW w:w="217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信通机房</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直流输出柜</w:t>
            </w:r>
          </w:p>
        </w:tc>
        <w:tc>
          <w:tcPr>
            <w:tcW w:w="41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柜体规格：600*1100*2</w:t>
            </w:r>
            <w:r>
              <w:rPr>
                <w:rFonts w:hint="eastAsia" w:ascii="Times New Roman" w:hAnsi="Times New Roman"/>
                <w:color w:val="auto"/>
                <w:kern w:val="0"/>
                <w:sz w:val="24"/>
                <w:szCs w:val="24"/>
                <w:lang w:bidi="ar"/>
              </w:rPr>
              <w:t>260</w:t>
            </w:r>
            <w:r>
              <w:rPr>
                <w:rFonts w:ascii="Times New Roman" w:hAnsi="Times New Roman"/>
                <w:color w:val="auto"/>
                <w:kern w:val="0"/>
                <w:sz w:val="24"/>
                <w:szCs w:val="24"/>
                <w:lang w:bidi="ar"/>
              </w:rPr>
              <w:t>mm宽*深*高</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输入开关：1个300A/2P/DC的开关；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输出开关：不少于20个63A/2P/DC；</w:t>
            </w:r>
          </w:p>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2</w:t>
            </w:r>
          </w:p>
        </w:tc>
        <w:tc>
          <w:tcPr>
            <w:tcW w:w="217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数据机房</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直流输出柜1</w:t>
            </w:r>
          </w:p>
        </w:tc>
        <w:tc>
          <w:tcPr>
            <w:tcW w:w="41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柜体规格：600*600*2</w:t>
            </w:r>
            <w:r>
              <w:rPr>
                <w:rFonts w:hint="eastAsia" w:ascii="Times New Roman" w:hAnsi="Times New Roman"/>
                <w:color w:val="auto"/>
                <w:kern w:val="0"/>
                <w:sz w:val="24"/>
                <w:szCs w:val="24"/>
                <w:lang w:bidi="ar"/>
              </w:rPr>
              <w:t>260</w:t>
            </w:r>
            <w:r>
              <w:rPr>
                <w:rFonts w:ascii="Times New Roman" w:hAnsi="Times New Roman"/>
                <w:color w:val="auto"/>
                <w:kern w:val="0"/>
                <w:sz w:val="24"/>
                <w:szCs w:val="24"/>
                <w:lang w:bidi="ar"/>
              </w:rPr>
              <w:t>mm宽*深*高</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输入开关：1个400A/2P/DC的开关；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输出开关：不少于25个63A/2P/DC；</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hint="eastAsia" w:ascii="Times New Roman" w:hAnsi="Times New Roman" w:eastAsia="宋体"/>
                <w:color w:val="auto"/>
                <w:kern w:val="0"/>
                <w:sz w:val="24"/>
                <w:szCs w:val="24"/>
                <w:lang w:val="en-US" w:eastAsia="zh-CN" w:bidi="ar"/>
              </w:rPr>
            </w:pPr>
            <w:r>
              <w:rPr>
                <w:rFonts w:hint="eastAsia" w:ascii="Times New Roman" w:hAnsi="Times New Roman"/>
                <w:color w:val="auto"/>
                <w:kern w:val="0"/>
                <w:sz w:val="24"/>
                <w:szCs w:val="24"/>
                <w:lang w:val="en-US" w:eastAsia="zh-CN" w:bidi="ar"/>
              </w:rPr>
              <w:t>3</w:t>
            </w:r>
          </w:p>
        </w:tc>
        <w:tc>
          <w:tcPr>
            <w:tcW w:w="217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r>
              <w:rPr>
                <w:rFonts w:ascii="Times New Roman" w:hAnsi="Times New Roman"/>
                <w:color w:val="auto"/>
                <w:sz w:val="24"/>
                <w:szCs w:val="24"/>
              </w:rPr>
              <w:t>数据机房</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直流输出柜2</w:t>
            </w:r>
          </w:p>
        </w:tc>
        <w:tc>
          <w:tcPr>
            <w:tcW w:w="41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w:t>
            </w:r>
            <w:r>
              <w:rPr>
                <w:rFonts w:hint="eastAsia" w:ascii="Times New Roman" w:hAnsi="Times New Roman"/>
                <w:color w:val="auto"/>
                <w:kern w:val="0"/>
                <w:sz w:val="24"/>
                <w:szCs w:val="24"/>
                <w:lang w:bidi="ar"/>
              </w:rPr>
              <w:t>260</w:t>
            </w:r>
            <w:r>
              <w:rPr>
                <w:rFonts w:ascii="Times New Roman" w:hAnsi="Times New Roman"/>
                <w:color w:val="auto"/>
                <w:kern w:val="0"/>
                <w:sz w:val="24"/>
                <w:szCs w:val="24"/>
                <w:lang w:bidi="ar"/>
              </w:rPr>
              <w:t>mm宽*深*高</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输入开关：1个400A/2P/DC的开关；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输出开关：不少于25个63A/2P/DC；</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r>
      <w:tr>
        <w:tblPrEx>
          <w:tblCellMar>
            <w:top w:w="0" w:type="dxa"/>
            <w:left w:w="108" w:type="dxa"/>
            <w:bottom w:w="0" w:type="dxa"/>
            <w:right w:w="108" w:type="dxa"/>
          </w:tblCellMar>
        </w:tblPrEx>
        <w:trPr>
          <w:trHeight w:val="505" w:hRule="atLeast"/>
        </w:trPr>
        <w:tc>
          <w:tcPr>
            <w:tcW w:w="667"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hint="eastAsia" w:ascii="Times New Roman" w:hAnsi="Times New Roman" w:eastAsia="宋体"/>
                <w:color w:val="auto"/>
                <w:kern w:val="0"/>
                <w:sz w:val="24"/>
                <w:szCs w:val="24"/>
                <w:lang w:eastAsia="zh-CN" w:bidi="ar"/>
              </w:rPr>
            </w:pPr>
            <w:r>
              <w:rPr>
                <w:rFonts w:hint="eastAsia" w:ascii="Times New Roman" w:hAnsi="Times New Roman"/>
                <w:color w:val="auto"/>
                <w:kern w:val="0"/>
                <w:sz w:val="24"/>
                <w:szCs w:val="24"/>
                <w:lang w:val="en-US" w:eastAsia="zh-CN" w:bidi="ar"/>
              </w:rPr>
              <w:t>4</w:t>
            </w:r>
          </w:p>
        </w:tc>
        <w:tc>
          <w:tcPr>
            <w:tcW w:w="217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信通机房</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直流输出柜</w:t>
            </w:r>
          </w:p>
        </w:tc>
        <w:tc>
          <w:tcPr>
            <w:tcW w:w="41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柜体规格：600*800*2</w:t>
            </w:r>
            <w:r>
              <w:rPr>
                <w:rFonts w:hint="eastAsia" w:ascii="Times New Roman" w:hAnsi="Times New Roman"/>
                <w:color w:val="auto"/>
                <w:kern w:val="0"/>
                <w:sz w:val="24"/>
                <w:szCs w:val="24"/>
                <w:lang w:bidi="ar"/>
              </w:rPr>
              <w:t>260</w:t>
            </w:r>
            <w:r>
              <w:rPr>
                <w:rFonts w:ascii="Times New Roman" w:hAnsi="Times New Roman"/>
                <w:color w:val="auto"/>
                <w:kern w:val="0"/>
                <w:sz w:val="24"/>
                <w:szCs w:val="24"/>
                <w:lang w:bidi="ar"/>
              </w:rPr>
              <w:t>mm宽*深*高</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输入开关：1个400A/2P/DC的开关；</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输出开关：不少于30个63A/2P/DC；</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其它配套：母排、</w:t>
            </w:r>
            <w:r>
              <w:rPr>
                <w:rFonts w:hint="eastAsia" w:ascii="Times New Roman" w:hAnsi="Times New Roman"/>
                <w:color w:val="auto"/>
                <w:kern w:val="0"/>
                <w:sz w:val="24"/>
                <w:szCs w:val="24"/>
                <w:lang w:bidi="ar"/>
              </w:rPr>
              <w:t>三</w:t>
            </w:r>
            <w:r>
              <w:rPr>
                <w:rFonts w:ascii="Times New Roman" w:hAnsi="Times New Roman"/>
                <w:color w:val="auto"/>
                <w:kern w:val="0"/>
                <w:sz w:val="24"/>
                <w:szCs w:val="24"/>
                <w:lang w:bidi="ar"/>
              </w:rPr>
              <w:t>级防雷器</w:t>
            </w:r>
            <w:r>
              <w:rPr>
                <w:rFonts w:hint="eastAsia" w:ascii="Times New Roman" w:hAnsi="Times New Roman"/>
                <w:color w:val="auto"/>
                <w:kern w:val="0"/>
                <w:sz w:val="24"/>
                <w:szCs w:val="24"/>
                <w:lang w:bidi="ar"/>
              </w:rPr>
              <w:t>（标称通流容量In≥10kA）</w:t>
            </w:r>
            <w:r>
              <w:rPr>
                <w:rFonts w:ascii="Times New Roman" w:hAnsi="Times New Roman"/>
                <w:color w:val="auto"/>
                <w:kern w:val="0"/>
                <w:sz w:val="24"/>
                <w:szCs w:val="24"/>
                <w:lang w:bidi="ar"/>
              </w:rPr>
              <w:t>、电量仪等。</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bl>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柜体颜色按RAL9004标准黑（最终颜色供货时需招标方确认）。</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配电柜元器件配置要求参考招标清单及施工图要求，供货时需与招标人确认，如果有元件器容量</w:t>
      </w:r>
      <w:r>
        <w:rPr>
          <w:rFonts w:hint="eastAsia" w:ascii="Times New Roman" w:hAnsi="Times New Roman"/>
          <w:color w:val="auto"/>
          <w:sz w:val="24"/>
          <w:szCs w:val="24"/>
        </w:rPr>
        <w:t>或数量</w:t>
      </w:r>
      <w:r>
        <w:rPr>
          <w:rFonts w:ascii="Times New Roman" w:hAnsi="Times New Roman"/>
          <w:color w:val="auto"/>
          <w:sz w:val="24"/>
          <w:szCs w:val="24"/>
        </w:rPr>
        <w:t>存在差异，投标人</w:t>
      </w:r>
      <w:r>
        <w:rPr>
          <w:rFonts w:hint="eastAsia" w:ascii="Times New Roman" w:hAnsi="Times New Roman"/>
          <w:color w:val="auto"/>
          <w:sz w:val="24"/>
          <w:szCs w:val="24"/>
        </w:rPr>
        <w:t>配合</w:t>
      </w:r>
      <w:r>
        <w:rPr>
          <w:rFonts w:ascii="Times New Roman" w:hAnsi="Times New Roman"/>
          <w:color w:val="auto"/>
          <w:sz w:val="24"/>
          <w:szCs w:val="24"/>
        </w:rPr>
        <w:t>免费提供。</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配电接线端应加装防护罩防止误碰短路。每路开关上方应具备通电指示灯（通电时绿色指示灯亮起，断开时指示灯熄灭）。前面板应配置总告警指示灯（告警时红色指示灯亮起）。</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整个通信直流供电系统的防失控任务由前端的电源系统主承担，防短路任务由电源系统和配电柜系统共同承担，确保工作连续性的任务由配电柜系统主承担；</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系统工作不能间断，局部可以在线更换，强调预警、报警和在线维护的重要性；</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电源系统保持相对独立，以求增加电源选型的普遍性和灵活性，已有电源系统（应有防失控措施）可以继续使用；</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任何情况下都必须确保两台高频开关电源之间不能形成互相充放电回路。</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任何情况下都必须确保两组与高频开关电源连接的蓄电池组之间不能形成互相充放电回路。</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直流配电柜应能在额定输出容量下，长期不间断运行。</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分路输出开关有单独的开关状态显示（亮－通；熄－断），优选LED显示，不采用耗电≥0.3A的灯泡作分路显示。</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容量：额定总输出电流满足设计要求； </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每路输入配置一个总控制开关，以方便检修维护和操作，控制开关采用手动开关。</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在负载设备正常工作的任何时刻，都不能脱离规定的电压范围（即43.2V～57.6V</w:t>
      </w:r>
      <w:r>
        <w:rPr>
          <w:rFonts w:hint="eastAsia" w:ascii="Times New Roman" w:hAnsi="Times New Roman"/>
          <w:color w:val="auto"/>
          <w:sz w:val="24"/>
          <w:szCs w:val="24"/>
        </w:rPr>
        <w:t>）</w:t>
      </w:r>
      <w:r>
        <w:rPr>
          <w:rFonts w:ascii="Times New Roman" w:hAnsi="Times New Roman"/>
          <w:color w:val="auto"/>
          <w:sz w:val="24"/>
          <w:szCs w:val="24"/>
        </w:rPr>
        <w:t>。</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配电柜由上至下的功能区为：有关标志；状态显示；监控模块；母线开关；分路输出开关与分路输出开关状态LED显示。</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面板显示：每路输出母线的直流电压、电流应有数值显示：</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w:t>
      </w:r>
      <w:r>
        <w:rPr>
          <w:rFonts w:ascii="Times New Roman" w:hAnsi="Times New Roman"/>
          <w:color w:val="auto"/>
          <w:sz w:val="24"/>
          <w:szCs w:val="24"/>
        </w:rPr>
        <w:tab/>
      </w:r>
      <w:r>
        <w:rPr>
          <w:rFonts w:ascii="Times New Roman" w:hAnsi="Times New Roman"/>
          <w:color w:val="auto"/>
          <w:sz w:val="24"/>
          <w:szCs w:val="24"/>
        </w:rPr>
        <w:t>每个输入控制开关状态应有发光的指示（闭合－亮   断开－熄）。</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(2)</w:t>
      </w:r>
      <w:r>
        <w:rPr>
          <w:rFonts w:ascii="Times New Roman" w:hAnsi="Times New Roman"/>
          <w:color w:val="auto"/>
          <w:sz w:val="24"/>
          <w:szCs w:val="24"/>
        </w:rPr>
        <w:tab/>
      </w:r>
      <w:r>
        <w:rPr>
          <w:rFonts w:ascii="Times New Roman" w:hAnsi="Times New Roman"/>
          <w:color w:val="auto"/>
          <w:sz w:val="24"/>
          <w:szCs w:val="24"/>
        </w:rPr>
        <w:t>每个分路输出开关状态应有LED指示（闭合－亮   断开－熄）。</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告警告知：告警时应有声音和光闪烁指示；</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w:t>
      </w:r>
      <w:r>
        <w:rPr>
          <w:rFonts w:ascii="Times New Roman" w:hAnsi="Times New Roman"/>
          <w:color w:val="auto"/>
          <w:sz w:val="24"/>
          <w:szCs w:val="24"/>
        </w:rPr>
        <w:tab/>
      </w:r>
      <w:r>
        <w:rPr>
          <w:rFonts w:ascii="Times New Roman" w:hAnsi="Times New Roman"/>
          <w:color w:val="auto"/>
          <w:sz w:val="24"/>
          <w:szCs w:val="24"/>
        </w:rPr>
        <w:t>任何一路输入电压异常应有告警；</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(2)</w:t>
      </w:r>
      <w:r>
        <w:rPr>
          <w:rFonts w:ascii="Times New Roman" w:hAnsi="Times New Roman"/>
          <w:color w:val="auto"/>
          <w:sz w:val="24"/>
          <w:szCs w:val="24"/>
        </w:rPr>
        <w:tab/>
      </w:r>
      <w:r>
        <w:rPr>
          <w:rFonts w:ascii="Times New Roman" w:hAnsi="Times New Roman"/>
          <w:color w:val="auto"/>
          <w:sz w:val="24"/>
          <w:szCs w:val="24"/>
        </w:rPr>
        <w:t>输出直流母线电压异常应有告警；</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w:t>
      </w:r>
      <w:r>
        <w:rPr>
          <w:rFonts w:ascii="Times New Roman" w:hAnsi="Times New Roman"/>
          <w:color w:val="auto"/>
          <w:sz w:val="24"/>
          <w:szCs w:val="24"/>
        </w:rPr>
        <w:tab/>
      </w:r>
      <w:r>
        <w:rPr>
          <w:rFonts w:ascii="Times New Roman" w:hAnsi="Times New Roman"/>
          <w:color w:val="auto"/>
          <w:sz w:val="24"/>
          <w:szCs w:val="24"/>
        </w:rPr>
        <w:t>任何一路输入控制开关断开应有告警；</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(4)</w:t>
      </w:r>
      <w:r>
        <w:rPr>
          <w:rFonts w:ascii="Times New Roman" w:hAnsi="Times New Roman"/>
          <w:color w:val="auto"/>
          <w:sz w:val="24"/>
          <w:szCs w:val="24"/>
        </w:rPr>
        <w:tab/>
      </w:r>
      <w:r>
        <w:rPr>
          <w:rFonts w:ascii="Times New Roman" w:hAnsi="Times New Roman"/>
          <w:color w:val="auto"/>
          <w:sz w:val="24"/>
          <w:szCs w:val="24"/>
        </w:rPr>
        <w:t>任何一路分路开关跳闸应有告警和告警屏蔽措施；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(5)</w:t>
      </w:r>
      <w:r>
        <w:rPr>
          <w:rFonts w:ascii="Times New Roman" w:hAnsi="Times New Roman"/>
          <w:color w:val="auto"/>
          <w:sz w:val="24"/>
          <w:szCs w:val="24"/>
        </w:rPr>
        <w:tab/>
      </w:r>
      <w:r>
        <w:rPr>
          <w:rFonts w:ascii="Times New Roman" w:hAnsi="Times New Roman"/>
          <w:color w:val="auto"/>
          <w:sz w:val="24"/>
          <w:szCs w:val="24"/>
        </w:rPr>
        <w:t>任何一路隔离二极管开路或短路应有告警；</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状态显示和告警时告警信息有送出端口。</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 xml:space="preserve">  柜内接线端子与接线</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接线端子的面积尺寸与通导的电流容量要适配。</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柜内接线要求如下：</w:t>
      </w:r>
      <w:r>
        <w:rPr>
          <w:rFonts w:ascii="Times New Roman" w:hAnsi="Times New Roman"/>
          <w:color w:val="auto"/>
          <w:sz w:val="24"/>
          <w:szCs w:val="24"/>
        </w:rPr>
        <w:tab/>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10A开关用4mm</w:t>
      </w:r>
      <w:r>
        <w:rPr>
          <w:rFonts w:ascii="Times New Roman" w:hAnsi="Times New Roman"/>
          <w:color w:val="auto"/>
          <w:sz w:val="24"/>
          <w:szCs w:val="24"/>
          <w:vertAlign w:val="superscript"/>
        </w:rPr>
        <w:t>2</w:t>
      </w:r>
      <w:r>
        <w:rPr>
          <w:rFonts w:ascii="Times New Roman" w:hAnsi="Times New Roman"/>
          <w:color w:val="auto"/>
          <w:sz w:val="24"/>
          <w:szCs w:val="24"/>
        </w:rPr>
        <w:t>的阻燃导线连接；</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16A、20A开关用6mm</w:t>
      </w:r>
      <w:r>
        <w:rPr>
          <w:rFonts w:ascii="Times New Roman" w:hAnsi="Times New Roman"/>
          <w:color w:val="auto"/>
          <w:sz w:val="24"/>
          <w:szCs w:val="24"/>
          <w:vertAlign w:val="superscript"/>
        </w:rPr>
        <w:t>2</w:t>
      </w:r>
      <w:r>
        <w:rPr>
          <w:rFonts w:ascii="Times New Roman" w:hAnsi="Times New Roman"/>
          <w:color w:val="auto"/>
          <w:sz w:val="24"/>
          <w:szCs w:val="24"/>
        </w:rPr>
        <w:t>的阻燃导线连接；</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32A开关用10mm</w:t>
      </w:r>
      <w:r>
        <w:rPr>
          <w:rFonts w:ascii="Times New Roman" w:hAnsi="Times New Roman"/>
          <w:color w:val="auto"/>
          <w:sz w:val="24"/>
          <w:szCs w:val="24"/>
          <w:vertAlign w:val="superscript"/>
        </w:rPr>
        <w:t>2</w:t>
      </w:r>
      <w:r>
        <w:rPr>
          <w:rFonts w:ascii="Times New Roman" w:hAnsi="Times New Roman"/>
          <w:color w:val="auto"/>
          <w:sz w:val="24"/>
          <w:szCs w:val="24"/>
        </w:rPr>
        <w:t>的阻燃导线连接；</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63A开关用16mm</w:t>
      </w:r>
      <w:r>
        <w:rPr>
          <w:rFonts w:ascii="Times New Roman" w:hAnsi="Times New Roman"/>
          <w:color w:val="auto"/>
          <w:sz w:val="24"/>
          <w:szCs w:val="24"/>
          <w:vertAlign w:val="superscript"/>
        </w:rPr>
        <w:t>2</w:t>
      </w:r>
      <w:r>
        <w:rPr>
          <w:rFonts w:ascii="Times New Roman" w:hAnsi="Times New Roman"/>
          <w:color w:val="auto"/>
          <w:sz w:val="24"/>
          <w:szCs w:val="24"/>
        </w:rPr>
        <w:t>的阻燃导线连接；</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线缆必须对始末端编号，在同一机柜内线缆不能有重复编号（模块化单元内部除外）。</w:t>
      </w:r>
    </w:p>
    <w:p>
      <w:pPr>
        <w:numPr>
          <w:ilvl w:val="0"/>
          <w:numId w:val="87"/>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接地与安全</w:t>
      </w:r>
    </w:p>
    <w:p>
      <w:pPr>
        <w:numPr>
          <w:ilvl w:val="0"/>
          <w:numId w:val="88"/>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接地点应有明显的标识；</w:t>
      </w:r>
    </w:p>
    <w:p>
      <w:pPr>
        <w:numPr>
          <w:ilvl w:val="0"/>
          <w:numId w:val="88"/>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配电柜提供的接地点，应能连接50mm</w:t>
      </w:r>
      <w:r>
        <w:rPr>
          <w:rFonts w:ascii="Times New Roman" w:hAnsi="Times New Roman"/>
          <w:color w:val="auto"/>
          <w:sz w:val="24"/>
          <w:szCs w:val="24"/>
          <w:vertAlign w:val="superscript"/>
        </w:rPr>
        <w:t>2</w:t>
      </w:r>
      <w:r>
        <w:rPr>
          <w:rFonts w:ascii="Times New Roman" w:hAnsi="Times New Roman"/>
          <w:color w:val="auto"/>
          <w:sz w:val="24"/>
          <w:szCs w:val="24"/>
        </w:rPr>
        <w:t>的线缆，以满足安全接地要求；</w:t>
      </w:r>
    </w:p>
    <w:p>
      <w:pPr>
        <w:numPr>
          <w:ilvl w:val="0"/>
          <w:numId w:val="88"/>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在各操作界面，操作人员有可能触及到的，有危险的裸露带电导体的地方，应有明显的安全标识。</w:t>
      </w:r>
    </w:p>
    <w:p>
      <w:pPr>
        <w:snapToGrid w:val="0"/>
        <w:spacing w:line="360" w:lineRule="auto"/>
        <w:jc w:val="left"/>
        <w:rPr>
          <w:rFonts w:ascii="Times New Roman" w:hAnsi="Times New Roman"/>
          <w:color w:val="auto"/>
          <w:sz w:val="24"/>
          <w:szCs w:val="24"/>
        </w:rPr>
      </w:pPr>
      <w:bookmarkStart w:id="463" w:name="OLE_LINK20"/>
      <w:bookmarkStart w:id="464" w:name="OLE_LINK19"/>
      <w:r>
        <w:rPr>
          <w:rFonts w:ascii="Times New Roman" w:hAnsi="Times New Roman"/>
          <w:color w:val="auto"/>
          <w:sz w:val="24"/>
          <w:szCs w:val="24"/>
        </w:rPr>
        <w:object>
          <v:shape id="_x0000_i1028" o:spt="75" type="#_x0000_t75" style="height:379.4pt;width:238.55pt;" o:ole="t" filled="f" o:preferrelative="t" stroked="f" coordsize="21600,21600">
            <v:path/>
            <v:fill on="f" focussize="0,0"/>
            <v:stroke on="f" joinstyle="miter"/>
            <v:imagedata r:id="rId37" cropleft="16169f" croptop="10810f" cropright="37670f" cropbottom="6756f" o:title=""/>
            <o:lock v:ext="edit" aspectratio="t"/>
            <w10:wrap type="none"/>
            <w10:anchorlock/>
          </v:shape>
          <o:OLEObject Type="Embed" ProgID="AutoCAD.Drawing.17" ShapeID="_x0000_i1028" DrawAspect="Content" ObjectID="_1468075728" r:id="rId36">
            <o:LockedField>false</o:LockedField>
          </o:OLEObject>
        </w:object>
      </w:r>
      <w:bookmarkEnd w:id="463"/>
      <w:bookmarkEnd w:id="464"/>
      <w:r>
        <w:rPr>
          <w:rFonts w:ascii="Times New Roman" w:hAnsi="Times New Roman"/>
          <w:color w:val="auto"/>
          <w:sz w:val="24"/>
          <w:szCs w:val="24"/>
        </w:rPr>
        <w:object>
          <v:shape id="_x0000_i1029" o:spt="75" type="#_x0000_t75" style="height:377.55pt;width:232.9pt;" o:ole="t" filled="f" o:preferrelative="t" stroked="f" coordsize="21600,21600">
            <v:path/>
            <v:fill on="f" focussize="0,0"/>
            <v:stroke on="f" joinstyle="miter"/>
            <v:imagedata r:id="rId39" cropleft="26978f" croptop="10797f" cropright="27297f" cropbottom="7113f" o:title=""/>
            <o:lock v:ext="edit" aspectratio="t"/>
            <w10:wrap type="none"/>
            <w10:anchorlock/>
          </v:shape>
          <o:OLEObject Type="Embed" ProgID="AutoCAD.Drawing.17" ShapeID="_x0000_i1029" DrawAspect="Content" ObjectID="_1468075729" r:id="rId38">
            <o:LockedField>false</o:LockedField>
          </o:OLEObject>
        </w:object>
      </w:r>
    </w:p>
    <w:p>
      <w:pPr>
        <w:tabs>
          <w:tab w:val="left" w:pos="1440"/>
          <w:tab w:val="left" w:pos="3960"/>
        </w:tabs>
        <w:adjustRightInd w:val="0"/>
        <w:snapToGrid w:val="0"/>
        <w:spacing w:line="360" w:lineRule="auto"/>
        <w:jc w:val="center"/>
        <w:rPr>
          <w:rFonts w:ascii="Times New Roman" w:hAnsi="Times New Roman"/>
          <w:b/>
          <w:color w:val="auto"/>
          <w:sz w:val="24"/>
          <w:szCs w:val="24"/>
        </w:rPr>
      </w:pPr>
      <w:r>
        <w:rPr>
          <w:rFonts w:ascii="Times New Roman" w:hAnsi="Times New Roman"/>
          <w:color w:val="auto"/>
          <w:sz w:val="24"/>
          <w:szCs w:val="24"/>
        </w:rPr>
        <w:t>图8.3.5-1单母线输入的直流输出柜正面布局示意图/图8.3.5-2单母线输入的直流输出柜背面布局示意图</w:t>
      </w:r>
    </w:p>
    <w:p>
      <w:pPr>
        <w:pStyle w:val="4"/>
        <w:numPr>
          <w:ilvl w:val="1"/>
          <w:numId w:val="25"/>
        </w:numPr>
        <w:spacing w:line="360" w:lineRule="auto"/>
        <w:rPr>
          <w:rFonts w:ascii="Times New Roman" w:hAnsi="Times New Roman"/>
          <w:b/>
          <w:bCs/>
          <w:color w:val="auto"/>
          <w:sz w:val="24"/>
          <w:szCs w:val="24"/>
        </w:rPr>
      </w:pPr>
      <w:bookmarkStart w:id="465" w:name="_Toc11730"/>
      <w:bookmarkStart w:id="466" w:name="_Toc19611"/>
      <w:bookmarkStart w:id="467" w:name="_Toc5609"/>
      <w:bookmarkStart w:id="468" w:name="_Toc14356"/>
      <w:bookmarkStart w:id="469" w:name="_Toc19729"/>
      <w:bookmarkStart w:id="470" w:name="_Toc26901"/>
      <w:bookmarkStart w:id="471" w:name="_Toc5666"/>
      <w:r>
        <w:rPr>
          <w:rFonts w:ascii="Times New Roman" w:hAnsi="Times New Roman"/>
          <w:b/>
          <w:bCs/>
          <w:color w:val="auto"/>
          <w:sz w:val="24"/>
          <w:szCs w:val="24"/>
        </w:rPr>
        <w:t>蓄电池技术要求</w:t>
      </w:r>
      <w:bookmarkEnd w:id="465"/>
      <w:bookmarkEnd w:id="466"/>
      <w:bookmarkEnd w:id="467"/>
      <w:bookmarkEnd w:id="468"/>
      <w:bookmarkEnd w:id="469"/>
      <w:bookmarkEnd w:id="470"/>
      <w:bookmarkEnd w:id="471"/>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配置说明、蓄电池类型及供电时间</w:t>
      </w:r>
    </w:p>
    <w:p>
      <w:pPr>
        <w:tabs>
          <w:tab w:val="left" w:pos="420"/>
        </w:tabs>
        <w:snapToGrid w:val="0"/>
        <w:spacing w:line="360" w:lineRule="auto"/>
        <w:ind w:firstLine="420" w:firstLineChars="200"/>
        <w:rPr>
          <w:rFonts w:hint="default" w:eastAsia="宋体"/>
          <w:color w:val="auto"/>
          <w:lang w:val="en-US" w:eastAsia="zh-CN"/>
        </w:rPr>
      </w:pPr>
      <w:r>
        <w:rPr>
          <w:rFonts w:hint="eastAsia"/>
          <w:color w:val="auto"/>
          <w:lang w:val="en-US" w:eastAsia="zh-CN"/>
        </w:rPr>
        <w:t>特此说明：开关站、厂房、办公楼的通信电源蓄电池及办公楼两组UPS铅酸蓄电池不在本标包采购。</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通信交流不间断电源蓄电池配置要求</w:t>
      </w:r>
    </w:p>
    <w:p>
      <w:pPr>
        <w:numPr>
          <w:ilvl w:val="0"/>
          <w:numId w:val="89"/>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电池类型：固定型阀控式密封铅酸蓄电池，单体电压为12V，</w:t>
      </w:r>
      <w:r>
        <w:rPr>
          <w:rFonts w:ascii="Times New Roman" w:hAnsi="Times New Roman"/>
          <w:b/>
          <w:color w:val="auto"/>
          <w:sz w:val="24"/>
          <w:szCs w:val="24"/>
        </w:rPr>
        <w:t>投标单位须提供</w:t>
      </w:r>
      <w:r>
        <w:rPr>
          <w:rFonts w:hint="eastAsia" w:ascii="Times New Roman" w:hAnsi="Times New Roman"/>
          <w:b/>
          <w:color w:val="auto"/>
          <w:sz w:val="24"/>
          <w:szCs w:val="24"/>
          <w:lang w:val="en-US" w:eastAsia="zh-CN"/>
        </w:rPr>
        <w:t>第三方检验报告</w:t>
      </w:r>
      <w:r>
        <w:rPr>
          <w:rFonts w:ascii="Times New Roman" w:hAnsi="Times New Roman"/>
          <w:b/>
          <w:color w:val="auto"/>
          <w:sz w:val="24"/>
          <w:szCs w:val="24"/>
        </w:rPr>
        <w:t>。</w:t>
      </w:r>
    </w:p>
    <w:p>
      <w:pPr>
        <w:numPr>
          <w:ilvl w:val="0"/>
          <w:numId w:val="89"/>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电池寿命：20℃～25℃环境下，浮充运行的寿命≥12 年</w:t>
      </w:r>
    </w:p>
    <w:tbl>
      <w:tblPr>
        <w:tblStyle w:val="5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305"/>
        <w:gridCol w:w="2297"/>
        <w:gridCol w:w="3279"/>
        <w:gridCol w:w="767"/>
        <w:gridCol w:w="771"/>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序号</w:t>
            </w:r>
          </w:p>
        </w:tc>
        <w:tc>
          <w:tcPr>
            <w:tcW w:w="65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位置</w:t>
            </w:r>
          </w:p>
        </w:tc>
        <w:tc>
          <w:tcPr>
            <w:tcW w:w="1153"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名称</w:t>
            </w:r>
          </w:p>
        </w:tc>
        <w:tc>
          <w:tcPr>
            <w:tcW w:w="1646"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规格参数</w:t>
            </w:r>
          </w:p>
        </w:tc>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单位</w:t>
            </w:r>
          </w:p>
        </w:tc>
        <w:tc>
          <w:tcPr>
            <w:tcW w:w="38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数量</w:t>
            </w:r>
          </w:p>
        </w:tc>
        <w:tc>
          <w:tcPr>
            <w:tcW w:w="387" w:type="pct"/>
            <w:noWrap/>
            <w:vAlign w:val="center"/>
          </w:tcPr>
          <w:p>
            <w:pPr>
              <w:widowControl/>
              <w:spacing w:line="360" w:lineRule="auto"/>
              <w:jc w:val="center"/>
              <w:rPr>
                <w:rFonts w:ascii="Times New Roman" w:hAnsi="Times New Roman"/>
                <w:color w:val="auto"/>
                <w:sz w:val="24"/>
                <w:szCs w:val="24"/>
              </w:rPr>
            </w:pPr>
            <w:r>
              <w:rPr>
                <w:rFonts w:hint="eastAsia" w:ascii="Times New Roman" w:hAnsi="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w:t>
            </w:r>
          </w:p>
        </w:tc>
        <w:tc>
          <w:tcPr>
            <w:tcW w:w="65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开关站</w:t>
            </w:r>
          </w:p>
        </w:tc>
        <w:tc>
          <w:tcPr>
            <w:tcW w:w="1153" w:type="pct"/>
            <w:noWrap/>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铅酸蓄电池1</w:t>
            </w:r>
          </w:p>
        </w:tc>
        <w:tc>
          <w:tcPr>
            <w:tcW w:w="1646" w:type="pct"/>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12V/240AH</w:t>
            </w:r>
          </w:p>
        </w:tc>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节</w:t>
            </w:r>
          </w:p>
        </w:tc>
        <w:tc>
          <w:tcPr>
            <w:tcW w:w="38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64</w:t>
            </w:r>
          </w:p>
        </w:tc>
        <w:tc>
          <w:tcPr>
            <w:tcW w:w="387" w:type="pct"/>
            <w:noWrap/>
            <w:vAlign w:val="center"/>
          </w:tcPr>
          <w:p>
            <w:pPr>
              <w:widowControl/>
              <w:spacing w:line="360" w:lineRule="auto"/>
              <w:jc w:val="center"/>
              <w:rPr>
                <w:rFonts w:ascii="Times New Roman" w:hAnsi="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2</w:t>
            </w:r>
          </w:p>
        </w:tc>
        <w:tc>
          <w:tcPr>
            <w:tcW w:w="65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开关站</w:t>
            </w:r>
          </w:p>
        </w:tc>
        <w:tc>
          <w:tcPr>
            <w:tcW w:w="1153" w:type="pct"/>
            <w:noWrap/>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铅酸蓄电池2</w:t>
            </w:r>
          </w:p>
        </w:tc>
        <w:tc>
          <w:tcPr>
            <w:tcW w:w="1646" w:type="pct"/>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12V/240AH</w:t>
            </w:r>
          </w:p>
        </w:tc>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节</w:t>
            </w:r>
          </w:p>
        </w:tc>
        <w:tc>
          <w:tcPr>
            <w:tcW w:w="38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64</w:t>
            </w:r>
          </w:p>
        </w:tc>
        <w:tc>
          <w:tcPr>
            <w:tcW w:w="387" w:type="pct"/>
            <w:noWrap/>
            <w:vAlign w:val="center"/>
          </w:tcPr>
          <w:p>
            <w:pPr>
              <w:widowControl/>
              <w:spacing w:line="360" w:lineRule="auto"/>
              <w:jc w:val="center"/>
              <w:rPr>
                <w:rFonts w:ascii="Times New Roman" w:hAnsi="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3</w:t>
            </w:r>
          </w:p>
        </w:tc>
        <w:tc>
          <w:tcPr>
            <w:tcW w:w="65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地下厂房</w:t>
            </w:r>
          </w:p>
        </w:tc>
        <w:tc>
          <w:tcPr>
            <w:tcW w:w="1153" w:type="pct"/>
            <w:noWrap/>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铅酸蓄电池1</w:t>
            </w:r>
          </w:p>
        </w:tc>
        <w:tc>
          <w:tcPr>
            <w:tcW w:w="1646" w:type="pct"/>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12V/240AH</w:t>
            </w:r>
          </w:p>
        </w:tc>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节</w:t>
            </w:r>
          </w:p>
        </w:tc>
        <w:tc>
          <w:tcPr>
            <w:tcW w:w="38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64</w:t>
            </w:r>
          </w:p>
        </w:tc>
        <w:tc>
          <w:tcPr>
            <w:tcW w:w="387" w:type="pct"/>
            <w:noWrap/>
            <w:vAlign w:val="center"/>
          </w:tcPr>
          <w:p>
            <w:pPr>
              <w:widowControl/>
              <w:spacing w:line="360" w:lineRule="auto"/>
              <w:jc w:val="center"/>
              <w:rPr>
                <w:rFonts w:ascii="Times New Roman" w:hAnsi="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4</w:t>
            </w:r>
          </w:p>
        </w:tc>
        <w:tc>
          <w:tcPr>
            <w:tcW w:w="65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地下厂房</w:t>
            </w:r>
          </w:p>
        </w:tc>
        <w:tc>
          <w:tcPr>
            <w:tcW w:w="1153" w:type="pct"/>
            <w:noWrap/>
            <w:vAlign w:val="center"/>
          </w:tcPr>
          <w:p>
            <w:pPr>
              <w:widowControl/>
              <w:spacing w:line="360" w:lineRule="auto"/>
              <w:jc w:val="left"/>
              <w:rPr>
                <w:rFonts w:ascii="Times New Roman" w:hAnsi="Times New Roman"/>
                <w:color w:val="auto"/>
                <w:sz w:val="24"/>
                <w:szCs w:val="24"/>
              </w:rPr>
            </w:pPr>
            <w:r>
              <w:rPr>
                <w:rFonts w:ascii="Times New Roman" w:hAnsi="Times New Roman"/>
                <w:color w:val="auto"/>
                <w:sz w:val="24"/>
                <w:szCs w:val="24"/>
              </w:rPr>
              <w:t>铅酸蓄电池2</w:t>
            </w:r>
          </w:p>
        </w:tc>
        <w:tc>
          <w:tcPr>
            <w:tcW w:w="1646" w:type="pct"/>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12V/240AH</w:t>
            </w:r>
          </w:p>
        </w:tc>
        <w:tc>
          <w:tcPr>
            <w:tcW w:w="385"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节</w:t>
            </w:r>
          </w:p>
        </w:tc>
        <w:tc>
          <w:tcPr>
            <w:tcW w:w="387" w:type="pct"/>
            <w:noWrap/>
            <w:vAlign w:val="center"/>
          </w:tcPr>
          <w:p>
            <w:pPr>
              <w:widowControl/>
              <w:spacing w:line="360" w:lineRule="auto"/>
              <w:jc w:val="center"/>
              <w:rPr>
                <w:rFonts w:ascii="Times New Roman" w:hAnsi="Times New Roman"/>
                <w:color w:val="auto"/>
                <w:sz w:val="24"/>
                <w:szCs w:val="24"/>
              </w:rPr>
            </w:pPr>
            <w:r>
              <w:rPr>
                <w:rFonts w:ascii="Times New Roman" w:hAnsi="Times New Roman"/>
                <w:color w:val="auto"/>
                <w:sz w:val="24"/>
                <w:szCs w:val="24"/>
              </w:rPr>
              <w:t>64</w:t>
            </w:r>
          </w:p>
        </w:tc>
        <w:tc>
          <w:tcPr>
            <w:tcW w:w="387" w:type="pct"/>
            <w:noWrap/>
            <w:vAlign w:val="center"/>
          </w:tcPr>
          <w:p>
            <w:pPr>
              <w:widowControl/>
              <w:spacing w:line="360" w:lineRule="auto"/>
              <w:jc w:val="center"/>
              <w:rPr>
                <w:rFonts w:ascii="Times New Roman" w:hAnsi="Times New Roman"/>
                <w:color w:val="auto"/>
                <w:sz w:val="24"/>
                <w:szCs w:val="24"/>
              </w:rPr>
            </w:pPr>
          </w:p>
        </w:tc>
      </w:tr>
    </w:tbl>
    <w:p>
      <w:pPr>
        <w:tabs>
          <w:tab w:val="left" w:pos="420"/>
        </w:tabs>
        <w:snapToGrid w:val="0"/>
        <w:spacing w:line="360" w:lineRule="auto"/>
        <w:ind w:firstLine="482" w:firstLineChars="200"/>
        <w:rPr>
          <w:rFonts w:ascii="Times New Roman" w:hAnsi="Times New Roman"/>
          <w:b/>
          <w:color w:val="auto"/>
          <w:sz w:val="24"/>
          <w:szCs w:val="24"/>
        </w:rPr>
      </w:pPr>
      <w:r>
        <w:rPr>
          <w:rFonts w:ascii="Times New Roman" w:hAnsi="Times New Roman"/>
          <w:b/>
          <w:color w:val="auto"/>
          <w:sz w:val="24"/>
          <w:szCs w:val="24"/>
        </w:rPr>
        <w:t>蓄电池需满足投标UPS型号的蓄电池母线电压范围要求，投标方可根据UPS型号优化蓄电池结构，但不得小于整系统2h备电时间。</w:t>
      </w:r>
    </w:p>
    <w:p>
      <w:pPr>
        <w:pStyle w:val="118"/>
        <w:numPr>
          <w:ilvl w:val="3"/>
          <w:numId w:val="25"/>
        </w:numPr>
        <w:spacing w:before="0" w:after="0"/>
        <w:rPr>
          <w:rFonts w:ascii="Times New Roman" w:hAnsi="Times New Roman"/>
          <w:color w:val="auto"/>
          <w:sz w:val="24"/>
          <w:szCs w:val="24"/>
        </w:rPr>
      </w:pPr>
      <w:r>
        <w:rPr>
          <w:rFonts w:ascii="Times New Roman" w:hAnsi="Times New Roman"/>
          <w:color w:val="auto"/>
          <w:sz w:val="24"/>
          <w:szCs w:val="24"/>
        </w:rPr>
        <w:t>通信电源蓄电池配置要求</w:t>
      </w:r>
    </w:p>
    <w:p>
      <w:pPr>
        <w:numPr>
          <w:ilvl w:val="-1"/>
          <w:numId w:val="0"/>
        </w:numPr>
        <w:tabs>
          <w:tab w:val="left" w:pos="420"/>
        </w:tabs>
        <w:snapToGrid w:val="0"/>
        <w:spacing w:line="360" w:lineRule="auto"/>
        <w:ind w:left="0" w:firstLine="480" w:firstLineChars="200"/>
        <w:rPr>
          <w:rFonts w:hint="default" w:ascii="Times New Roman" w:hAnsi="Times New Roman" w:eastAsia="宋体"/>
          <w:b w:val="0"/>
          <w:bCs/>
          <w:color w:val="auto"/>
          <w:sz w:val="24"/>
          <w:szCs w:val="24"/>
          <w:lang w:val="en-US" w:eastAsia="zh-CN"/>
        </w:rPr>
      </w:pPr>
      <w:r>
        <w:rPr>
          <w:rFonts w:ascii="Times New Roman" w:hAnsi="Times New Roman"/>
          <w:b w:val="0"/>
          <w:bCs/>
          <w:color w:val="auto"/>
          <w:sz w:val="24"/>
          <w:szCs w:val="24"/>
        </w:rPr>
        <w:t>开关站按照不小于8小时配置，办公楼和地下厂房按照不小于6小时配置。</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蓄电池技术性能</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电池容量</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蓄电池组容量：根据UPS和通信的指标配合选用；</w:t>
      </w:r>
    </w:p>
    <w:p>
      <w:pPr>
        <w:snapToGrid w:val="0"/>
        <w:spacing w:line="360" w:lineRule="auto"/>
        <w:ind w:firstLine="482" w:firstLineChars="200"/>
        <w:rPr>
          <w:rFonts w:ascii="Times New Roman" w:hAnsi="Times New Roman"/>
          <w:b/>
          <w:color w:val="auto"/>
          <w:sz w:val="24"/>
          <w:szCs w:val="24"/>
        </w:rPr>
      </w:pPr>
      <w:r>
        <w:rPr>
          <w:rFonts w:ascii="Times New Roman" w:hAnsi="Times New Roman"/>
          <w:b/>
          <w:color w:val="auto"/>
          <w:sz w:val="24"/>
          <w:szCs w:val="24"/>
        </w:rPr>
        <w:t>蓄电池容量规定为单体终止电压1.8V/(25℃)10小时率容量（标称电压2V/12V）。</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投标方提供的蓄电池除满足10小时率容量外，同时应满足3小时率和1小时率容量要求。</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 3小时率额定容量不低于0.75C</w:t>
      </w:r>
      <w:r>
        <w:rPr>
          <w:rFonts w:ascii="Times New Roman" w:hAnsi="Times New Roman"/>
          <w:color w:val="auto"/>
          <w:sz w:val="24"/>
          <w:szCs w:val="24"/>
          <w:vertAlign w:val="subscript"/>
        </w:rPr>
        <w:t>10</w:t>
      </w:r>
      <w:r>
        <w:rPr>
          <w:rFonts w:ascii="Times New Roman" w:hAnsi="Times New Roman"/>
          <w:color w:val="auto"/>
          <w:sz w:val="24"/>
          <w:szCs w:val="24"/>
        </w:rPr>
        <w:t>，条件为在25℃环境下，放电电流为2.5I</w:t>
      </w:r>
      <w:r>
        <w:rPr>
          <w:rFonts w:ascii="Times New Roman" w:hAnsi="Times New Roman"/>
          <w:color w:val="auto"/>
          <w:sz w:val="24"/>
          <w:szCs w:val="24"/>
          <w:vertAlign w:val="subscript"/>
        </w:rPr>
        <w:t>10</w:t>
      </w:r>
      <w:r>
        <w:rPr>
          <w:rFonts w:ascii="Times New Roman" w:hAnsi="Times New Roman"/>
          <w:color w:val="auto"/>
          <w:sz w:val="24"/>
          <w:szCs w:val="24"/>
        </w:rPr>
        <w:t>（A），单体终止电压为1.8V；</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b) 1小时率额定容量不低于0.55C</w:t>
      </w:r>
      <w:r>
        <w:rPr>
          <w:rFonts w:ascii="Times New Roman" w:hAnsi="Times New Roman"/>
          <w:color w:val="auto"/>
          <w:sz w:val="24"/>
          <w:szCs w:val="24"/>
          <w:vertAlign w:val="subscript"/>
        </w:rPr>
        <w:t>10</w:t>
      </w:r>
      <w:r>
        <w:rPr>
          <w:rFonts w:ascii="Times New Roman" w:hAnsi="Times New Roman"/>
          <w:color w:val="auto"/>
          <w:sz w:val="24"/>
          <w:szCs w:val="24"/>
        </w:rPr>
        <w:t>，条件为在25℃环境下，放电电流为5.5I</w:t>
      </w:r>
      <w:r>
        <w:rPr>
          <w:rFonts w:ascii="Times New Roman" w:hAnsi="Times New Roman"/>
          <w:color w:val="auto"/>
          <w:sz w:val="24"/>
          <w:szCs w:val="24"/>
          <w:vertAlign w:val="subscript"/>
        </w:rPr>
        <w:t>10</w:t>
      </w:r>
      <w:r>
        <w:rPr>
          <w:rFonts w:ascii="Times New Roman" w:hAnsi="Times New Roman"/>
          <w:color w:val="auto"/>
          <w:sz w:val="24"/>
          <w:szCs w:val="24"/>
        </w:rPr>
        <w:t>（A），单体终止电压为1.75V。</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最大放电电流：以30I</w:t>
      </w:r>
      <w:r>
        <w:rPr>
          <w:rFonts w:ascii="Times New Roman" w:hAnsi="Times New Roman"/>
          <w:color w:val="auto"/>
          <w:sz w:val="24"/>
          <w:szCs w:val="24"/>
          <w:vertAlign w:val="subscript"/>
        </w:rPr>
        <w:t>10</w:t>
      </w:r>
      <w:r>
        <w:rPr>
          <w:rFonts w:ascii="Times New Roman" w:hAnsi="Times New Roman"/>
          <w:color w:val="auto"/>
          <w:sz w:val="24"/>
          <w:szCs w:val="24"/>
        </w:rPr>
        <w:t>（A）放电3min，极柱不熔断，外观无异常。</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容量保存率：静置90天不低于80％。</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密封反应效率：不低于95％。</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气密性： 蓄电池在-30℃至65℃时封口剂应无裂纹及溢流。能承受50 kPa 的正压或负压而不破裂、不开胶，压力释放后壳体无残余变形。</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▲蓄电池的槽、盖、安全阀、极柱、封口剂等为阻燃材料，其阻燃标准应符合</w:t>
      </w:r>
      <w:r>
        <w:rPr>
          <w:rFonts w:ascii="Times New Roman" w:hAnsi="Times New Roman"/>
          <w:b/>
          <w:color w:val="auto"/>
          <w:sz w:val="24"/>
          <w:szCs w:val="24"/>
        </w:rPr>
        <w:t>GB/T 2408-2008</w:t>
      </w:r>
      <w:r>
        <w:rPr>
          <w:rFonts w:ascii="Times New Roman" w:hAnsi="Times New Roman"/>
          <w:color w:val="auto"/>
          <w:sz w:val="24"/>
          <w:szCs w:val="24"/>
        </w:rPr>
        <w:t>《塑料燃烧性能的测定水平法和垂直法》中的第8.3.2节FH-1 （水平级）和第9.3.2节FV-0（垂直级）的要求。蓄电池间接线板、终端接头应选择导电性能优良的材料，并具有防腐蚀措施。</w:t>
      </w:r>
      <w:r>
        <w:rPr>
          <w:rFonts w:ascii="Times New Roman" w:hAnsi="Times New Roman"/>
          <w:b/>
          <w:color w:val="auto"/>
          <w:sz w:val="24"/>
          <w:szCs w:val="24"/>
        </w:rPr>
        <w:t>投标方须提供电池阻燃认证</w:t>
      </w:r>
      <w:r>
        <w:rPr>
          <w:rFonts w:ascii="Times New Roman" w:hAnsi="Times New Roman"/>
          <w:color w:val="auto"/>
          <w:sz w:val="24"/>
          <w:szCs w:val="24"/>
        </w:rPr>
        <w:t>。</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安全阀：为预防产生过多的气体，装有安全阀。安全阀应具有自动开启和自动关闭的功能，其开阀压力应在10-49kPa范围内，闭阀压力应在1-30kPa范围内。</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防爆性能：在充电过程遇有明火，内部</w:t>
      </w:r>
      <w:r>
        <w:rPr>
          <w:rFonts w:ascii="Times New Roman" w:hAnsi="Times New Roman"/>
          <w:b/>
          <w:color w:val="auto"/>
          <w:sz w:val="24"/>
          <w:szCs w:val="24"/>
        </w:rPr>
        <w:t>应不引燃、</w:t>
      </w:r>
      <w:r>
        <w:rPr>
          <w:rFonts w:ascii="Times New Roman" w:hAnsi="Times New Roman"/>
          <w:color w:val="auto"/>
          <w:sz w:val="24"/>
          <w:szCs w:val="24"/>
        </w:rPr>
        <w:t>不引爆。</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防酸雾性能：蓄电池正常工作过程中无酸雾逸出。</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耐过充电能力：蓄电池以0.3I</w:t>
      </w:r>
      <w:r>
        <w:rPr>
          <w:rFonts w:ascii="Times New Roman" w:hAnsi="Times New Roman"/>
          <w:color w:val="auto"/>
          <w:sz w:val="24"/>
          <w:szCs w:val="24"/>
          <w:vertAlign w:val="subscript"/>
        </w:rPr>
        <w:t>10</w:t>
      </w:r>
      <w:r>
        <w:rPr>
          <w:rFonts w:ascii="Times New Roman" w:hAnsi="Times New Roman"/>
          <w:color w:val="auto"/>
          <w:sz w:val="24"/>
          <w:szCs w:val="24"/>
        </w:rPr>
        <w:t>电流连续充电160 h试验后，外观无明显渗液和变形。</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单体偏差：各单体电池开路电压最高与最低差值应不大于20 mV（2V）、50 mV（6V）、100 mV（12V）。</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电池之间连接：蓄电池的正极、负极端子应该便于连接，有明显极性标记。</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连接条压降：蓄电池按1小时率放电时，两只电池间连接电压降，在各极柱根部测量值应小于10mV。</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极柱端子结构：蓄电池极柱端子设计应方便运行维护过程中的蓄电池电压、内阻测量以及蓄电池间连接条紧固，并应具有防止在运行过程发生因误碰等原因造成的蓄电池极柱间短路的措施。</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对于阀控式密封铅酸蓄电池，蓄电池进入浮充状态24h后，各电池间的端电压差应符合以下要求：a)蓄电池组由不多于24只2V蓄电池组成时，各电池间的端电压差不大于90mV；b)蓄电池组由多于24只2V蓄电池组成时，各电池间的端电压差不大于200mV；c)标称电压为6V的蓄电池，各电池间的端电压差不大于240mV（6V）；d)标称电压为12V的蓄电池，各电池间的端电压差不大于480mV（12V）</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全浮充工作方式在12年使用期内，MTBF≥3.5×10</w:t>
      </w:r>
      <w:r>
        <w:rPr>
          <w:rFonts w:ascii="Times New Roman" w:hAnsi="Times New Roman"/>
          <w:color w:val="auto"/>
          <w:sz w:val="24"/>
          <w:szCs w:val="24"/>
          <w:vertAlign w:val="superscript"/>
        </w:rPr>
        <w:t>4</w:t>
      </w:r>
      <w:r>
        <w:rPr>
          <w:rFonts w:ascii="Times New Roman" w:hAnsi="Times New Roman"/>
          <w:color w:val="auto"/>
          <w:sz w:val="24"/>
          <w:szCs w:val="24"/>
        </w:rPr>
        <w:t xml:space="preserve"> h，不可用度≤3.43×10</w:t>
      </w:r>
      <w:r>
        <w:rPr>
          <w:rFonts w:ascii="Times New Roman" w:hAnsi="Times New Roman"/>
          <w:color w:val="auto"/>
          <w:sz w:val="24"/>
          <w:szCs w:val="24"/>
          <w:vertAlign w:val="superscript"/>
        </w:rPr>
        <w:t>－5</w:t>
      </w:r>
      <w:r>
        <w:rPr>
          <w:rFonts w:ascii="Times New Roman" w:hAnsi="Times New Roman"/>
          <w:color w:val="auto"/>
          <w:sz w:val="24"/>
          <w:szCs w:val="24"/>
        </w:rPr>
        <w:t>。</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环境温度25℃时，蓄电池浮充和均充电压参照下表或按蓄电池厂家推荐值选取。</w:t>
      </w:r>
    </w:p>
    <w:p>
      <w:pPr>
        <w:snapToGrid w:val="0"/>
        <w:spacing w:line="360" w:lineRule="auto"/>
        <w:ind w:left="420" w:leftChars="200"/>
        <w:jc w:val="center"/>
        <w:rPr>
          <w:rFonts w:ascii="Times New Roman" w:hAnsi="Times New Roman"/>
          <w:color w:val="auto"/>
          <w:sz w:val="24"/>
          <w:szCs w:val="24"/>
        </w:rPr>
      </w:pPr>
      <w:r>
        <w:rPr>
          <w:rFonts w:ascii="Times New Roman" w:hAnsi="Times New Roman"/>
          <w:color w:val="auto"/>
          <w:sz w:val="24"/>
          <w:szCs w:val="24"/>
        </w:rPr>
        <w:t>表8.4.2-1浮充电压和均充电压</w:t>
      </w:r>
    </w:p>
    <w:tbl>
      <w:tblPr>
        <w:tblStyle w:val="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92"/>
        <w:gridCol w:w="3573"/>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jc w:val="center"/>
        </w:trPr>
        <w:tc>
          <w:tcPr>
            <w:tcW w:w="1328"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标称电压(V)</w:t>
            </w:r>
          </w:p>
        </w:tc>
        <w:tc>
          <w:tcPr>
            <w:tcW w:w="1831"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浮充电压(V)</w:t>
            </w:r>
          </w:p>
        </w:tc>
        <w:tc>
          <w:tcPr>
            <w:tcW w:w="1839"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均充电压(V)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jc w:val="center"/>
        </w:trPr>
        <w:tc>
          <w:tcPr>
            <w:tcW w:w="1328"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w:t>
            </w:r>
          </w:p>
        </w:tc>
        <w:tc>
          <w:tcPr>
            <w:tcW w:w="1831"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2.23～2.27</w:t>
            </w:r>
          </w:p>
        </w:tc>
        <w:tc>
          <w:tcPr>
            <w:tcW w:w="1839"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2.30～2.37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jc w:val="center"/>
        </w:trPr>
        <w:tc>
          <w:tcPr>
            <w:tcW w:w="1328"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6</w:t>
            </w:r>
          </w:p>
        </w:tc>
        <w:tc>
          <w:tcPr>
            <w:tcW w:w="1831"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（2.23～2.27）×3</w:t>
            </w:r>
          </w:p>
        </w:tc>
        <w:tc>
          <w:tcPr>
            <w:tcW w:w="1839"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（2.30～2.37）×3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328"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12</w:t>
            </w:r>
          </w:p>
        </w:tc>
        <w:tc>
          <w:tcPr>
            <w:tcW w:w="1831"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（2.23～2.27）×6</w:t>
            </w:r>
          </w:p>
        </w:tc>
        <w:tc>
          <w:tcPr>
            <w:tcW w:w="1839" w:type="pct"/>
            <w:vAlign w:val="center"/>
          </w:tcPr>
          <w:p>
            <w:pPr>
              <w:autoSpaceDE w:val="0"/>
              <w:autoSpaceDN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（2.30～2.37）×6</w:t>
            </w:r>
          </w:p>
        </w:tc>
      </w:tr>
    </w:tbl>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环境温度25℃时，蓄电池放电率电流和容量参照下表设置。</w:t>
      </w:r>
    </w:p>
    <w:p>
      <w:pPr>
        <w:snapToGrid w:val="0"/>
        <w:spacing w:line="360" w:lineRule="auto"/>
        <w:ind w:left="420" w:leftChars="200"/>
        <w:jc w:val="center"/>
        <w:rPr>
          <w:rFonts w:ascii="Times New Roman" w:hAnsi="Times New Roman"/>
          <w:color w:val="auto"/>
          <w:sz w:val="24"/>
          <w:szCs w:val="24"/>
        </w:rPr>
      </w:pPr>
      <w:r>
        <w:rPr>
          <w:rFonts w:ascii="Times New Roman" w:hAnsi="Times New Roman"/>
          <w:color w:val="auto"/>
          <w:sz w:val="24"/>
          <w:szCs w:val="24"/>
        </w:rPr>
        <w:t>表8.4.2-2 蓄电池放电率电流和容量</w:t>
      </w:r>
    </w:p>
    <w:tbl>
      <w:tblPr>
        <w:tblStyle w:val="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0"/>
        <w:gridCol w:w="3423"/>
        <w:gridCol w:w="3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蓄电池放电小时数</w:t>
            </w:r>
          </w:p>
        </w:tc>
        <w:tc>
          <w:tcPr>
            <w:tcW w:w="171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放电电流（A）</w:t>
            </w:r>
          </w:p>
        </w:tc>
        <w:tc>
          <w:tcPr>
            <w:tcW w:w="177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放电容量（Ah）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10h</w:t>
            </w:r>
          </w:p>
        </w:tc>
        <w:tc>
          <w:tcPr>
            <w:tcW w:w="171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I</w:t>
            </w:r>
            <w:r>
              <w:rPr>
                <w:rFonts w:ascii="Times New Roman" w:hAnsi="Times New Roman"/>
                <w:color w:val="auto"/>
                <w:sz w:val="24"/>
                <w:szCs w:val="24"/>
                <w:vertAlign w:val="subscript"/>
              </w:rPr>
              <w:t>10</w:t>
            </w:r>
          </w:p>
        </w:tc>
        <w:tc>
          <w:tcPr>
            <w:tcW w:w="177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C</w:t>
            </w:r>
            <w:r>
              <w:rPr>
                <w:rFonts w:ascii="Times New Roman" w:hAnsi="Times New Roman"/>
                <w:color w:val="auto"/>
                <w:sz w:val="24"/>
                <w:szCs w:val="24"/>
                <w:vertAlign w:val="subscript"/>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3h</w:t>
            </w:r>
          </w:p>
        </w:tc>
        <w:tc>
          <w:tcPr>
            <w:tcW w:w="171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2.5I</w:t>
            </w:r>
            <w:r>
              <w:rPr>
                <w:rFonts w:ascii="Times New Roman" w:hAnsi="Times New Roman"/>
                <w:color w:val="auto"/>
                <w:sz w:val="24"/>
                <w:szCs w:val="24"/>
                <w:vertAlign w:val="subscript"/>
              </w:rPr>
              <w:t>10</w:t>
            </w:r>
          </w:p>
        </w:tc>
        <w:tc>
          <w:tcPr>
            <w:tcW w:w="177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0.75C</w:t>
            </w:r>
            <w:r>
              <w:rPr>
                <w:rFonts w:ascii="Times New Roman" w:hAnsi="Times New Roman"/>
                <w:color w:val="auto"/>
                <w:sz w:val="24"/>
                <w:szCs w:val="24"/>
                <w:vertAlign w:val="subscript"/>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1h</w:t>
            </w:r>
          </w:p>
        </w:tc>
        <w:tc>
          <w:tcPr>
            <w:tcW w:w="171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5.5I</w:t>
            </w:r>
            <w:r>
              <w:rPr>
                <w:rFonts w:ascii="Times New Roman" w:hAnsi="Times New Roman"/>
                <w:color w:val="auto"/>
                <w:sz w:val="24"/>
                <w:szCs w:val="24"/>
                <w:vertAlign w:val="subscript"/>
              </w:rPr>
              <w:t>10</w:t>
            </w:r>
          </w:p>
        </w:tc>
        <w:tc>
          <w:tcPr>
            <w:tcW w:w="177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0.55C</w:t>
            </w:r>
            <w:r>
              <w:rPr>
                <w:rFonts w:ascii="Times New Roman" w:hAnsi="Times New Roman"/>
                <w:color w:val="auto"/>
                <w:sz w:val="24"/>
                <w:szCs w:val="24"/>
                <w:vertAlign w:val="subscript"/>
              </w:rPr>
              <w:t>10</w:t>
            </w:r>
          </w:p>
        </w:tc>
      </w:tr>
    </w:tbl>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阀控蓄电池在运行中电压偏差值及10h放电终止电压值参照下表设置。</w:t>
      </w:r>
    </w:p>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表8.4.2-3 阀控蓄电池在运行中电压偏差值及放电终止电压值</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62"/>
        <w:gridCol w:w="1783"/>
        <w:gridCol w:w="2164"/>
        <w:gridCol w:w="2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8" w:type="pct"/>
            <w:vMerge w:val="restar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阀控式密封铅酸蓄电池</w:t>
            </w:r>
          </w:p>
        </w:tc>
        <w:tc>
          <w:tcPr>
            <w:tcW w:w="3112" w:type="pct"/>
            <w:gridSpan w:val="3"/>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标称电压（V）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8" w:type="pct"/>
            <w:vMerge w:val="continue"/>
            <w:vAlign w:val="center"/>
          </w:tcPr>
          <w:p>
            <w:pPr>
              <w:snapToGrid w:val="0"/>
              <w:spacing w:line="360" w:lineRule="auto"/>
              <w:jc w:val="center"/>
              <w:rPr>
                <w:rFonts w:ascii="Times New Roman" w:hAnsi="Times New Roman"/>
                <w:color w:val="auto"/>
                <w:sz w:val="24"/>
                <w:szCs w:val="24"/>
              </w:rPr>
            </w:pPr>
          </w:p>
        </w:tc>
        <w:tc>
          <w:tcPr>
            <w:tcW w:w="895"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2</w:t>
            </w:r>
          </w:p>
        </w:tc>
        <w:tc>
          <w:tcPr>
            <w:tcW w:w="1086"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6</w:t>
            </w:r>
          </w:p>
        </w:tc>
        <w:tc>
          <w:tcPr>
            <w:tcW w:w="113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运行中的电压偏差值</w:t>
            </w:r>
          </w:p>
        </w:tc>
        <w:tc>
          <w:tcPr>
            <w:tcW w:w="895"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±0.05</w:t>
            </w:r>
          </w:p>
        </w:tc>
        <w:tc>
          <w:tcPr>
            <w:tcW w:w="1086"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±0.15</w:t>
            </w:r>
          </w:p>
        </w:tc>
        <w:tc>
          <w:tcPr>
            <w:tcW w:w="113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开路电压最大最小电压差值</w:t>
            </w:r>
          </w:p>
        </w:tc>
        <w:tc>
          <w:tcPr>
            <w:tcW w:w="895"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0.02</w:t>
            </w:r>
          </w:p>
        </w:tc>
        <w:tc>
          <w:tcPr>
            <w:tcW w:w="1086"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0.05</w:t>
            </w:r>
          </w:p>
        </w:tc>
        <w:tc>
          <w:tcPr>
            <w:tcW w:w="113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88"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10h放电终止电压值</w:t>
            </w:r>
          </w:p>
        </w:tc>
        <w:tc>
          <w:tcPr>
            <w:tcW w:w="895"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1.80</w:t>
            </w:r>
          </w:p>
        </w:tc>
        <w:tc>
          <w:tcPr>
            <w:tcW w:w="1086"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5.40</w:t>
            </w:r>
          </w:p>
        </w:tc>
        <w:tc>
          <w:tcPr>
            <w:tcW w:w="1131" w:type="pct"/>
            <w:vAlign w:val="center"/>
          </w:tcPr>
          <w:p>
            <w:pPr>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10.80</w:t>
            </w:r>
          </w:p>
        </w:tc>
      </w:tr>
    </w:tbl>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内阻值：制造厂提供的蓄电池内阻值应与实际测试的蓄电池内阻值一致，出厂时允许偏差范围为±10%。</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温度补偿系数：阀控蓄电池的温度补偿系数受环境温度影响，基准温度为25℃时，每下降1℃，单体2V阀控蓄电池浮充电压值应提高（3-5）mV。</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附件：投标方应提供电池组安装所需的附件(如紧固件、连接耳、各种连接条安装维护专用工具等)。</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间连接条应绝缘。蓄电池组正、负极引出线电缆应通过蓄电池架上的过渡接线板连接到极柱上。安装在同一层蓄电池之间宜采用有绝缘护套的连接条连接，不同层的蓄电池间应采用电缆连接，连接电缆要求用阻燃电缆，连接导线应力求缩短，蓄电池布置应合理、紧凑。</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蓄电池连接条上应有方便蓄电池巡检仪接线的位置。</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蓄电池安装方式：支架安装，投标人应提供蓄电池连接条和过渡接线板。</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需提供蓄电池互联电缆或铜排，蓄电池间连接条应绝缘。蓄电池组正、负极引出线电缆应通过蓄电池架上的过渡接线板连接到极柱上。安装在同一层蓄电池之间宜采用有绝缘护套的连接条连接，不同层的蓄电池间应采用电缆连接，连接电缆要求用阻燃电缆，连接导线应力求缩短，蓄电池布置应合理、紧凑。</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蓄电池连接条上应有方便蓄电池巡检仪接线的位置。</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蓄电池应有制造厂名及商标、型号及规格、极性符号、极柱螺栓力矩、生产日期等，并提供单只电池顺序号及其内阻参数贴纸。</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★开关站两组UPS蓄电池</w:t>
      </w:r>
      <w:r>
        <w:rPr>
          <w:rFonts w:ascii="Times New Roman" w:hAnsi="Times New Roman"/>
          <w:color w:val="auto"/>
          <w:sz w:val="24"/>
          <w:szCs w:val="24"/>
          <w:lang w:val="en-US" w:eastAsia="zh-CN"/>
        </w:rPr>
        <w:t>应由不同制造商生产</w:t>
      </w:r>
      <w:r>
        <w:rPr>
          <w:rFonts w:ascii="Times New Roman" w:hAnsi="Times New Roman"/>
          <w:color w:val="auto"/>
          <w:sz w:val="24"/>
          <w:szCs w:val="24"/>
        </w:rPr>
        <w:t>，厂房两组UPS蓄电池</w:t>
      </w:r>
      <w:r>
        <w:rPr>
          <w:rFonts w:ascii="Times New Roman" w:hAnsi="Times New Roman"/>
          <w:color w:val="auto"/>
          <w:sz w:val="24"/>
          <w:szCs w:val="24"/>
          <w:lang w:val="en-US" w:eastAsia="zh-CN"/>
        </w:rPr>
        <w:t>应由不同制造商生产</w:t>
      </w:r>
      <w:r>
        <w:rPr>
          <w:rFonts w:ascii="Times New Roman" w:hAnsi="Times New Roman"/>
          <w:color w:val="auto"/>
          <w:sz w:val="24"/>
          <w:szCs w:val="24"/>
        </w:rPr>
        <w:t>，每组蓄电池应当额外赠送1只相同的蓄电池用于解体验收和抽检，检验费用由投标方承担。</w:t>
      </w:r>
    </w:p>
    <w:p>
      <w:pPr>
        <w:numPr>
          <w:ilvl w:val="0"/>
          <w:numId w:val="90"/>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投标方应</w:t>
      </w:r>
      <w:r>
        <w:rPr>
          <w:rFonts w:hint="eastAsia" w:ascii="Times New Roman" w:hAnsi="Times New Roman"/>
          <w:color w:val="auto"/>
          <w:sz w:val="24"/>
          <w:szCs w:val="24"/>
          <w:lang w:val="en-US" w:eastAsia="zh-CN"/>
        </w:rPr>
        <w:t>在投标文件中</w:t>
      </w:r>
      <w:r>
        <w:rPr>
          <w:rFonts w:ascii="Times New Roman" w:hAnsi="Times New Roman"/>
          <w:color w:val="auto"/>
          <w:sz w:val="24"/>
          <w:szCs w:val="24"/>
        </w:rPr>
        <w:t>提供电力行业内的由用户单位盖章扫描</w:t>
      </w:r>
      <w:r>
        <w:rPr>
          <w:rFonts w:hint="eastAsia" w:ascii="Times New Roman" w:hAnsi="Times New Roman"/>
          <w:color w:val="auto"/>
          <w:sz w:val="24"/>
          <w:szCs w:val="24"/>
          <w:lang w:val="en-US" w:eastAsia="zh-CN"/>
        </w:rPr>
        <w:t>的</w:t>
      </w:r>
      <w:r>
        <w:rPr>
          <w:rFonts w:ascii="Times New Roman" w:hAnsi="Times New Roman"/>
          <w:color w:val="auto"/>
          <w:sz w:val="24"/>
          <w:szCs w:val="24"/>
        </w:rPr>
        <w:t>用户应用证明。具备条件时，投标方宜提供5年以上安全运行的用户应用证明资料。</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电池架技术参数</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要求供货的电池架可靠、牢固，承重后日久使用不变形。用料简陋不能保证牢固不变形的电池架，用户有权拒签收。</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推荐直立式放置电池。电池架内的蓄电池应摆放整齐并保证足够的空间，单体蓄电池间隔不小于15mm，蓄电池与上层隔板间隔不小于150mm。</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蓄电池组宜采用电池架。电池架的尺寸适合电池室的摆放。</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蓄电池架备有可靠的接地端口，并实施接地。</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电池架外形为便于日常维护，考虑到防震需要，蓄电池之间采用软连接。</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充分考虑安装、维护的方便和扩充容量灵活性。</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应有足够的机械强度和刚度，安装固定方式应具有抗震性和防震能力。</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接插件必须接触可靠，结构坚固。</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所有元器件应是全部经过老化处理并经过严格筛选的优质元器件，组装过程应有严格的质量控制，确保长期使用的高可靠性。</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应满足防腐防蛀的要求，表面应光滑平整、色泽一致，不允许有划痕、裂纹和斑等破损现象。</w:t>
      </w:r>
    </w:p>
    <w:p>
      <w:pPr>
        <w:numPr>
          <w:ilvl w:val="0"/>
          <w:numId w:val="91"/>
        </w:numPr>
        <w:adjustRightInd w:val="0"/>
        <w:snapToGrid w:val="0"/>
        <w:spacing w:line="360" w:lineRule="auto"/>
        <w:ind w:left="0" w:firstLine="480" w:firstLineChars="200"/>
        <w:rPr>
          <w:rFonts w:ascii="Times New Roman" w:hAnsi="Times New Roman"/>
          <w:color w:val="auto"/>
          <w:sz w:val="24"/>
          <w:szCs w:val="24"/>
        </w:rPr>
      </w:pPr>
      <w:r>
        <w:rPr>
          <w:rFonts w:ascii="Times New Roman" w:hAnsi="Times New Roman"/>
          <w:color w:val="auto"/>
          <w:sz w:val="24"/>
          <w:szCs w:val="24"/>
        </w:rPr>
        <w:t>电池架材料要求采用高强度型材，满足电池承重要求。</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电池开关箱</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每台UPS主机应采用一个蓄电池专用直流断路器作为电池总输入保护开关， 如采用两组或以上蓄电池并联则每组蓄电池均应采用一个蓄电池专用直流断路器或熔断器作为分组保护开关。蓄电池总开关的容量应满足UPS 满载放电时最大电流的要求。</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内开关保护元器件均应选用适用于直流回路的直流型断路器及熔断器，并需配置辅助触点和保护脱扣，防止开关意外操作或低电压的情况下，保护系统并提供报警；断路器、熔断器的额定工作电压等级及耐压值均应满足电池组充放电电压（500V＜额定电压 Un≤ 750V）的要求。</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电池开关箱采用高质量冷轧钢板经聚脂环氧粉防腐层表面处理组成，板厚度应不小于2mm，外壳防护等级不低于IP30；</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支持上下均能进出接线方式，顶部及底部均应提供开有电缆孔的底板并带有阻燃橡皮圈；正极、负极、中性极（若有）及连接铜排上均需开有模数孔用于设计图纸标识电缆的连接。本项目采用下进线方式。</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电池开关箱均应符合标准规定接地要求，设独立的PE接地系统，PE 线采用铜排，要与柜体、接地保护导体可靠连接。</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电池开关箱支持单开门或双开门结构，超过600mm要求采用双开门。</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接线端子应适合连接硬、软铜导线，并保证维持适合于电器元件和电路的额定电流、短路电流强度所需要的接触压力；接线端子应预留足够的接线孔，数量满足设计图纸进出线电缆要求。</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电池开关箱的其他技术指标应符合相关规范要求。</w:t>
      </w:r>
    </w:p>
    <w:p>
      <w:pPr>
        <w:numPr>
          <w:ilvl w:val="0"/>
          <w:numId w:val="92"/>
        </w:numPr>
        <w:adjustRightInd w:val="0"/>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电池开关箱配置如下：</w:t>
      </w:r>
    </w:p>
    <w:tbl>
      <w:tblPr>
        <w:tblStyle w:val="56"/>
        <w:tblW w:w="9962" w:type="dxa"/>
        <w:tblInd w:w="0" w:type="dxa"/>
        <w:tblLayout w:type="autofit"/>
        <w:tblCellMar>
          <w:top w:w="0" w:type="dxa"/>
          <w:left w:w="108" w:type="dxa"/>
          <w:bottom w:w="0" w:type="dxa"/>
          <w:right w:w="108" w:type="dxa"/>
        </w:tblCellMar>
      </w:tblPr>
      <w:tblGrid>
        <w:gridCol w:w="668"/>
        <w:gridCol w:w="1681"/>
        <w:gridCol w:w="1650"/>
        <w:gridCol w:w="4627"/>
        <w:gridCol w:w="668"/>
        <w:gridCol w:w="668"/>
      </w:tblGrid>
      <w:tr>
        <w:tblPrEx>
          <w:tblCellMar>
            <w:top w:w="0" w:type="dxa"/>
            <w:left w:w="108" w:type="dxa"/>
            <w:bottom w:w="0" w:type="dxa"/>
            <w:right w:w="108" w:type="dxa"/>
          </w:tblCellMar>
        </w:tblPrEx>
        <w:trPr>
          <w:trHeight w:val="260"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序号</w:t>
            </w:r>
          </w:p>
        </w:tc>
        <w:tc>
          <w:tcPr>
            <w:tcW w:w="16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textAlignment w:val="center"/>
              <w:rPr>
                <w:rFonts w:ascii="Times New Roman" w:hAnsi="Times New Roman"/>
                <w:b/>
                <w:bCs/>
                <w:color w:val="auto"/>
                <w:kern w:val="0"/>
                <w:sz w:val="24"/>
                <w:szCs w:val="24"/>
                <w:lang w:bidi="ar"/>
              </w:rPr>
            </w:pPr>
            <w:r>
              <w:rPr>
                <w:rFonts w:ascii="Times New Roman" w:hAnsi="Times New Roman"/>
                <w:b/>
                <w:bCs/>
                <w:color w:val="auto"/>
                <w:kern w:val="0"/>
                <w:sz w:val="24"/>
                <w:szCs w:val="24"/>
                <w:lang w:bidi="ar"/>
              </w:rPr>
              <w:t>位置</w:t>
            </w:r>
          </w:p>
        </w:tc>
        <w:tc>
          <w:tcPr>
            <w:tcW w:w="165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名称</w:t>
            </w:r>
          </w:p>
        </w:tc>
        <w:tc>
          <w:tcPr>
            <w:tcW w:w="46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型号及规格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单位</w:t>
            </w:r>
          </w:p>
        </w:tc>
        <w:tc>
          <w:tcPr>
            <w:tcW w:w="66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Times New Roman" w:hAnsi="Times New Roman"/>
                <w:b/>
                <w:bCs/>
                <w:color w:val="auto"/>
                <w:sz w:val="24"/>
                <w:szCs w:val="24"/>
              </w:rPr>
            </w:pPr>
            <w:r>
              <w:rPr>
                <w:rFonts w:ascii="Times New Roman" w:hAnsi="Times New Roman"/>
                <w:b/>
                <w:bCs/>
                <w:color w:val="auto"/>
                <w:kern w:val="0"/>
                <w:sz w:val="24"/>
                <w:szCs w:val="24"/>
                <w:lang w:bidi="ar"/>
              </w:rPr>
              <w:t>数量</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1</w:t>
            </w:r>
          </w:p>
        </w:tc>
        <w:tc>
          <w:tcPr>
            <w:tcW w:w="16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办公楼</w:t>
            </w:r>
          </w:p>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sz w:val="24"/>
                <w:szCs w:val="24"/>
              </w:rPr>
              <w:t>信通电源室</w:t>
            </w:r>
          </w:p>
        </w:tc>
        <w:tc>
          <w:tcPr>
            <w:tcW w:w="165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电池开关箱</w:t>
            </w:r>
          </w:p>
        </w:tc>
        <w:tc>
          <w:tcPr>
            <w:tcW w:w="46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sz w:val="24"/>
                <w:szCs w:val="24"/>
              </w:rPr>
            </w:pPr>
            <w:r>
              <w:rPr>
                <w:rFonts w:ascii="Times New Roman" w:hAnsi="Times New Roman"/>
                <w:color w:val="auto"/>
                <w:kern w:val="0"/>
                <w:sz w:val="24"/>
                <w:szCs w:val="24"/>
                <w:lang w:bidi="ar"/>
              </w:rPr>
              <w:t>1、包括电池主开关250A隔离开关×1，电池分开关250A隔离开关×2，脱扣线圈和辅助触点。2、电流电压参数采集，通讯模块。3、内部铜排及接线端子同时满足终期2组蓄电池接入要求。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2</w:t>
            </w:r>
          </w:p>
        </w:tc>
        <w:tc>
          <w:tcPr>
            <w:tcW w:w="16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地下厂房副厂房</w:t>
            </w:r>
          </w:p>
          <w:p>
            <w:pPr>
              <w:pStyle w:val="2"/>
              <w:spacing w:before="0" w:after="0"/>
              <w:ind w:firstLine="0"/>
              <w:rPr>
                <w:rFonts w:ascii="Times New Roman" w:hAnsi="Times New Roman"/>
                <w:color w:val="auto"/>
                <w:kern w:val="0"/>
                <w:szCs w:val="24"/>
                <w:lang w:bidi="ar"/>
              </w:rPr>
            </w:pPr>
            <w:bookmarkStart w:id="472" w:name="_Toc2278"/>
            <w:r>
              <w:rPr>
                <w:rFonts w:ascii="Times New Roman" w:hAnsi="Times New Roman"/>
                <w:color w:val="auto"/>
                <w:szCs w:val="24"/>
              </w:rPr>
              <w:t>信通电源室</w:t>
            </w:r>
            <w:bookmarkEnd w:id="472"/>
          </w:p>
        </w:tc>
        <w:tc>
          <w:tcPr>
            <w:tcW w:w="165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电池开关箱</w:t>
            </w:r>
          </w:p>
        </w:tc>
        <w:tc>
          <w:tcPr>
            <w:tcW w:w="46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1、包括电池主开关400A隔离开关×1，电池分开关400A隔离开关×2，脱扣线圈和辅助触点。2、电流电压参数采集，通讯模块。3、内部铜排及接线端子同时满足终期2组蓄电池接入要求。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r>
        <w:tblPrEx>
          <w:tblCellMar>
            <w:top w:w="0" w:type="dxa"/>
            <w:left w:w="108" w:type="dxa"/>
            <w:bottom w:w="0" w:type="dxa"/>
            <w:right w:w="108" w:type="dxa"/>
          </w:tblCellMar>
        </w:tblPrEx>
        <w:trPr>
          <w:trHeight w:val="18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3</w:t>
            </w:r>
          </w:p>
        </w:tc>
        <w:tc>
          <w:tcPr>
            <w:tcW w:w="168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开关站</w:t>
            </w:r>
          </w:p>
          <w:p>
            <w:pPr>
              <w:pStyle w:val="2"/>
              <w:spacing w:before="0" w:after="0"/>
              <w:ind w:firstLine="0"/>
              <w:rPr>
                <w:rFonts w:ascii="Times New Roman" w:hAnsi="Times New Roman"/>
                <w:color w:val="auto"/>
                <w:kern w:val="0"/>
                <w:szCs w:val="24"/>
                <w:lang w:bidi="ar"/>
              </w:rPr>
            </w:pPr>
            <w:bookmarkStart w:id="473" w:name="_Toc10768"/>
            <w:r>
              <w:rPr>
                <w:rFonts w:ascii="Times New Roman" w:hAnsi="Times New Roman"/>
                <w:color w:val="auto"/>
                <w:szCs w:val="24"/>
              </w:rPr>
              <w:t>信通电源室</w:t>
            </w:r>
            <w:bookmarkEnd w:id="473"/>
          </w:p>
        </w:tc>
        <w:tc>
          <w:tcPr>
            <w:tcW w:w="165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电池开关箱</w:t>
            </w:r>
          </w:p>
        </w:tc>
        <w:tc>
          <w:tcPr>
            <w:tcW w:w="46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Times New Roman" w:hAnsi="Times New Roman"/>
                <w:color w:val="auto"/>
                <w:kern w:val="0"/>
                <w:sz w:val="24"/>
                <w:szCs w:val="24"/>
                <w:lang w:bidi="ar"/>
              </w:rPr>
            </w:pPr>
            <w:r>
              <w:rPr>
                <w:rFonts w:ascii="Times New Roman" w:hAnsi="Times New Roman"/>
                <w:color w:val="auto"/>
                <w:kern w:val="0"/>
                <w:sz w:val="24"/>
                <w:szCs w:val="24"/>
                <w:lang w:bidi="ar"/>
              </w:rPr>
              <w:t>1、包括电池主开关400A隔离开关×1，电池分开关400A隔离开关×2，脱扣线圈和辅助触点。2、电流电压参数采集，通讯模块。3、内部铜排及接线端子同时满足终期2组蓄电池接入要求。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套</w:t>
            </w:r>
          </w:p>
        </w:tc>
        <w:tc>
          <w:tcPr>
            <w:tcW w:w="66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ascii="Times New Roman" w:hAnsi="Times New Roman"/>
                <w:color w:val="auto"/>
                <w:sz w:val="24"/>
                <w:szCs w:val="24"/>
              </w:rPr>
            </w:pPr>
            <w:r>
              <w:rPr>
                <w:rFonts w:ascii="Times New Roman" w:hAnsi="Times New Roman"/>
                <w:color w:val="auto"/>
                <w:kern w:val="0"/>
                <w:sz w:val="24"/>
                <w:szCs w:val="24"/>
                <w:lang w:bidi="ar"/>
              </w:rPr>
              <w:t>2</w:t>
            </w:r>
          </w:p>
        </w:tc>
      </w:tr>
    </w:tbl>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蓄电池监测要求</w:t>
      </w:r>
    </w:p>
    <w:p>
      <w:pPr>
        <w:pStyle w:val="118"/>
        <w:numPr>
          <w:ilvl w:val="3"/>
          <w:numId w:val="25"/>
        </w:numPr>
        <w:spacing w:before="0" w:after="0"/>
        <w:rPr>
          <w:rFonts w:ascii="Times New Roman" w:hAnsi="Times New Roman"/>
          <w:color w:val="auto"/>
          <w:sz w:val="24"/>
          <w:szCs w:val="24"/>
        </w:rPr>
      </w:pPr>
      <w:bookmarkStart w:id="474" w:name="_Toc5641"/>
      <w:bookmarkStart w:id="475" w:name="_Toc20768"/>
      <w:r>
        <w:rPr>
          <w:rFonts w:ascii="Times New Roman" w:hAnsi="Times New Roman"/>
          <w:color w:val="auto"/>
          <w:sz w:val="24"/>
          <w:szCs w:val="24"/>
        </w:rPr>
        <w:t>监控功能</w:t>
      </w:r>
      <w:bookmarkEnd w:id="474"/>
      <w:bookmarkEnd w:id="475"/>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1、电池集中监控模块：检测监控范围内所有UPS和48V通信电源电池的运行参数及工作状态，并进行分析处理后，传送给后台综合监控中心。</w:t>
      </w:r>
      <w:r>
        <w:rPr>
          <w:rFonts w:hint="eastAsia" w:ascii="Times New Roman" w:hAnsi="Times New Roman"/>
          <w:color w:val="auto"/>
          <w:sz w:val="24"/>
          <w:szCs w:val="24"/>
        </w:rPr>
        <w:t>蓄电池在线监测装置监测应包括蓄电池工作状态、蓄电池容量、蓄电池组端电压、充/放电电流、单体电池电压、单体极柱温度、单体内阻（电导）、续航时间预估等参数。应支持定期自动测试内阻，测试间隔周期可设置（本地设置），应具备远程进行断电重启功能。应能将的监控数据上传至核容装置。</w:t>
      </w:r>
      <w:r>
        <w:rPr>
          <w:rFonts w:ascii="Times New Roman" w:hAnsi="Times New Roman"/>
          <w:color w:val="auto"/>
          <w:sz w:val="24"/>
          <w:szCs w:val="24"/>
        </w:rPr>
        <w:t>设备安装于电池架侧面，蓄电池至电池集中监控主机的通讯线缆由厂家配套提供，接入远程核容系统的通讯线缆由动环专业提供。</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2、后台监控中心：监视辖区内全部电池监控模块及每一只电池的运行参数及工作状态，对故障信息进行报警或预警。并对监控主机下达监测和控制命令。系统提供接口与远程核容系统平台进行监测。</w:t>
      </w:r>
    </w:p>
    <w:p>
      <w:pPr>
        <w:pStyle w:val="118"/>
        <w:numPr>
          <w:ilvl w:val="3"/>
          <w:numId w:val="25"/>
        </w:numPr>
        <w:spacing w:before="0" w:after="0"/>
        <w:rPr>
          <w:rFonts w:ascii="Times New Roman" w:hAnsi="Times New Roman"/>
          <w:color w:val="auto"/>
          <w:sz w:val="24"/>
          <w:szCs w:val="24"/>
        </w:rPr>
      </w:pPr>
      <w:bookmarkStart w:id="476" w:name="_Toc18012"/>
      <w:bookmarkStart w:id="477" w:name="_Toc11321"/>
      <w:r>
        <w:rPr>
          <w:rFonts w:ascii="Times New Roman" w:hAnsi="Times New Roman"/>
          <w:color w:val="auto"/>
          <w:sz w:val="24"/>
          <w:szCs w:val="24"/>
        </w:rPr>
        <w:t>数据查询功能</w:t>
      </w:r>
      <w:bookmarkEnd w:id="476"/>
      <w:bookmarkEnd w:id="477"/>
    </w:p>
    <w:p>
      <w:pPr>
        <w:widowControl/>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监控系统或后台监控中心，可显示各项实时数据，进行参数设置及命令下发等操作，方便日常维护及传输出现问题时，维护人</w:t>
      </w:r>
      <w:r>
        <w:rPr>
          <w:rFonts w:ascii="Times New Roman" w:hAnsi="Times New Roman"/>
          <w:color w:val="auto"/>
          <w:sz w:val="24"/>
          <w:szCs w:val="24"/>
        </w:rPr>
        <w:t xml:space="preserve"> </w:t>
      </w:r>
      <w:r>
        <w:rPr>
          <w:rFonts w:ascii="Times New Roman" w:hAnsi="Times New Roman"/>
          <w:color w:val="auto"/>
          <w:sz w:val="24"/>
          <w:szCs w:val="24"/>
          <w:lang w:val="zh-CN"/>
        </w:rPr>
        <w:t>员进行现场数据查询及问题查看。</w:t>
      </w:r>
    </w:p>
    <w:p>
      <w:pPr>
        <w:pStyle w:val="118"/>
        <w:numPr>
          <w:ilvl w:val="3"/>
          <w:numId w:val="25"/>
        </w:numPr>
        <w:spacing w:before="0" w:after="0"/>
        <w:rPr>
          <w:rFonts w:ascii="Times New Roman" w:hAnsi="Times New Roman"/>
          <w:color w:val="auto"/>
          <w:sz w:val="24"/>
          <w:szCs w:val="24"/>
        </w:rPr>
      </w:pPr>
      <w:bookmarkStart w:id="478" w:name="_Toc14325"/>
      <w:bookmarkStart w:id="479" w:name="_Toc6639"/>
      <w:r>
        <w:rPr>
          <w:rFonts w:ascii="Times New Roman" w:hAnsi="Times New Roman"/>
          <w:color w:val="auto"/>
          <w:sz w:val="24"/>
          <w:szCs w:val="24"/>
        </w:rPr>
        <w:t>配置功能</w:t>
      </w:r>
      <w:bookmarkEnd w:id="478"/>
      <w:bookmarkEnd w:id="479"/>
    </w:p>
    <w:p>
      <w:pPr>
        <w:widowControl/>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在线配置和修改功能：系统可在线配置系统经常需要更改的信息，如告警级别，告警门限，告警屏蔽及告警过滤条件等。</w:t>
      </w:r>
    </w:p>
    <w:p>
      <w:pPr>
        <w:widowControl/>
        <w:spacing w:line="360" w:lineRule="auto"/>
        <w:ind w:firstLine="480" w:firstLineChars="200"/>
        <w:rPr>
          <w:rFonts w:ascii="Times New Roman" w:hAnsi="Times New Roman"/>
          <w:color w:val="auto"/>
          <w:sz w:val="24"/>
          <w:szCs w:val="24"/>
          <w:lang w:val="zh-CN"/>
        </w:rPr>
      </w:pPr>
      <w:r>
        <w:rPr>
          <w:rFonts w:ascii="Times New Roman" w:hAnsi="Times New Roman"/>
          <w:color w:val="auto"/>
          <w:sz w:val="24"/>
          <w:szCs w:val="24"/>
          <w:lang w:val="zh-CN"/>
        </w:rPr>
        <w:t>远程管理功能：系统应具有远程操作功能，可在监控中心进行现场参数的配置及修改。</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系统需对充电系统和工作回路无任何干扰。需杜绝测量电缆自身短路或模块的故障带来的电 池自放电、现场出现火花、人员触电、蓄电池的伤害等危险；采集单元各检测通道应采用高阻抗输 入方式，应对蓄电池无不良影响。</w:t>
      </w:r>
    </w:p>
    <w:p>
      <w:pPr>
        <w:pStyle w:val="83"/>
        <w:numPr>
          <w:ilvl w:val="255"/>
          <w:numId w:val="0"/>
        </w:numPr>
        <w:ind w:firstLine="480" w:firstLineChars="200"/>
        <w:rPr>
          <w:rFonts w:ascii="Times New Roman" w:hAnsi="Times New Roman"/>
          <w:color w:val="auto"/>
          <w:sz w:val="24"/>
          <w:szCs w:val="24"/>
          <w:lang w:val="zh-CN"/>
        </w:rPr>
      </w:pPr>
      <w:r>
        <w:rPr>
          <w:rFonts w:ascii="Times New Roman" w:hAnsi="Times New Roman"/>
          <w:color w:val="auto"/>
          <w:sz w:val="24"/>
          <w:szCs w:val="24"/>
        </w:rPr>
        <w:t>系统应能完全独立于被监测设备而正常工作，功耗低，对供电系统要求不高，不影响用户正</w:t>
      </w:r>
      <w:r>
        <w:rPr>
          <w:rFonts w:ascii="Times New Roman" w:hAnsi="Times New Roman"/>
          <w:color w:val="auto"/>
          <w:sz w:val="24"/>
          <w:szCs w:val="24"/>
          <w:lang w:val="zh-CN"/>
        </w:rPr>
        <w:t>常供电线路。</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硬件设备带 LCD 触摸屏， 带 RS485 通信接口， 支持 MODBUS、TCP/IP 协议， 可接入远程动 环监控系统；设备至少带一个干接点，为电池告警接点。</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系统应具有防过压、过流、高频磁场干扰特性。</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蓄电池在线监测装置可控制带均衡功能单体数据采集模块的均衡启用和关闭。</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蓄电池在线监测装置应支持对单体数据采集模块或汇集器的在线升级。</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蓄电池在线监测装置应具备RS485接口，将一组的监控数据上传核容装置，接口宜为RJ45端口。</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蓄电池在线监测装置应采用RJ45端口由T568B类网线实现供电和通信，取电来自直流母线或蓄电池远程核容装置,不应采用交流供电或从电池上取电。</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单体数据采集模块，应采用一拖一监测的方案，即一节蓄电池单体只接一个单体模块，该模块采集蓄电池单体的电压、内阻和负极柱温度，电池在浮充状态下，测试内阻时的峰值电流应不超过 1.5A，避免损坏蓄电池的极柱或极板。</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单体数据采集模块应具备自动顺序编号的功能，能自动和电池编号一一配对。</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单体数据采集模块可选配主动均衡功能，2V模块均衡输出电压不应超过2.5V，输出电流不宜超过2A，12V模块均衡输出电压不应超过15V，输出电流不宜超过0.5A。</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2V模块电压检测范围应为1.000V～3.000V，12V模块电压检测范围应为4.500V～18.000V，检测精度±0.2%；2V模块内阻检测范围宜为0.050～65.000mΩ，12V模块内阻检测范围宜为1～100.000mΩ,检测精度±10%，连续测试重复精度±2%；负极极柱温度检测范围应为-10～85℃，检测精度±1℃。</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单体数据采集模块采集线包含内阻采样线、电压采样线、温度采样线，其中内阻采样线和电压采样线均分正负；正极性线宜为红色，连接到蓄电池单体的正极柱；负极性线宜为黑色，连接到蓄电池单体的负极柱。</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温度采样线宜为黑色，连接温度采样传感器，绝缘处理后固定在负极极性线连接端子上，使用导热硅脂填充此端子与温度采样传感器的缝隙，通过端子热传递方式对蓄电池单体的负极柱进行温度采样；单体模块采集线长度宜小于500mm，与单体模块对接端子为全塑包围形式端子，不可裸露采样线可导电部分。</w:t>
      </w:r>
    </w:p>
    <w:p>
      <w:pPr>
        <w:pStyle w:val="83"/>
        <w:numPr>
          <w:ilvl w:val="255"/>
          <w:numId w:val="0"/>
        </w:numPr>
        <w:ind w:firstLine="480" w:firstLineChars="200"/>
        <w:rPr>
          <w:rFonts w:ascii="Times New Roman" w:hAnsi="Times New Roman"/>
          <w:color w:val="auto"/>
          <w:sz w:val="24"/>
          <w:szCs w:val="24"/>
        </w:rPr>
      </w:pPr>
      <w:r>
        <w:rPr>
          <w:rFonts w:hint="eastAsia" w:ascii="Times New Roman" w:hAnsi="Times New Roman"/>
          <w:color w:val="auto"/>
          <w:sz w:val="24"/>
          <w:szCs w:val="24"/>
        </w:rPr>
        <w:t>单体数据采集模块应具备一个通信输入接口和通信输出接口，通信接口宜为镀金的RJ45端口，用于提高防腐蚀、连接电性能。</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所有线缆及设备外壳必须采用阻燃材料。</w:t>
      </w:r>
    </w:p>
    <w:p>
      <w:pPr>
        <w:pStyle w:val="83"/>
        <w:numPr>
          <w:ilvl w:val="255"/>
          <w:numId w:val="0"/>
        </w:numPr>
        <w:ind w:firstLine="480" w:firstLineChars="200"/>
        <w:rPr>
          <w:rFonts w:ascii="Times New Roman" w:hAnsi="Times New Roman"/>
          <w:color w:val="auto"/>
          <w:sz w:val="24"/>
          <w:szCs w:val="24"/>
        </w:rPr>
      </w:pPr>
      <w:r>
        <w:rPr>
          <w:rFonts w:ascii="Times New Roman" w:hAnsi="Times New Roman"/>
          <w:color w:val="auto"/>
          <w:sz w:val="24"/>
          <w:szCs w:val="24"/>
        </w:rPr>
        <w:t>电池监测系统由设备商按整套完整系统提供,应包含监测主机、采集模块等主要元器件、相关 通讯线缆、控制线缆、套管等辅材及监测系统设备的配电箱（若需）、配电电缆等全部所需材料及其 施工安装、系统调试，并设置通信接口及通信协议，可接入动环监控系统实现实时同步监控；设备 尺寸可在满足现有电池室空间为限的基础上适当调整</w:t>
      </w:r>
      <w:r>
        <w:rPr>
          <w:rFonts w:hint="eastAsia" w:ascii="Times New Roman" w:hAnsi="Times New Roman"/>
          <w:color w:val="auto"/>
          <w:sz w:val="24"/>
          <w:szCs w:val="24"/>
        </w:rPr>
        <w:t>。</w:t>
      </w:r>
    </w:p>
    <w:p>
      <w:pPr>
        <w:pStyle w:val="118"/>
        <w:numPr>
          <w:ilvl w:val="3"/>
          <w:numId w:val="25"/>
        </w:numPr>
        <w:spacing w:before="0" w:after="0"/>
        <w:rPr>
          <w:rFonts w:ascii="Times New Roman" w:hAnsi="Times New Roman"/>
          <w:color w:val="auto"/>
          <w:sz w:val="24"/>
          <w:szCs w:val="24"/>
        </w:rPr>
      </w:pPr>
      <w:bookmarkStart w:id="480" w:name="_Toc13918"/>
      <w:bookmarkStart w:id="481" w:name="_Toc19977"/>
      <w:r>
        <w:rPr>
          <w:rFonts w:ascii="Times New Roman" w:hAnsi="Times New Roman"/>
          <w:color w:val="auto"/>
          <w:sz w:val="24"/>
          <w:szCs w:val="24"/>
        </w:rPr>
        <w:t>告警功能</w:t>
      </w:r>
      <w:bookmarkEnd w:id="480"/>
      <w:bookmarkEnd w:id="481"/>
    </w:p>
    <w:p>
      <w:pPr>
        <w:pStyle w:val="83"/>
        <w:numPr>
          <w:ilvl w:val="255"/>
          <w:numId w:val="0"/>
        </w:numPr>
        <w:rPr>
          <w:rFonts w:ascii="Times New Roman" w:hAnsi="Times New Roman"/>
          <w:color w:val="auto"/>
          <w:sz w:val="24"/>
          <w:szCs w:val="24"/>
        </w:rPr>
      </w:pPr>
      <w:r>
        <w:rPr>
          <w:rFonts w:ascii="Times New Roman" w:hAnsi="Times New Roman"/>
          <w:color w:val="auto"/>
          <w:sz w:val="24"/>
          <w:szCs w:val="24"/>
        </w:rPr>
        <w:t>1、告警级别分为三级:</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紧急告警：已经或即将危及设备及通信安全，应立即处理的告警。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重要告警：可能影响设备及通信安全，需要安排时间处理的告警。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一般告警：发生了不影响设备及通信安全但应注意的事件，需要向维护人员提示相关的信息。</w:t>
      </w:r>
    </w:p>
    <w:p>
      <w:pPr>
        <w:pStyle w:val="83"/>
        <w:numPr>
          <w:ilvl w:val="255"/>
          <w:numId w:val="0"/>
        </w:numPr>
        <w:rPr>
          <w:rFonts w:ascii="Times New Roman" w:hAnsi="Times New Roman"/>
          <w:color w:val="auto"/>
          <w:sz w:val="24"/>
          <w:szCs w:val="24"/>
        </w:rPr>
      </w:pPr>
      <w:r>
        <w:rPr>
          <w:rFonts w:ascii="Times New Roman" w:hAnsi="Times New Roman"/>
          <w:color w:val="auto"/>
          <w:sz w:val="24"/>
          <w:szCs w:val="24"/>
        </w:rPr>
        <w:t>2、告警内容至少应包括：</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电池组电压的上限告警、下限告警、终止电压告警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放电电流过大告警，充电电流过大告警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过放电告警，过充电告警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电池单体电压上、下限告警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电池单体内阻过大告警</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电池单体温度下限及上限告警</w:t>
      </w:r>
    </w:p>
    <w:p>
      <w:pPr>
        <w:pStyle w:val="83"/>
        <w:numPr>
          <w:ilvl w:val="255"/>
          <w:numId w:val="0"/>
        </w:numPr>
        <w:rPr>
          <w:rFonts w:ascii="Times New Roman" w:hAnsi="Times New Roman"/>
          <w:color w:val="auto"/>
          <w:sz w:val="24"/>
          <w:szCs w:val="24"/>
        </w:rPr>
      </w:pPr>
      <w:r>
        <w:rPr>
          <w:rFonts w:ascii="Times New Roman" w:hAnsi="Times New Roman"/>
          <w:color w:val="auto"/>
          <w:sz w:val="24"/>
          <w:szCs w:val="24"/>
        </w:rPr>
        <w:t>3、告警查询</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后台监控中心监控系统能根据地区、机房名称、设备名称、告警级别、产生时间、消除时间、确认人、确认时间、告警内容（监控点、告警数值）等组合条件对告警信息进行查询，并具有按某一项或多项告警字段进行模糊查询的功能。</w:t>
      </w:r>
    </w:p>
    <w:p>
      <w:pPr>
        <w:pStyle w:val="83"/>
        <w:numPr>
          <w:ilvl w:val="255"/>
          <w:numId w:val="0"/>
        </w:numPr>
        <w:rPr>
          <w:rFonts w:ascii="Times New Roman" w:hAnsi="Times New Roman"/>
          <w:color w:val="auto"/>
          <w:sz w:val="24"/>
          <w:szCs w:val="24"/>
        </w:rPr>
      </w:pPr>
      <w:r>
        <w:rPr>
          <w:rFonts w:ascii="Times New Roman" w:hAnsi="Times New Roman"/>
          <w:color w:val="auto"/>
          <w:sz w:val="24"/>
          <w:szCs w:val="24"/>
        </w:rPr>
        <w:t>4、告警门限与信息控制</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告警条件、告警等级、告警上下门限值以及开关量逻辑状态的真值可根据现场情况由系统管理员设置和修改。</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具有告警过滤功能，过滤条件可以根据时间、地区、机房、监控对象、监控点、告警数值等由用户进行设置。</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系统具有告警屏蔽功能，告警屏蔽时，该告警应能被正常记录。</w:t>
      </w:r>
    </w:p>
    <w:p>
      <w:pPr>
        <w:widowControl/>
        <w:tabs>
          <w:tab w:val="left" w:pos="840"/>
        </w:tabs>
        <w:spacing w:line="360" w:lineRule="auto"/>
        <w:ind w:firstLine="480" w:firstLineChars="200"/>
        <w:jc w:val="left"/>
        <w:rPr>
          <w:rFonts w:ascii="Times New Roman" w:hAnsi="Times New Roman"/>
          <w:color w:val="auto"/>
          <w:kern w:val="0"/>
          <w:sz w:val="24"/>
          <w:szCs w:val="24"/>
        </w:rPr>
      </w:pPr>
      <w:r>
        <w:rPr>
          <w:rFonts w:ascii="Times New Roman" w:hAnsi="Times New Roman"/>
          <w:color w:val="auto"/>
          <w:kern w:val="0"/>
          <w:sz w:val="24"/>
          <w:szCs w:val="24"/>
        </w:rPr>
        <w:t>设定各个监控点告警门限值。</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远程核容</w:t>
      </w:r>
      <w:r>
        <w:rPr>
          <w:rFonts w:hint="eastAsia" w:ascii="Times New Roman" w:hAnsi="Times New Roman"/>
          <w:color w:val="auto"/>
          <w:sz w:val="24"/>
          <w:szCs w:val="24"/>
        </w:rPr>
        <w:t>装置</w:t>
      </w:r>
      <w:r>
        <w:rPr>
          <w:rFonts w:ascii="Times New Roman" w:hAnsi="Times New Roman"/>
          <w:color w:val="auto"/>
          <w:sz w:val="24"/>
          <w:szCs w:val="24"/>
        </w:rPr>
        <w:t>技术要求</w:t>
      </w:r>
    </w:p>
    <w:p>
      <w:pPr>
        <w:spacing w:line="360" w:lineRule="auto"/>
        <w:ind w:firstLine="482" w:firstLineChars="200"/>
        <w:rPr>
          <w:rFonts w:ascii="Times New Roman" w:hAnsi="Times New Roman"/>
          <w:b/>
          <w:color w:val="auto"/>
          <w:sz w:val="24"/>
          <w:szCs w:val="24"/>
        </w:rPr>
      </w:pPr>
      <w:r>
        <w:rPr>
          <w:rFonts w:ascii="Times New Roman" w:hAnsi="Times New Roman"/>
          <w:b/>
          <w:color w:val="auto"/>
          <w:sz w:val="24"/>
          <w:szCs w:val="24"/>
        </w:rPr>
        <w:t>▲投标方</w:t>
      </w:r>
      <w:r>
        <w:rPr>
          <w:rFonts w:hint="eastAsia" w:ascii="Times New Roman" w:hAnsi="Times New Roman"/>
          <w:b/>
          <w:color w:val="auto"/>
          <w:sz w:val="24"/>
          <w:szCs w:val="24"/>
          <w:lang w:val="en-US" w:eastAsia="zh-CN"/>
        </w:rPr>
        <w:t>在投标文件中，</w:t>
      </w:r>
      <w:r>
        <w:rPr>
          <w:rFonts w:ascii="Times New Roman" w:hAnsi="Times New Roman"/>
          <w:b/>
          <w:color w:val="auto"/>
          <w:sz w:val="24"/>
          <w:szCs w:val="24"/>
        </w:rPr>
        <w:t>提供的通信电源</w:t>
      </w:r>
      <w:r>
        <w:rPr>
          <w:rFonts w:hint="eastAsia" w:ascii="Times New Roman" w:hAnsi="Times New Roman"/>
          <w:b/>
          <w:color w:val="auto"/>
          <w:sz w:val="24"/>
          <w:szCs w:val="24"/>
        </w:rPr>
        <w:t>和UPS</w:t>
      </w:r>
      <w:r>
        <w:rPr>
          <w:rFonts w:ascii="Times New Roman" w:hAnsi="Times New Roman"/>
          <w:b/>
          <w:color w:val="auto"/>
          <w:sz w:val="24"/>
          <w:szCs w:val="24"/>
        </w:rPr>
        <w:t>蓄电池组远程核容装置必须提供有资质的第三方检测机构出具的产品主要元器件自主可控检测报告。(需提供检测报告原件扫描件)。</w:t>
      </w:r>
    </w:p>
    <w:p>
      <w:pPr>
        <w:spacing w:line="360" w:lineRule="auto"/>
        <w:ind w:firstLine="482" w:firstLineChars="200"/>
        <w:rPr>
          <w:rFonts w:ascii="Times New Roman" w:hAnsi="Times New Roman"/>
          <w:b/>
          <w:color w:val="auto"/>
          <w:sz w:val="24"/>
          <w:szCs w:val="24"/>
        </w:rPr>
      </w:pPr>
      <w:r>
        <w:rPr>
          <w:rFonts w:ascii="Times New Roman" w:hAnsi="Times New Roman"/>
          <w:b/>
          <w:color w:val="auto"/>
          <w:sz w:val="24"/>
          <w:szCs w:val="24"/>
        </w:rPr>
        <w:t>★目前，南方电网储能公司正在运行的智能机房运维管理平台作为电源监控、蓄电池远程核容等的主站平台，蓄电池远程核容装置采集的数据上送至南方电网储能公司正在运行的核容主站统一管理，要求蓄电池远程核容装置接口必须满足61850协议，才能接入该核容主站，各厂站可通过客户端访问核容主站管理所辖站点设备。</w:t>
      </w:r>
    </w:p>
    <w:p>
      <w:pPr>
        <w:spacing w:line="360" w:lineRule="auto"/>
        <w:ind w:firstLine="482" w:firstLineChars="200"/>
        <w:rPr>
          <w:rFonts w:ascii="Times New Roman" w:hAnsi="Times New Roman"/>
          <w:b/>
          <w:color w:val="auto"/>
          <w:sz w:val="24"/>
          <w:szCs w:val="24"/>
        </w:rPr>
      </w:pPr>
      <w:r>
        <w:rPr>
          <w:rFonts w:ascii="Times New Roman" w:hAnsi="Times New Roman"/>
          <w:b/>
          <w:color w:val="auto"/>
          <w:sz w:val="24"/>
          <w:szCs w:val="24"/>
        </w:rPr>
        <w:t>投标方所提供的产品应满足南方电网通信电源技术规范(Q/CSG1204081-2020)。</w:t>
      </w:r>
      <w:bookmarkStart w:id="482" w:name="_Toc167881930"/>
      <w:bookmarkEnd w:id="482"/>
      <w:bookmarkStart w:id="483" w:name="_Toc167881929"/>
      <w:bookmarkEnd w:id="483"/>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可作为模块化部件或可作为独立装置。作为模块化部件可嵌入高频开关电源，与独立装置具备同样的DC/DC核容技术原理和技术要求。独立装置主要由主控单元、高频DC/DC模块、切换单元等组成，装置内部宜通过端子或铜排进行连接。高频DC/DC模块主要元器件包含高频DC/DC升压电路模块、高频DC/DC稳流充电电路模块。</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同一站点多套蓄电池组应分别配置远程核容装置，连接方式组网图如下：</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drawing>
          <wp:inline distT="0" distB="0" distL="114300" distR="114300">
            <wp:extent cx="5273040" cy="2962275"/>
            <wp:effectExtent l="0" t="0" r="3810" b="9525"/>
            <wp:docPr id="42" name="图片 42" descr="173036026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730360262074"/>
                    <pic:cNvPicPr>
                      <a:picLocks noChangeAspect="1"/>
                    </pic:cNvPicPr>
                  </pic:nvPicPr>
                  <pic:blipFill>
                    <a:blip r:embed="rId40"/>
                    <a:srcRect t="5681"/>
                    <a:stretch>
                      <a:fillRect/>
                    </a:stretch>
                  </pic:blipFill>
                  <pic:spPr>
                    <a:xfrm>
                      <a:off x="0" y="0"/>
                      <a:ext cx="5273040" cy="2962275"/>
                    </a:xfrm>
                    <a:prstGeom prst="rect">
                      <a:avLst/>
                    </a:prstGeom>
                  </pic:spPr>
                </pic:pic>
              </a:graphicData>
            </a:graphic>
          </wp:inline>
        </w:drawing>
      </w:r>
    </w:p>
    <w:p>
      <w:pPr>
        <w:spacing w:line="360" w:lineRule="auto"/>
        <w:ind w:firstLine="480" w:firstLineChars="200"/>
        <w:jc w:val="center"/>
        <w:rPr>
          <w:rFonts w:ascii="Times New Roman" w:hAnsi="Times New Roman"/>
          <w:bCs/>
          <w:color w:val="auto"/>
          <w:sz w:val="24"/>
          <w:szCs w:val="24"/>
        </w:rPr>
      </w:pPr>
      <w:r>
        <w:rPr>
          <w:rFonts w:hint="eastAsia" w:ascii="Times New Roman" w:hAnsi="Times New Roman"/>
          <w:bCs/>
          <w:color w:val="auto"/>
          <w:sz w:val="24"/>
          <w:szCs w:val="24"/>
        </w:rPr>
        <w:t>蓄电池远程核容技术原理图</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通过高频DC/DC升压放电模块使通信蓄电池组承担设备侧直流负载，应保证在线升压核容安全性，其中高频DC/DC升压放电模块应使用输入输出变压器隔离型的DC/DC技术，输出的电压应控制在安全范围内(-40VDC～-57VDC)，避免出现高频DC/DC电路故障导致过压损坏系统设备的情况。</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蓄电池核容装置总电压测量精度：误差不超过±0.2V，电流测量精度误差应满足下表的要求。</w:t>
      </w:r>
    </w:p>
    <w:p>
      <w:pPr>
        <w:spacing w:line="360" w:lineRule="auto"/>
        <w:ind w:firstLine="480" w:firstLineChars="200"/>
        <w:jc w:val="center"/>
        <w:rPr>
          <w:rFonts w:ascii="Times New Roman" w:hAnsi="Times New Roman"/>
          <w:bCs/>
          <w:color w:val="auto"/>
          <w:sz w:val="24"/>
          <w:szCs w:val="24"/>
        </w:rPr>
      </w:pPr>
      <w:r>
        <w:rPr>
          <w:rFonts w:hint="eastAsia" w:ascii="Times New Roman" w:hAnsi="Times New Roman"/>
          <w:bCs/>
          <w:color w:val="auto"/>
          <w:sz w:val="24"/>
          <w:szCs w:val="24"/>
        </w:rPr>
        <w:t>电流测量精度误差表</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3486"/>
        <w:gridCol w:w="1764"/>
        <w:gridCol w:w="2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序号</w:t>
            </w:r>
          </w:p>
        </w:tc>
        <w:tc>
          <w:tcPr>
            <w:tcW w:w="3486"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对应蓄电池核容装置规格型号</w:t>
            </w:r>
          </w:p>
        </w:tc>
        <w:tc>
          <w:tcPr>
            <w:tcW w:w="176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电流测量范围</w:t>
            </w:r>
          </w:p>
        </w:tc>
        <w:tc>
          <w:tcPr>
            <w:tcW w:w="2762"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电流测量精度误差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w:t>
            </w:r>
          </w:p>
        </w:tc>
        <w:tc>
          <w:tcPr>
            <w:tcW w:w="3486"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200A 带载，放电电流 100A</w:t>
            </w:r>
          </w:p>
        </w:tc>
        <w:tc>
          <w:tcPr>
            <w:tcW w:w="176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1-100A</w:t>
            </w:r>
          </w:p>
        </w:tc>
        <w:tc>
          <w:tcPr>
            <w:tcW w:w="2762"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±1.0A（5-100A）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2</w:t>
            </w:r>
          </w:p>
        </w:tc>
        <w:tc>
          <w:tcPr>
            <w:tcW w:w="3486"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400A带载，放电电流100A</w:t>
            </w:r>
          </w:p>
        </w:tc>
        <w:tc>
          <w:tcPr>
            <w:tcW w:w="176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1-100A</w:t>
            </w:r>
          </w:p>
        </w:tc>
        <w:tc>
          <w:tcPr>
            <w:tcW w:w="2762"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1-100A±1.5A(5-100A)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3</w:t>
            </w:r>
          </w:p>
        </w:tc>
        <w:tc>
          <w:tcPr>
            <w:tcW w:w="3486"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600A带载，放电电流200A</w:t>
            </w:r>
          </w:p>
        </w:tc>
        <w:tc>
          <w:tcPr>
            <w:tcW w:w="1764"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1-200A</w:t>
            </w:r>
          </w:p>
        </w:tc>
        <w:tc>
          <w:tcPr>
            <w:tcW w:w="2762" w:type="dxa"/>
          </w:tcPr>
          <w:p>
            <w:pPr>
              <w:spacing w:line="360" w:lineRule="auto"/>
              <w:rPr>
                <w:rFonts w:ascii="Times New Roman" w:hAnsi="Times New Roman"/>
                <w:bCs/>
                <w:color w:val="auto"/>
                <w:sz w:val="24"/>
                <w:szCs w:val="24"/>
              </w:rPr>
            </w:pPr>
            <w:r>
              <w:rPr>
                <w:rFonts w:hint="eastAsia" w:ascii="Times New Roman" w:hAnsi="Times New Roman"/>
                <w:bCs/>
                <w:color w:val="auto"/>
                <w:sz w:val="24"/>
                <w:szCs w:val="24"/>
              </w:rPr>
              <w:t>±2.0A(10-200A)</w:t>
            </w:r>
          </w:p>
        </w:tc>
      </w:tr>
    </w:tbl>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核容装置应支持USB1.1标准设备，兼容USB2.0及3.0接口，具备自动识别USB插入设备，无须人工驱动，支持嵌入式Linux环境、OpenSSL；</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核容装置内部主控主板，IEC61850规约模块，屏幕显示模块，电池监测模块等使用芯片原则上应实现自主可控。</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核容装置前面板分布元素应至少包括显示屏幕、电源指示灯、通信指示灯、告警指示灯、直连充电状态灯、预充电状态灯，K1/D1测试灯、核容测试状态灯、停电放电指示灯。</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核容装置应有本地调试接口，宜通过以太网或串口进行本地调试。</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核容装置应具有两路独立的RJ45网络接口，且两路RJ45网络接口能同时支持IEC61850规约协议。</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核容装置支持系统通过IEC61850的文件服务认证后对设备进行远程升级，端口为102。</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至少应具备3个干接点输入接口，干接点信号至少应包括通信电源交流输入故障、通信电源直流输出故障或整流模块故障、负载/电池分断告警、故障总告警等；如现场通信电源没有可用的干接点，核容主站监测到通信电源故障后，需立即下发停止核容的命令给本站本套的远程核容装置核容装置可根据实际需要输入干接点信号；干接点信号不应与其他共用。</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核容装置应具备手动停止放电功能。即通过主站可在电池放电任意时刻停止放电过程，也可通过站端实现就地控制停止放电。</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放电自动停止控制功能。当电池单体电压、单体温度、电池端电压、电池放出容量、放电时长任意一项参数达到其预设停止值时，系统应自动停止放电转充电功能，充电完成再恢复系统等电位连接，并在放电记录中给出停止放电原因。</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核容过程中，遇到系统故障、交流失电，设备具备将蓄电池组恢复系统等电位连接，并在放电记录中给出停止放电原因，且市电恢复后不继续放电。</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核容系统应具备提示主站端有冲突的远程核容命令的功能，提示正在核容工作或不满足电源充放电条件。</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支持蓄电池组在线放电后自动转预充电功能（不需额外增加充电机，只进行二次限流,预充电电流大小本地可设置），当预充电电流小于预充电结束电流阈值（5-10A本地可设置）下限时转直连充电；在设备额定的充放电电流值范围内，能根据设定的电流值大小进行充放电操作。</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K/D测试自检保护，核容测试前，蓄电池远程核容装置进行K/D测试，通过不低于60A电流的内部测试环路对在线常闭接触器K1和在线二极管D1进行测试，测量常闭接触器的主触点接触电阻和在线二极管的导通压降，测试异常应提示告警信息并禁止启动核容测试；核容测试结束后，蓄电池远程核容装置立即再次进行K/D测试，测试异常应提示告警信息；K/D测试应不影响在线系统电压的波动和系统设备的正常工作。</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核容装置与监测模块通信异常时，应提示告警信息并终止放电测试。</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应支持核容前、充电结束后远程启动测试一次电池单体内阻，温度，电压，并上报监控主站。</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对于站点有多组蓄电池运行的情况，应能对每组电池进行分别放电，并对每组电池的容量进行分别核定；当一套高频开关电源下接两组蓄电池组，当其中一组蓄电池在充放电过程中如果遇到市电中断、母线异常停止等异常时，禁止两组蓄电池直接并联，需等到两组蓄电池组端等电位才能并联一起。</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安装核容装置的通信电源系统，核容设备升高电压应不超过57V。</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蓄电池组启动核容后，如核容设备与监控主站通信中断超3分钟，核容设备应立即停止蓄电池放电。核容装置与监控主站的通信状态在恢复为正常后，可自动重连，不对电源设备正常运行造成影响。</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在满足基本要求下，应支持与通信电源柜进行合并，其中主控单元应与通信电源监控单元合并设置，液晶显示和指示灯应布置于柜正面。高频DC/DC升压电路模块应模块化设计；宜支持热插拔，多个模块使用应自动均流，当单个模块负载为50%-100%额定输出电流时，负载均流不平衡度应小于5%。</w:t>
      </w:r>
    </w:p>
    <w:p>
      <w:pPr>
        <w:spacing w:line="360" w:lineRule="auto"/>
        <w:ind w:firstLine="482" w:firstLineChars="200"/>
        <w:rPr>
          <w:rFonts w:ascii="Times New Roman" w:hAnsi="Times New Roman"/>
          <w:b/>
          <w:color w:val="auto"/>
          <w:sz w:val="24"/>
          <w:szCs w:val="24"/>
        </w:rPr>
      </w:pPr>
      <w:bookmarkStart w:id="484" w:name="_Toc30331"/>
      <w:r>
        <w:rPr>
          <w:rFonts w:hint="eastAsia" w:ascii="Times New Roman" w:hAnsi="Times New Roman"/>
          <w:b/>
          <w:color w:val="auto"/>
          <w:sz w:val="24"/>
          <w:szCs w:val="24"/>
        </w:rPr>
        <w:t>切换单元技术要求</w:t>
      </w:r>
      <w:bookmarkEnd w:id="484"/>
      <w:r>
        <w:rPr>
          <w:rFonts w:hint="eastAsia" w:ascii="Times New Roman" w:hAnsi="Times New Roman"/>
          <w:b/>
          <w:color w:val="auto"/>
          <w:sz w:val="24"/>
          <w:szCs w:val="24"/>
        </w:rPr>
        <w:t>：</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切换单元主要包括输入输出接线端子、在线常闭接触器、在线二极管模组、霍尔电流传感器。</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常闭接触器K1负责承载蓄电池供电回路的电流，其额定电流应大于等于核容装置额定带载电流。</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在线二极管D1负责保证蓄电池实时处于可对系统设备供电状态，应采用双二极管并联设计，额定电流大于等于核容装置额定带载电流，在二极管通过满载电流时二极管壳温升应小于90℃（在环境温度25℃条件下），若存在给二极管强制风冷散热设计时，散热工作电源应来自蓄电池组，不受其他设备或模块影响，散热部件应与装置外壳做绝缘处理。7.3.3.24.4 正负极宜采用接线端子或者母排方式接入蓄电池组正负极、通信电源正负极，其额定电流应大于等于核容装置额定带载电流，宜设计为双端子并联形式，端子应具备绝缘防护盖或防护罩。</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推荐使用霍尔电流传感器监测蓄电池电流，霍尔电流传感器应内置于切换单元中，霍尔电流传感器额定电流应大于等于核容装置额定带载电流，霍尔电流传感器支持的测量最大值宜大于核容装置额定带载电流的2倍；如200A带载核容装置，推荐霍尔电流传感器额定输入范围为±200A，测量范围±400A。</w:t>
      </w:r>
    </w:p>
    <w:p>
      <w:pPr>
        <w:spacing w:line="360" w:lineRule="auto"/>
        <w:ind w:firstLine="482" w:firstLineChars="200"/>
        <w:rPr>
          <w:rFonts w:ascii="Times New Roman" w:hAnsi="Times New Roman"/>
          <w:b/>
          <w:color w:val="auto"/>
          <w:sz w:val="24"/>
          <w:szCs w:val="24"/>
        </w:rPr>
      </w:pPr>
      <w:bookmarkStart w:id="485" w:name="_Toc9606"/>
      <w:r>
        <w:rPr>
          <w:rFonts w:hint="eastAsia" w:ascii="Times New Roman" w:hAnsi="Times New Roman"/>
          <w:b/>
          <w:color w:val="auto"/>
          <w:sz w:val="24"/>
          <w:szCs w:val="24"/>
        </w:rPr>
        <w:t>主控单元技术要求</w:t>
      </w:r>
      <w:bookmarkEnd w:id="485"/>
      <w:r>
        <w:rPr>
          <w:rFonts w:hint="eastAsia" w:ascii="Times New Roman" w:hAnsi="Times New Roman"/>
          <w:b/>
          <w:color w:val="auto"/>
          <w:sz w:val="24"/>
          <w:szCs w:val="24"/>
        </w:rPr>
        <w:t>：</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主控单元应包含显示模组、状态指示灯、IEC61850规约模块等模块，应具备至少3个干接点输入接口，3个干接点告警输出接口，1个汇集器接口，1个双机联动接口，1个通信电源通信接口。</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主控单元应支持直流母线非停运状态检修更换操作,主控单元检修更换操作不应断开蓄电池组与通信电源的直接电气连接，以保证蓄电池的供电可靠性。</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显示模组采用触摸液晶屏时，规格尺寸至少为7英寸触摸液晶屏，采用其他非触摸显示屏时应设计实体按键与显示屏组合方式实现人机交互；具备核容控制、蓄电池监控、系统参数、告警参数、告警信息等展示与交互功能，具备屏幕保护程序功能。</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IEC61850 规约模块应支持 IEC61850 协议转换交互，公钥验签等功能；具备 2 个 LAN口、1 个 USB 接口（识别 Ukey）、1 个 本地调试接口。</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开关量输入检测应采用光耦隔离采集输入信号，为输入信号提供的电源应与系统电源(蓄电池组)隔离，电源电压应小于 36VDC;干接点告警输出，应为继电器触点输出形式，触点宜采用一组转换形式（1常闭1常开），触点切换容量应大于220VDC 1A。</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双机联动接口应具备与另外一台核容装置进行RS485通信功能，接口宜为RJ45端口，使用T568B类网线；通信协议见附录C 表C.1；主控单元应可设置双机联动功能的启用与不启用，应可设置本机为主机或从机。</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通信电源通信接口宜具备与通信电源进行 RS485 通信功能，接口应为RJ45端口，使用 T568B 类网线与通信电源对应通信接口连接。核容装置获取站用电源的电参数据，包括但不限于交流电压值、母线电压值、负荷信息、告警信息等；核容装置通过写指令方式将蓄电池单体监控信息和电池组环境温度传输给站用通信电源。通信协议见附录C 表C.2；主控单元应可设置与通信电源通信的功能的启用与不启用。</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远程核容装置与监控单元、通信电源、汇集器及远程核容装置之间的通信物理接口均应采用RJ45接口。</w:t>
      </w:r>
    </w:p>
    <w:p>
      <w:pPr>
        <w:spacing w:line="360" w:lineRule="auto"/>
        <w:ind w:firstLine="482" w:firstLineChars="200"/>
        <w:rPr>
          <w:rFonts w:ascii="Times New Roman" w:hAnsi="Times New Roman"/>
          <w:b/>
          <w:color w:val="auto"/>
          <w:sz w:val="24"/>
          <w:szCs w:val="24"/>
        </w:rPr>
      </w:pPr>
      <w:r>
        <w:rPr>
          <w:rFonts w:hint="eastAsia" w:ascii="Times New Roman" w:hAnsi="Times New Roman"/>
          <w:b/>
          <w:color w:val="auto"/>
          <w:sz w:val="24"/>
          <w:szCs w:val="24"/>
        </w:rPr>
        <w:t>核容保护技术要求：</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蓄电池远程核容装置应具备异常情况快速回切恢复旁路状态功能；放电未开始时，则不允许启动放电；处于放电状态时，应立即停止并给出相应提示。</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核容装置应具备监测保护、干接点保护和双机联动保护等三重保护机制</w:t>
      </w:r>
      <w:bookmarkStart w:id="486" w:name="3978-1721738108871"/>
      <w:bookmarkEnd w:id="486"/>
      <w:r>
        <w:rPr>
          <w:rFonts w:hint="eastAsia" w:ascii="Times New Roman" w:hAnsi="Times New Roman"/>
          <w:bCs/>
          <w:color w:val="auto"/>
          <w:sz w:val="24"/>
          <w:szCs w:val="24"/>
        </w:rPr>
        <w:t>。</w:t>
      </w:r>
      <w:bookmarkStart w:id="487" w:name="5335-1721558837216"/>
      <w:bookmarkEnd w:id="487"/>
      <w:bookmarkStart w:id="488" w:name="5759-1721558837216"/>
      <w:bookmarkEnd w:id="488"/>
      <w:bookmarkStart w:id="489" w:name="5581-1721738095335"/>
      <w:bookmarkEnd w:id="489"/>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监测保护，主要保护内容包含K/D自检、模块监测、装置温度、输入过压、输入欠压、温度异常、电流异常、单体电池电压异常、单体温度异常等，一旦出现监测异常情况，提示告警信息并禁止启动核容测试。</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核容装置应具备干接点保护，检测到有效干接点输入应提示告警信息并禁止启动核容测试，正在放电测试时应终止放电测试。</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核容装置应具备双机联动保护，双机联动启用后当任意一套蓄电池远程核容装置故障、监控数据异常、干节点输入异常，另外一套禁止启动核容测试，正在放电测试时应终止放电测试。</w:t>
      </w:r>
    </w:p>
    <w:p>
      <w:pPr>
        <w:spacing w:line="360" w:lineRule="auto"/>
        <w:ind w:firstLine="480" w:firstLineChars="200"/>
        <w:rPr>
          <w:rFonts w:ascii="Times New Roman" w:hAnsi="Times New Roman"/>
          <w:bCs/>
          <w:color w:val="auto"/>
          <w:sz w:val="24"/>
          <w:szCs w:val="24"/>
        </w:rPr>
      </w:pPr>
      <w:r>
        <w:rPr>
          <w:rFonts w:hint="eastAsia" w:ascii="Times New Roman" w:hAnsi="Times New Roman"/>
          <w:bCs/>
          <w:color w:val="auto"/>
          <w:sz w:val="24"/>
          <w:szCs w:val="24"/>
        </w:rPr>
        <w:t>核容装置完全失效，且蓄电池组回路异常情况下，高频开关电源柜应有电池组下电保护告警。</w:t>
      </w:r>
    </w:p>
    <w:p>
      <w:pPr>
        <w:spacing w:line="360" w:lineRule="auto"/>
        <w:ind w:firstLine="480" w:firstLineChars="200"/>
        <w:jc w:val="center"/>
        <w:rPr>
          <w:rFonts w:ascii="Times New Roman" w:hAnsi="Times New Roman"/>
          <w:bCs/>
          <w:color w:val="auto"/>
          <w:sz w:val="24"/>
          <w:szCs w:val="24"/>
        </w:rPr>
      </w:pPr>
      <w:r>
        <w:rPr>
          <w:rFonts w:hint="eastAsia" w:ascii="Times New Roman" w:hAnsi="Times New Roman"/>
          <w:bCs/>
          <w:color w:val="auto"/>
          <w:sz w:val="24"/>
          <w:szCs w:val="24"/>
        </w:rPr>
        <w:drawing>
          <wp:inline distT="0" distB="0" distL="114300" distR="114300">
            <wp:extent cx="3970020" cy="1499870"/>
            <wp:effectExtent l="0" t="0" r="11430" b="5080"/>
            <wp:docPr id="43" name="图片 43" descr="规范系统结构图240621-三重保护.draw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规范系统结构图240621-三重保护.drawio"/>
                    <pic:cNvPicPr>
                      <a:picLocks noChangeAspect="1"/>
                    </pic:cNvPicPr>
                  </pic:nvPicPr>
                  <pic:blipFill>
                    <a:blip r:embed="rId41"/>
                    <a:stretch>
                      <a:fillRect/>
                    </a:stretch>
                  </pic:blipFill>
                  <pic:spPr>
                    <a:xfrm>
                      <a:off x="0" y="0"/>
                      <a:ext cx="3970020" cy="1499870"/>
                    </a:xfrm>
                    <a:prstGeom prst="rect">
                      <a:avLst/>
                    </a:prstGeom>
                  </pic:spPr>
                </pic:pic>
              </a:graphicData>
            </a:graphic>
          </wp:inline>
        </w:drawing>
      </w:r>
    </w:p>
    <w:p>
      <w:pPr>
        <w:spacing w:line="360" w:lineRule="auto"/>
        <w:ind w:firstLine="480" w:firstLineChars="200"/>
        <w:jc w:val="center"/>
        <w:rPr>
          <w:rFonts w:ascii="Times New Roman" w:hAnsi="Times New Roman"/>
          <w:bCs/>
          <w:color w:val="auto"/>
          <w:sz w:val="24"/>
          <w:szCs w:val="24"/>
        </w:rPr>
      </w:pPr>
      <w:r>
        <w:rPr>
          <w:rFonts w:hint="eastAsia" w:ascii="Times New Roman" w:hAnsi="Times New Roman"/>
          <w:bCs/>
          <w:color w:val="auto"/>
          <w:sz w:val="24"/>
          <w:szCs w:val="24"/>
        </w:rPr>
        <w:t>核容装置三重保护机制示意图</w:t>
      </w:r>
    </w:p>
    <w:p>
      <w:pPr>
        <w:spacing w:line="360" w:lineRule="auto"/>
        <w:ind w:firstLine="482" w:firstLineChars="200"/>
        <w:rPr>
          <w:rFonts w:ascii="Times New Roman" w:hAnsi="Times New Roman"/>
          <w:color w:val="auto"/>
          <w:sz w:val="24"/>
          <w:szCs w:val="24"/>
          <w:lang w:val="zh-TW" w:eastAsia="zh-TW"/>
        </w:rPr>
      </w:pPr>
      <w:bookmarkStart w:id="490" w:name="bookmark344"/>
      <w:bookmarkStart w:id="491" w:name="bookmark346"/>
      <w:bookmarkStart w:id="492" w:name="_Toc24590"/>
      <w:bookmarkStart w:id="493" w:name="_Toc22241"/>
      <w:bookmarkStart w:id="494" w:name="_Toc193770652"/>
      <w:bookmarkStart w:id="495" w:name="_Toc30851"/>
      <w:bookmarkStart w:id="496" w:name="_Toc997635294"/>
      <w:r>
        <w:rPr>
          <w:rFonts w:ascii="Times New Roman" w:hAnsi="Times New Roman"/>
          <w:b/>
          <w:bCs/>
          <w:color w:val="auto"/>
          <w:sz w:val="24"/>
          <w:szCs w:val="24"/>
          <w:lang w:val="zh-TW" w:eastAsia="zh-TW"/>
        </w:rPr>
        <w:t>加密模块技术要求</w:t>
      </w:r>
      <w:bookmarkEnd w:id="490"/>
      <w:bookmarkEnd w:id="491"/>
      <w:bookmarkEnd w:id="492"/>
      <w:bookmarkEnd w:id="493"/>
      <w:bookmarkEnd w:id="494"/>
      <w:bookmarkEnd w:id="495"/>
      <w:bookmarkEnd w:id="496"/>
      <w:r>
        <w:rPr>
          <w:rFonts w:hint="eastAsia" w:ascii="Times New Roman" w:hAnsi="Times New Roman"/>
          <w:b/>
          <w:color w:val="auto"/>
          <w:sz w:val="24"/>
          <w:szCs w:val="24"/>
        </w:rPr>
        <w:t>：</w:t>
      </w:r>
    </w:p>
    <w:p>
      <w:pPr>
        <w:pStyle w:val="797"/>
        <w:ind w:firstLine="480"/>
        <w:rPr>
          <w:rFonts w:ascii="Times New Roman" w:hAnsi="Times New Roman"/>
          <w:color w:val="auto"/>
          <w:sz w:val="24"/>
          <w:lang w:val="zh-TW" w:eastAsia="zh-TW" w:bidi="ar"/>
        </w:rPr>
      </w:pPr>
      <w:bookmarkStart w:id="497" w:name="bookmark347"/>
      <w:bookmarkEnd w:id="497"/>
      <w:r>
        <w:rPr>
          <w:rFonts w:ascii="Times New Roman" w:hAnsi="Times New Roman"/>
          <w:color w:val="auto"/>
          <w:sz w:val="24"/>
          <w:lang w:val="zh-TW" w:eastAsia="zh-TW" w:bidi="ar"/>
        </w:rPr>
        <w:t>通信蓄电池远程核容主站应支持安全模块认证加密功能，只有通过安全模块认证后才能对站端通信蓄电池远程核容装置进行遥调和遥控操作。通信蓄电池远程核容装置无安全模块或未通过安全模块认证时，只允许主站操作人员读取通信蓄电池远程核容装置的遥测量和遥信量。</w:t>
      </w:r>
    </w:p>
    <w:p>
      <w:pPr>
        <w:pStyle w:val="797"/>
        <w:ind w:firstLine="480"/>
        <w:rPr>
          <w:rFonts w:ascii="Times New Roman" w:hAnsi="Times New Roman"/>
          <w:color w:val="auto"/>
          <w:sz w:val="24"/>
          <w:lang w:val="zh-TW" w:eastAsia="zh-TW" w:bidi="ar"/>
        </w:rPr>
      </w:pPr>
      <w:bookmarkStart w:id="498" w:name="bookmark348"/>
      <w:bookmarkEnd w:id="498"/>
      <w:r>
        <w:rPr>
          <w:rFonts w:ascii="Times New Roman" w:hAnsi="Times New Roman"/>
          <w:color w:val="auto"/>
          <w:sz w:val="24"/>
          <w:lang w:val="zh-TW" w:eastAsia="zh-TW" w:bidi="ar"/>
        </w:rPr>
        <w:t>通信蓄电池远程核容主站应支持安全模块认证加密和对操作人员进行人脸认证，并对通信蓄电池远程核容装置进行是否合法检测，只有通过所有认证鉴定，才允许操作人员对通信蓄电池远程核容装置进行遥调、遥控操作。</w:t>
      </w:r>
    </w:p>
    <w:p>
      <w:pPr>
        <w:pStyle w:val="797"/>
        <w:ind w:firstLine="480"/>
        <w:rPr>
          <w:color w:val="auto"/>
        </w:rPr>
      </w:pPr>
      <w:bookmarkStart w:id="499" w:name="bookmark349"/>
      <w:bookmarkEnd w:id="499"/>
      <w:r>
        <w:rPr>
          <w:rFonts w:ascii="Times New Roman" w:hAnsi="Times New Roman"/>
          <w:color w:val="auto"/>
          <w:sz w:val="24"/>
          <w:lang w:val="zh-TW" w:eastAsia="zh-TW" w:bidi="ar"/>
        </w:rPr>
        <w:t>安全加密模块支持SM2国密算法。</w:t>
      </w:r>
    </w:p>
    <w:p>
      <w:pPr>
        <w:pStyle w:val="4"/>
        <w:numPr>
          <w:ilvl w:val="1"/>
          <w:numId w:val="25"/>
        </w:numPr>
        <w:spacing w:line="360" w:lineRule="auto"/>
        <w:rPr>
          <w:rFonts w:ascii="Times New Roman" w:hAnsi="Times New Roman"/>
          <w:b/>
          <w:bCs/>
          <w:color w:val="auto"/>
          <w:kern w:val="0"/>
          <w:sz w:val="24"/>
          <w:szCs w:val="24"/>
        </w:rPr>
      </w:pPr>
      <w:bookmarkStart w:id="500" w:name="_Toc9569"/>
      <w:bookmarkStart w:id="501" w:name="_Toc4814"/>
      <w:bookmarkStart w:id="502" w:name="_Toc26406"/>
      <w:bookmarkStart w:id="503" w:name="_Toc24065"/>
      <w:bookmarkStart w:id="504" w:name="_Toc13800"/>
      <w:bookmarkStart w:id="505" w:name="_Toc17666"/>
      <w:bookmarkStart w:id="506" w:name="_Toc1017"/>
      <w:r>
        <w:rPr>
          <w:rFonts w:ascii="Times New Roman" w:hAnsi="Times New Roman"/>
          <w:b/>
          <w:bCs/>
          <w:color w:val="auto"/>
          <w:kern w:val="0"/>
          <w:sz w:val="24"/>
          <w:szCs w:val="24"/>
        </w:rPr>
        <w:t>安全和接地</w:t>
      </w:r>
      <w:bookmarkEnd w:id="500"/>
      <w:bookmarkEnd w:id="501"/>
      <w:bookmarkEnd w:id="502"/>
      <w:bookmarkEnd w:id="503"/>
      <w:bookmarkEnd w:id="504"/>
      <w:bookmarkEnd w:id="505"/>
      <w:bookmarkEnd w:id="506"/>
    </w:p>
    <w:p>
      <w:pPr>
        <w:pStyle w:val="797"/>
        <w:ind w:firstLine="480"/>
        <w:rPr>
          <w:rFonts w:ascii="Times New Roman" w:hAnsi="Times New Roman"/>
          <w:color w:val="auto"/>
          <w:sz w:val="24"/>
          <w:lang w:bidi="ar"/>
        </w:rPr>
      </w:pPr>
      <w:r>
        <w:rPr>
          <w:rFonts w:ascii="Times New Roman" w:hAnsi="Times New Roman"/>
          <w:color w:val="auto"/>
          <w:sz w:val="24"/>
          <w:lang w:bidi="ar"/>
        </w:rPr>
        <w:t xml:space="preserve">采取联合接地方式，即设备所在机房采取各类通信设备的工作地、保护地共用一组接地体的集中接地方式。 </w:t>
      </w:r>
    </w:p>
    <w:p>
      <w:pPr>
        <w:pStyle w:val="797"/>
        <w:ind w:firstLine="482"/>
        <w:rPr>
          <w:rFonts w:ascii="Times New Roman" w:hAnsi="Times New Roman"/>
          <w:color w:val="auto"/>
          <w:sz w:val="24"/>
          <w:lang w:bidi="ar"/>
        </w:rPr>
      </w:pPr>
      <w:r>
        <w:rPr>
          <w:rFonts w:ascii="Times New Roman" w:hAnsi="Times New Roman"/>
          <w:b/>
          <w:bCs/>
          <w:color w:val="auto"/>
          <w:sz w:val="24"/>
          <w:lang w:bidi="ar"/>
        </w:rPr>
        <w:t>所有设备工作地、保护地的接地线规格应根据通过的最大负荷电流确定，采用大于50mm2的导线，并就近接入环形接地母线，环形接地母线一般采用截面大于90mm2的铜排或大于 120mm2的镀锌扁钢。</w:t>
      </w:r>
    </w:p>
    <w:p>
      <w:pPr>
        <w:pStyle w:val="797"/>
        <w:ind w:firstLine="480"/>
        <w:rPr>
          <w:rFonts w:ascii="Times New Roman" w:hAnsi="Times New Roman"/>
          <w:color w:val="auto"/>
          <w:sz w:val="24"/>
          <w:lang w:bidi="ar"/>
        </w:rPr>
      </w:pPr>
      <w:r>
        <w:rPr>
          <w:rFonts w:ascii="Times New Roman" w:hAnsi="Times New Roman"/>
          <w:color w:val="auto"/>
          <w:sz w:val="24"/>
          <w:lang w:bidi="ar"/>
        </w:rPr>
        <w:t>机柜的接地应接至环形接地母线或从环形接地母线引至走线架的铜排上，导线规格应符合设计要求。</w:t>
      </w:r>
    </w:p>
    <w:p>
      <w:pPr>
        <w:pStyle w:val="797"/>
        <w:ind w:firstLine="480"/>
        <w:rPr>
          <w:rFonts w:ascii="Times New Roman" w:hAnsi="Times New Roman"/>
          <w:color w:val="auto"/>
          <w:sz w:val="24"/>
          <w:lang w:bidi="ar"/>
        </w:rPr>
      </w:pPr>
      <w:r>
        <w:rPr>
          <w:rFonts w:ascii="Times New Roman" w:hAnsi="Times New Roman"/>
          <w:color w:val="auto"/>
          <w:sz w:val="24"/>
          <w:lang w:bidi="ar"/>
        </w:rPr>
        <w:t xml:space="preserve">在环境温度为15℃～35℃，相对湿度为90%，试验电压为直流500V时，交流电路和直流电路对地、交流部分对直流部分的绝缘电阻均不低于2MΩ。 </w:t>
      </w:r>
    </w:p>
    <w:p>
      <w:pPr>
        <w:pStyle w:val="797"/>
        <w:ind w:firstLine="480"/>
        <w:rPr>
          <w:rFonts w:ascii="Times New Roman" w:hAnsi="Times New Roman"/>
          <w:color w:val="auto"/>
          <w:sz w:val="24"/>
          <w:lang w:bidi="ar"/>
        </w:rPr>
      </w:pPr>
      <w:r>
        <w:rPr>
          <w:rFonts w:ascii="Times New Roman" w:hAnsi="Times New Roman"/>
          <w:color w:val="auto"/>
          <w:sz w:val="24"/>
          <w:lang w:bidi="ar"/>
        </w:rPr>
        <w:t>交流电路对地应能承受 50Hz，有效值为 1500V 的交流电压（漏电流≤30mA）或等效其峰值的 2120 直流电压 lmin，且无击穿与无飞弧现象。 交流电路对直流电路应能承受 50Hz，有效值为 3000V 的交流电压（漏电流≤30mA）或等效其峰值的 4240V 直流电压 lmin，且无击穿与无飞弧现象。</w:t>
      </w:r>
    </w:p>
    <w:p>
      <w:pPr>
        <w:pStyle w:val="797"/>
        <w:ind w:firstLine="480"/>
        <w:rPr>
          <w:rFonts w:ascii="Times New Roman" w:hAnsi="Times New Roman"/>
          <w:color w:val="auto"/>
          <w:sz w:val="24"/>
          <w:lang w:bidi="ar"/>
        </w:rPr>
      </w:pPr>
      <w:r>
        <w:rPr>
          <w:rFonts w:ascii="Times New Roman" w:hAnsi="Times New Roman"/>
          <w:color w:val="auto"/>
          <w:sz w:val="24"/>
          <w:lang w:bidi="ar"/>
        </w:rPr>
        <w:t>直流电路对地应能承受 50Hz,有效值为 500V 的交流电压（漏电流≤30mA)或等效其峰值的 710V 直流电压 lmin，且无击穿与无飞弧现象。</w:t>
      </w:r>
    </w:p>
    <w:p>
      <w:pPr>
        <w:pStyle w:val="4"/>
        <w:numPr>
          <w:ilvl w:val="1"/>
          <w:numId w:val="25"/>
        </w:numPr>
        <w:spacing w:line="360" w:lineRule="auto"/>
        <w:rPr>
          <w:rFonts w:ascii="Times New Roman" w:hAnsi="Times New Roman"/>
          <w:b/>
          <w:bCs/>
          <w:color w:val="auto"/>
          <w:sz w:val="24"/>
          <w:szCs w:val="24"/>
        </w:rPr>
      </w:pPr>
      <w:bookmarkStart w:id="507" w:name="_Toc147"/>
      <w:bookmarkStart w:id="508" w:name="_Toc1826"/>
      <w:bookmarkStart w:id="509" w:name="_Toc20887"/>
      <w:bookmarkStart w:id="510" w:name="_Toc15988"/>
      <w:bookmarkStart w:id="511" w:name="_Toc11099"/>
      <w:bookmarkStart w:id="512" w:name="_Toc27886"/>
      <w:bookmarkStart w:id="513" w:name="_Toc9747"/>
      <w:r>
        <w:rPr>
          <w:rFonts w:ascii="Times New Roman" w:hAnsi="Times New Roman"/>
          <w:b/>
          <w:bCs/>
          <w:color w:val="auto"/>
          <w:sz w:val="24"/>
          <w:szCs w:val="24"/>
        </w:rPr>
        <w:t>制造工艺要求</w:t>
      </w:r>
      <w:bookmarkEnd w:id="507"/>
      <w:bookmarkEnd w:id="508"/>
      <w:bookmarkEnd w:id="509"/>
      <w:bookmarkEnd w:id="510"/>
      <w:bookmarkEnd w:id="511"/>
      <w:bookmarkEnd w:id="512"/>
      <w:bookmarkEnd w:id="513"/>
    </w:p>
    <w:p>
      <w:pPr>
        <w:pStyle w:val="118"/>
        <w:numPr>
          <w:ilvl w:val="2"/>
          <w:numId w:val="25"/>
        </w:numPr>
        <w:spacing w:before="0" w:after="0"/>
        <w:outlineLvl w:val="2"/>
        <w:rPr>
          <w:rFonts w:ascii="Times New Roman" w:hAnsi="Times New Roman"/>
          <w:color w:val="auto"/>
          <w:sz w:val="24"/>
          <w:szCs w:val="24"/>
        </w:rPr>
      </w:pPr>
      <w:bookmarkStart w:id="514" w:name="_Toc65773367"/>
      <w:bookmarkStart w:id="515" w:name="_Toc462888583"/>
      <w:r>
        <w:rPr>
          <w:rFonts w:ascii="Times New Roman" w:hAnsi="Times New Roman"/>
          <w:color w:val="auto"/>
          <w:sz w:val="24"/>
          <w:szCs w:val="24"/>
        </w:rPr>
        <w:t>柜体</w:t>
      </w:r>
      <w:bookmarkEnd w:id="514"/>
      <w:bookmarkEnd w:id="515"/>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机柜有足够的机械强度和刚度，其安装固定方式具有抗震性和防震能力，保证设备经过常规的运输、储存和安装后不产生破损变形。</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机柜采用封闭式结构，门开闭灵活，且不影响机柜内设备的正常运行；开启角不小于90°，门锁可靠，机柜底部有安装固定孔。</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线缆的引入端在机柜的底部。线缆在机架内排放的位置设计合理，不防碍或影响日常维护、测试工作的进行。</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柜体外形尺寸要求如下，投标方所供机柜尺寸如与之不符，征得招标方同意。</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高度公差为±2.5mm；宽度公差为±2mm；深度公差为±1.5mm。</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设备在机柜内采用嵌入式安装。</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为便于运行维护，利用标准化元件和组件。紧固连接牢固、可靠，所有紧固件均具有防腐镀层或涂层，紧固连接有防松措施。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柜体设有保护接地，接地处有防锈措施和明显标志。每面机柜装有不小于100mm</w:t>
      </w:r>
      <w:r>
        <w:rPr>
          <w:rFonts w:ascii="Times New Roman" w:hAnsi="Times New Roman"/>
          <w:color w:val="auto"/>
          <w:sz w:val="24"/>
          <w:szCs w:val="24"/>
          <w:vertAlign w:val="superscript"/>
        </w:rPr>
        <w:t>2</w:t>
      </w:r>
      <w:r>
        <w:rPr>
          <w:rFonts w:ascii="Times New Roman" w:hAnsi="Times New Roman"/>
          <w:color w:val="auto"/>
          <w:sz w:val="24"/>
          <w:szCs w:val="24"/>
        </w:rPr>
        <w:t>截面的铜接地母线，该接地母线连接到机柜主框架的前面、侧面和后面，接地母线末端预装可靠的压接式端子至少两个，以备接到通信机房的环形接地体上。电源机柜接地螺栓规格为Φ12铜螺栓。</w:t>
      </w:r>
    </w:p>
    <w:p>
      <w:pPr>
        <w:pStyle w:val="118"/>
        <w:numPr>
          <w:ilvl w:val="2"/>
          <w:numId w:val="25"/>
        </w:numPr>
        <w:spacing w:before="0" w:after="0"/>
        <w:outlineLvl w:val="2"/>
        <w:rPr>
          <w:rFonts w:ascii="Times New Roman" w:hAnsi="Times New Roman"/>
          <w:color w:val="auto"/>
          <w:sz w:val="24"/>
          <w:szCs w:val="24"/>
        </w:rPr>
      </w:pPr>
      <w:bookmarkStart w:id="516" w:name="_Toc462888584"/>
      <w:bookmarkStart w:id="517" w:name="_Toc65773368"/>
      <w:r>
        <w:rPr>
          <w:rFonts w:ascii="Times New Roman" w:hAnsi="Times New Roman"/>
          <w:color w:val="auto"/>
          <w:sz w:val="24"/>
          <w:szCs w:val="24"/>
        </w:rPr>
        <w:t>设备部分</w:t>
      </w:r>
      <w:bookmarkEnd w:id="516"/>
      <w:bookmarkEnd w:id="517"/>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设备的总体机械结构充分考虑安装、维护的方便和扩充容量灵活性。设备的各种插板或模块是嵌入式的，不装插板、模块的槽位提供装饰性盖板。</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所有设备的工厂预安装深度要求达到机架级，以尽量减少现场安装工作量。</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设备有足够的机械强度和刚度，设备的安装固定方式具有抗震性和防震能力。</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设备在加电运行期间，插入或拔出机盘时，任何元件不受到损坏和缩短使用寿命。设备接插件必须接触可靠，结构坚固，易于插拔。接插件有定位和锁定装置。</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设备内所有元器件是全部经过老化处理并经过严格筛选的优质元器件，组装过程有严格的质量控制，确保长期使用的高可靠性。设备印刷电路板平整、无飞线并有防霉喷涂层。</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设备电路插板在明显位置标出名称或代号，安装在电路插板上的器件有明显的标志。同一品种的电路插板有完全的互换性，不同品种的电路插板有错插保护及防错插功能。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设备电路插板、模块有状态显示功能。</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设备表面的涂敷满足防腐防蛀的要求。所有机架、子架、单元及器件的表面光滑平整、色泽一致，不允许有划痕、裂纹和斑等破损现象。</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投标方说明其设备的散热方式，设备的冷却优选自然通风散热方式。</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投标方所提供设备的平均故障间隔时间(MTBF)如下，要求提供其计算依据和方法。</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高频开关设备：MTBF≥10</w:t>
      </w:r>
      <w:r>
        <w:rPr>
          <w:rFonts w:ascii="Times New Roman" w:hAnsi="Times New Roman"/>
          <w:color w:val="auto"/>
          <w:sz w:val="24"/>
          <w:szCs w:val="24"/>
          <w:vertAlign w:val="superscript"/>
        </w:rPr>
        <w:t>5</w:t>
      </w:r>
      <w:r>
        <w:rPr>
          <w:rFonts w:ascii="Times New Roman" w:hAnsi="Times New Roman"/>
          <w:color w:val="auto"/>
          <w:sz w:val="24"/>
          <w:szCs w:val="24"/>
        </w:rPr>
        <w:t>h</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直流配电部分：MTBF≥10</w:t>
      </w:r>
      <w:r>
        <w:rPr>
          <w:rFonts w:ascii="Times New Roman" w:hAnsi="Times New Roman"/>
          <w:color w:val="auto"/>
          <w:sz w:val="24"/>
          <w:szCs w:val="24"/>
          <w:vertAlign w:val="superscript"/>
        </w:rPr>
        <w:t>6</w:t>
      </w:r>
      <w:r>
        <w:rPr>
          <w:rFonts w:ascii="Times New Roman" w:hAnsi="Times New Roman"/>
          <w:color w:val="auto"/>
          <w:sz w:val="24"/>
          <w:szCs w:val="24"/>
        </w:rPr>
        <w:t>h</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交流配电部分：MTBF≥10</w:t>
      </w:r>
      <w:r>
        <w:rPr>
          <w:rFonts w:ascii="Times New Roman" w:hAnsi="Times New Roman"/>
          <w:color w:val="auto"/>
          <w:sz w:val="24"/>
          <w:szCs w:val="24"/>
          <w:vertAlign w:val="superscript"/>
        </w:rPr>
        <w:t>5</w:t>
      </w:r>
      <w:r>
        <w:rPr>
          <w:rFonts w:ascii="Times New Roman" w:hAnsi="Times New Roman"/>
          <w:color w:val="auto"/>
          <w:sz w:val="24"/>
          <w:szCs w:val="24"/>
        </w:rPr>
        <w:t>h</w:t>
      </w:r>
    </w:p>
    <w:p>
      <w:pPr>
        <w:pStyle w:val="118"/>
        <w:numPr>
          <w:ilvl w:val="2"/>
          <w:numId w:val="25"/>
        </w:numPr>
        <w:spacing w:before="0" w:after="0"/>
        <w:outlineLvl w:val="2"/>
        <w:rPr>
          <w:rFonts w:ascii="Times New Roman" w:hAnsi="Times New Roman"/>
          <w:color w:val="auto"/>
          <w:sz w:val="24"/>
          <w:szCs w:val="24"/>
        </w:rPr>
      </w:pPr>
      <w:bookmarkStart w:id="518" w:name="_Toc65773370"/>
      <w:bookmarkStart w:id="519" w:name="_Toc462888586"/>
      <w:r>
        <w:rPr>
          <w:rFonts w:ascii="Times New Roman" w:hAnsi="Times New Roman"/>
          <w:color w:val="auto"/>
          <w:sz w:val="24"/>
          <w:szCs w:val="24"/>
        </w:rPr>
        <w:t>元器件的要求</w:t>
      </w:r>
      <w:bookmarkEnd w:id="518"/>
      <w:bookmarkEnd w:id="519"/>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 柜内安装的元器件均有产品合格证或证明质量合格的文件。不得选用淘汰的、落后的元器件。</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b) 导线、导线颜色、指示灯、按钮、行线槽、涂漆，均符合国家或行业现行有关标准的规定。</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c) 设备面板配置的测量表计，其量程在测量范围内，测量最大值在满量程的85％以上。指针式仪表精度不低于1.5级，数字表采用四位半表。</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d) 直流空气断路器、熔断器具有安—秒特性曲线，上下级大于2级的配合级差。</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e) 重要位置的熔断器、断路器装有辅助报警触点，如蓄电池组、交流进线处等。</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f) 馈线开关并接在直流汇流母线上，以便于维护、更换。</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g) 同类元器件的接插件具有通用性和互换性，接触可靠、插拔方便。插接件的接触电阻、插拔力，允许电流及寿命，均符合有关国家及行业现行标准要求。</w:t>
      </w:r>
    </w:p>
    <w:p>
      <w:pPr>
        <w:snapToGrid w:val="0"/>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h) 元件和端子排列整齐、层次分明、不重叠，便于维护拆装。长期带电发热元件的安装位置在柜内上方。</w:t>
      </w:r>
    </w:p>
    <w:p>
      <w:pPr>
        <w:pStyle w:val="3"/>
        <w:numPr>
          <w:ilvl w:val="0"/>
          <w:numId w:val="25"/>
        </w:numPr>
        <w:spacing w:line="360" w:lineRule="auto"/>
        <w:rPr>
          <w:rFonts w:ascii="Times New Roman" w:hAnsi="Times New Roman"/>
          <w:color w:val="auto"/>
          <w:sz w:val="24"/>
          <w:szCs w:val="24"/>
        </w:rPr>
      </w:pPr>
      <w:bookmarkStart w:id="520" w:name="_Toc4784"/>
      <w:bookmarkStart w:id="521" w:name="_Toc16107"/>
      <w:bookmarkStart w:id="522" w:name="_Toc17594"/>
      <w:bookmarkStart w:id="523" w:name="_Toc13668"/>
      <w:bookmarkStart w:id="524" w:name="_Toc20723"/>
      <w:bookmarkStart w:id="525" w:name="_Toc27467"/>
      <w:bookmarkStart w:id="526" w:name="_Toc11047"/>
      <w:bookmarkStart w:id="527" w:name="_Toc18675"/>
      <w:bookmarkStart w:id="528" w:name="_Toc5525"/>
      <w:bookmarkStart w:id="529" w:name="_Toc20695"/>
      <w:bookmarkStart w:id="530" w:name="_Toc9018"/>
      <w:r>
        <w:rPr>
          <w:rFonts w:ascii="Times New Roman" w:hAnsi="Times New Roman"/>
          <w:color w:val="auto"/>
          <w:sz w:val="24"/>
          <w:szCs w:val="24"/>
        </w:rPr>
        <w:t>视频会议系统</w:t>
      </w:r>
      <w:bookmarkEnd w:id="520"/>
      <w:bookmarkEnd w:id="521"/>
      <w:bookmarkEnd w:id="522"/>
      <w:bookmarkEnd w:id="523"/>
      <w:bookmarkEnd w:id="524"/>
      <w:bookmarkEnd w:id="525"/>
      <w:bookmarkEnd w:id="526"/>
      <w:bookmarkEnd w:id="527"/>
      <w:bookmarkEnd w:id="528"/>
      <w:bookmarkEnd w:id="529"/>
      <w:bookmarkEnd w:id="530"/>
    </w:p>
    <w:p>
      <w:pPr>
        <w:pStyle w:val="4"/>
        <w:numPr>
          <w:ilvl w:val="1"/>
          <w:numId w:val="25"/>
        </w:numPr>
        <w:spacing w:line="360" w:lineRule="auto"/>
        <w:rPr>
          <w:rFonts w:ascii="Times New Roman" w:hAnsi="Times New Roman"/>
          <w:b/>
          <w:bCs/>
          <w:color w:val="auto"/>
          <w:sz w:val="24"/>
          <w:szCs w:val="24"/>
          <w:lang w:bidi="ar"/>
        </w:rPr>
      </w:pPr>
      <w:bookmarkStart w:id="531" w:name="_Toc167881932"/>
      <w:bookmarkEnd w:id="531"/>
      <w:bookmarkStart w:id="532" w:name="_Toc13527"/>
      <w:bookmarkStart w:id="533" w:name="_Toc23769"/>
      <w:bookmarkStart w:id="534" w:name="_Toc15463"/>
      <w:bookmarkStart w:id="535" w:name="_Toc32700"/>
      <w:bookmarkStart w:id="536" w:name="_Toc30690"/>
      <w:bookmarkStart w:id="537" w:name="_Toc2808"/>
      <w:bookmarkStart w:id="538" w:name="_Toc20040"/>
      <w:bookmarkStart w:id="539" w:name="_Toc22269"/>
      <w:bookmarkStart w:id="540" w:name="_Toc20187"/>
      <w:bookmarkStart w:id="541" w:name="_Toc22322"/>
      <w:bookmarkStart w:id="542" w:name="_Toc19049"/>
      <w:r>
        <w:rPr>
          <w:rFonts w:ascii="Times New Roman" w:hAnsi="Times New Roman"/>
          <w:b/>
          <w:bCs/>
          <w:color w:val="auto"/>
          <w:sz w:val="24"/>
          <w:szCs w:val="24"/>
          <w:lang w:bidi="ar"/>
        </w:rPr>
        <w:t>概述</w:t>
      </w:r>
      <w:bookmarkEnd w:id="532"/>
      <w:bookmarkEnd w:id="533"/>
      <w:bookmarkEnd w:id="534"/>
      <w:bookmarkEnd w:id="535"/>
      <w:bookmarkEnd w:id="536"/>
      <w:bookmarkEnd w:id="537"/>
      <w:bookmarkEnd w:id="538"/>
      <w:bookmarkEnd w:id="539"/>
      <w:bookmarkEnd w:id="540"/>
      <w:bookmarkEnd w:id="541"/>
      <w:bookmarkEnd w:id="542"/>
    </w:p>
    <w:p>
      <w:pPr>
        <w:pStyle w:val="797"/>
        <w:ind w:firstLine="480"/>
        <w:rPr>
          <w:rFonts w:ascii="Times New Roman" w:hAnsi="Times New Roman"/>
          <w:bCs/>
          <w:color w:val="auto"/>
          <w:sz w:val="24"/>
        </w:rPr>
      </w:pPr>
      <w:r>
        <w:rPr>
          <w:rFonts w:ascii="Times New Roman" w:hAnsi="Times New Roman"/>
          <w:color w:val="auto"/>
          <w:sz w:val="24"/>
          <w:lang w:bidi="ar"/>
        </w:rPr>
        <w:t>会议系统功能用房包含1F大会议室（会场型）、4F应急指挥中心（会场型）、4F小型会议室（会商型）、地下厂房会议室（会商型）等。建设内容包括：音频系统、视频系统及控制、远程视频会议、录播系统、设备间等，负责对会议系统涉及的设备供货、运输、贮存、安装督导、试运行、验收、培训及售后服务等工作。</w:t>
      </w:r>
    </w:p>
    <w:p>
      <w:pPr>
        <w:pStyle w:val="4"/>
        <w:numPr>
          <w:ilvl w:val="1"/>
          <w:numId w:val="25"/>
        </w:numPr>
        <w:spacing w:line="360" w:lineRule="auto"/>
        <w:rPr>
          <w:rFonts w:ascii="Times New Roman" w:hAnsi="Times New Roman"/>
          <w:b/>
          <w:bCs/>
          <w:color w:val="auto"/>
          <w:sz w:val="24"/>
          <w:szCs w:val="24"/>
        </w:rPr>
      </w:pPr>
      <w:bookmarkStart w:id="543" w:name="_Toc18297"/>
      <w:bookmarkStart w:id="544" w:name="_Toc14401"/>
      <w:bookmarkStart w:id="545" w:name="_Toc8652"/>
      <w:bookmarkStart w:id="546" w:name="_Toc2079"/>
      <w:bookmarkStart w:id="547" w:name="_Toc7438"/>
      <w:bookmarkStart w:id="548" w:name="_Toc13968"/>
      <w:bookmarkStart w:id="549" w:name="_Toc157"/>
      <w:bookmarkStart w:id="550" w:name="_Toc11825"/>
      <w:bookmarkStart w:id="551" w:name="_Toc14109"/>
      <w:bookmarkStart w:id="552" w:name="_Toc3197"/>
      <w:bookmarkStart w:id="553" w:name="_Toc23753"/>
      <w:bookmarkStart w:id="554" w:name="_Toc31053"/>
      <w:r>
        <w:rPr>
          <w:rFonts w:ascii="Times New Roman" w:hAnsi="Times New Roman"/>
          <w:b/>
          <w:bCs/>
          <w:color w:val="auto"/>
          <w:sz w:val="24"/>
          <w:szCs w:val="24"/>
        </w:rPr>
        <w:t>一层大会议室</w:t>
      </w:r>
      <w:bookmarkEnd w:id="543"/>
      <w:bookmarkEnd w:id="544"/>
      <w:bookmarkEnd w:id="545"/>
      <w:bookmarkEnd w:id="546"/>
      <w:bookmarkEnd w:id="547"/>
      <w:bookmarkEnd w:id="548"/>
      <w:bookmarkEnd w:id="549"/>
      <w:bookmarkEnd w:id="550"/>
      <w:bookmarkEnd w:id="551"/>
      <w:bookmarkEnd w:id="552"/>
      <w:bookmarkEnd w:id="553"/>
      <w:bookmarkEnd w:id="554"/>
    </w:p>
    <w:p>
      <w:pPr>
        <w:pStyle w:val="797"/>
        <w:ind w:firstLine="480"/>
        <w:rPr>
          <w:rFonts w:ascii="Times New Roman" w:hAnsi="Times New Roman"/>
          <w:color w:val="auto"/>
          <w:sz w:val="24"/>
          <w:lang w:bidi="ar"/>
        </w:rPr>
      </w:pPr>
      <w:r>
        <w:rPr>
          <w:rFonts w:ascii="Times New Roman" w:hAnsi="Times New Roman"/>
          <w:color w:val="auto"/>
          <w:sz w:val="24"/>
          <w:lang w:bidi="ar"/>
        </w:rPr>
        <w:t>一层大会议室总体采用典型的固定矩形桌布置方案，面积约148.2m</w:t>
      </w:r>
      <w:r>
        <w:rPr>
          <w:rFonts w:ascii="Times New Roman" w:hAnsi="Times New Roman"/>
          <w:color w:val="auto"/>
          <w:sz w:val="24"/>
          <w:vertAlign w:val="superscript"/>
          <w:lang w:bidi="ar"/>
        </w:rPr>
        <w:t>2</w:t>
      </w:r>
      <w:r>
        <w:rPr>
          <w:rFonts w:ascii="Times New Roman" w:hAnsi="Times New Roman"/>
          <w:color w:val="auto"/>
          <w:sz w:val="24"/>
          <w:lang w:bidi="ar"/>
        </w:rPr>
        <w:t>，参考平面布局如下，最终以家具布置为准（家具不在本工程范围）。</w:t>
      </w:r>
    </w:p>
    <w:p>
      <w:pPr>
        <w:pStyle w:val="797"/>
        <w:ind w:firstLine="480"/>
        <w:rPr>
          <w:rFonts w:ascii="Times New Roman" w:hAnsi="Times New Roman"/>
          <w:color w:val="auto"/>
          <w:sz w:val="24"/>
          <w:lang w:bidi="ar"/>
        </w:rPr>
      </w:pPr>
      <w:r>
        <w:rPr>
          <w:rFonts w:ascii="Times New Roman" w:hAnsi="Times New Roman"/>
          <w:color w:val="auto"/>
          <w:sz w:val="24"/>
          <w:lang w:val="en-US" w:eastAsia="zh-CN" w:bidi="ar"/>
        </w:rPr>
        <w:t>一层大会议室需具备主显示投屏、音频播放、音视频切换、辅助互</w:t>
      </w:r>
      <w:r>
        <w:rPr>
          <w:rFonts w:hint="eastAsia" w:ascii="Times New Roman" w:hAnsi="Times New Roman"/>
          <w:color w:val="auto"/>
          <w:sz w:val="24"/>
          <w:lang w:val="en-US" w:eastAsia="zh-CN" w:bidi="ar"/>
        </w:rPr>
        <w:t>动显示、远程视频会议及会议录播等功能。</w:t>
      </w:r>
    </w:p>
    <w:p>
      <w:pPr>
        <w:pStyle w:val="797"/>
        <w:ind w:firstLine="480"/>
        <w:jc w:val="center"/>
        <w:rPr>
          <w:rFonts w:ascii="Times New Roman" w:hAnsi="Times New Roman"/>
          <w:color w:val="auto"/>
          <w:sz w:val="24"/>
        </w:rPr>
      </w:pPr>
      <w:r>
        <w:rPr>
          <w:rFonts w:ascii="Times New Roman" w:hAnsi="Times New Roman"/>
          <w:color w:val="auto"/>
          <w:sz w:val="24"/>
        </w:rPr>
        <w:drawing>
          <wp:inline distT="0" distB="0" distL="114300" distR="114300">
            <wp:extent cx="2505075" cy="2978150"/>
            <wp:effectExtent l="0" t="0" r="9525" b="635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42"/>
                    <a:stretch>
                      <a:fillRect/>
                    </a:stretch>
                  </pic:blipFill>
                  <pic:spPr>
                    <a:xfrm>
                      <a:off x="0" y="0"/>
                      <a:ext cx="2505075" cy="2978150"/>
                    </a:xfrm>
                    <a:prstGeom prst="rect">
                      <a:avLst/>
                    </a:prstGeom>
                    <a:noFill/>
                    <a:ln>
                      <a:noFill/>
                    </a:ln>
                  </pic:spPr>
                </pic:pic>
              </a:graphicData>
            </a:graphic>
          </wp:inline>
        </w:drawing>
      </w:r>
    </w:p>
    <w:p>
      <w:pPr>
        <w:pStyle w:val="797"/>
        <w:ind w:firstLine="480"/>
        <w:jc w:val="center"/>
        <w:rPr>
          <w:rFonts w:ascii="Times New Roman" w:hAnsi="Times New Roman"/>
          <w:color w:val="auto"/>
          <w:sz w:val="24"/>
          <w:lang w:bidi="ar"/>
        </w:rPr>
      </w:pPr>
      <w:r>
        <w:rPr>
          <w:rFonts w:ascii="Times New Roman" w:hAnsi="Times New Roman"/>
          <w:color w:val="auto"/>
          <w:sz w:val="24"/>
          <w:lang w:bidi="ar"/>
        </w:rPr>
        <w:t>图9.2-1多功能会议室平面布局图</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音频系统</w:t>
      </w:r>
    </w:p>
    <w:p>
      <w:pPr>
        <w:pStyle w:val="797"/>
        <w:ind w:firstLine="480"/>
        <w:rPr>
          <w:rFonts w:ascii="Times New Roman" w:hAnsi="Times New Roman"/>
          <w:color w:val="auto"/>
          <w:sz w:val="24"/>
        </w:rPr>
      </w:pPr>
      <w:r>
        <w:rPr>
          <w:rFonts w:ascii="Times New Roman" w:hAnsi="Times New Roman"/>
          <w:color w:val="auto"/>
          <w:sz w:val="24"/>
          <w:lang w:bidi="ar"/>
        </w:rPr>
        <w:t>一层大会议室音频系统功能定位为语音扩声类应用场合，系统设计总体应达到并部分指标优于《</w:t>
      </w:r>
      <w:r>
        <w:rPr>
          <w:rFonts w:ascii="Times New Roman" w:hAnsi="Times New Roman"/>
          <w:color w:val="auto"/>
          <w:kern w:val="2"/>
          <w:sz w:val="24"/>
          <w:lang w:bidi="ar"/>
        </w:rPr>
        <w:t>厅堂、体育馆扩声系统设计规范》GB/T 28049-2011</w:t>
      </w:r>
      <w:r>
        <w:rPr>
          <w:rFonts w:ascii="Times New Roman" w:hAnsi="Times New Roman"/>
          <w:color w:val="auto"/>
          <w:sz w:val="24"/>
          <w:lang w:bidi="ar"/>
        </w:rPr>
        <w:t>中的会议类扩声系统一级以上标准。</w:t>
      </w:r>
    </w:p>
    <w:p>
      <w:pPr>
        <w:pStyle w:val="797"/>
        <w:ind w:firstLine="480"/>
        <w:rPr>
          <w:rFonts w:ascii="Times New Roman" w:hAnsi="Times New Roman"/>
          <w:color w:val="auto"/>
          <w:sz w:val="24"/>
          <w:lang w:bidi="ar"/>
        </w:rPr>
      </w:pPr>
      <w:r>
        <w:rPr>
          <w:rFonts w:ascii="Times New Roman" w:hAnsi="Times New Roman"/>
          <w:color w:val="auto"/>
          <w:sz w:val="24"/>
          <w:lang w:bidi="ar"/>
        </w:rPr>
        <w:t>音频系统主要由音箱、功放、音频处理器、调音台和话筒、混音器等设备组成，为会场提供良好的声场环境，保证声音信号能够被清晰采集、放大及播放。</w:t>
      </w:r>
    </w:p>
    <w:p>
      <w:pPr>
        <w:pStyle w:val="797"/>
        <w:numPr>
          <w:ilvl w:val="0"/>
          <w:numId w:val="93"/>
        </w:numPr>
        <w:ind w:firstLine="480"/>
        <w:rPr>
          <w:rFonts w:ascii="Times New Roman" w:hAnsi="Times New Roman"/>
          <w:color w:val="auto"/>
          <w:sz w:val="24"/>
          <w:lang w:bidi="ar"/>
        </w:rPr>
      </w:pPr>
      <w:r>
        <w:rPr>
          <w:rFonts w:ascii="Times New Roman" w:hAnsi="Times New Roman"/>
          <w:color w:val="auto"/>
          <w:sz w:val="24"/>
          <w:lang w:bidi="ar"/>
        </w:rPr>
        <w:t>会议讨论：</w:t>
      </w:r>
    </w:p>
    <w:p>
      <w:pPr>
        <w:pStyle w:val="797"/>
        <w:ind w:firstLine="480"/>
        <w:rPr>
          <w:rFonts w:ascii="Times New Roman" w:hAnsi="Times New Roman"/>
          <w:color w:val="auto"/>
          <w:sz w:val="24"/>
          <w:lang w:bidi="ar"/>
        </w:rPr>
      </w:pPr>
      <w:r>
        <w:rPr>
          <w:rFonts w:ascii="Times New Roman" w:hAnsi="Times New Roman"/>
          <w:color w:val="auto"/>
          <w:sz w:val="24"/>
          <w:lang w:bidi="ar"/>
        </w:rPr>
        <w:t>会议桌主席位每个参会席位配置1只有线话筒，重要席位配置2只有线话筒，共配置12只有线话筒；会场配置2套手持式无线话筒以及1套无线领夹话筒，作为流动\备用拾音设备。会议话筒摆放要满足主会场和分会场2种模式。</w:t>
      </w:r>
    </w:p>
    <w:p>
      <w:pPr>
        <w:pStyle w:val="83"/>
        <w:numPr>
          <w:ilvl w:val="255"/>
          <w:numId w:val="0"/>
        </w:numPr>
        <w:ind w:left="480"/>
        <w:rPr>
          <w:rFonts w:ascii="Times New Roman" w:hAnsi="Times New Roman"/>
          <w:color w:val="auto"/>
          <w:sz w:val="24"/>
          <w:szCs w:val="24"/>
        </w:rPr>
      </w:pPr>
      <w:r>
        <w:rPr>
          <w:rFonts w:ascii="Times New Roman" w:hAnsi="Times New Roman"/>
          <w:color w:val="auto"/>
          <w:sz w:val="24"/>
          <w:szCs w:val="24"/>
        </w:rPr>
        <w:t>2、音频处理系统</w:t>
      </w:r>
    </w:p>
    <w:p>
      <w:pPr>
        <w:pStyle w:val="797"/>
        <w:ind w:firstLine="480"/>
        <w:rPr>
          <w:rFonts w:ascii="Times New Roman" w:hAnsi="Times New Roman"/>
          <w:color w:val="auto"/>
          <w:sz w:val="24"/>
          <w:lang w:bidi="ar"/>
        </w:rPr>
      </w:pPr>
      <w:r>
        <w:rPr>
          <w:rFonts w:ascii="Times New Roman" w:hAnsi="Times New Roman"/>
          <w:color w:val="auto"/>
          <w:sz w:val="24"/>
          <w:lang w:bidi="ar"/>
        </w:rPr>
        <w:t>一层多功能会议室将建设功能完备的音频处理系统，实现降噪、啸叫抑制、回声抑制等重要音频处理功能，保证高质量视频会议语音互通。音频处理系统是音频系统中的核心路由、处理系统，本工程配置2台音频处理器（主备冗余）和1台调音台进行音频处理，满足会场声音均衡、动态平衡。</w:t>
      </w:r>
    </w:p>
    <w:p>
      <w:pPr>
        <w:pStyle w:val="83"/>
        <w:numPr>
          <w:ilvl w:val="255"/>
          <w:numId w:val="0"/>
        </w:numPr>
        <w:ind w:left="480"/>
        <w:rPr>
          <w:rFonts w:ascii="Times New Roman" w:hAnsi="Times New Roman"/>
          <w:color w:val="auto"/>
          <w:sz w:val="24"/>
          <w:szCs w:val="24"/>
        </w:rPr>
      </w:pPr>
      <w:r>
        <w:rPr>
          <w:rFonts w:ascii="Times New Roman" w:hAnsi="Times New Roman"/>
          <w:color w:val="auto"/>
          <w:sz w:val="24"/>
          <w:szCs w:val="24"/>
        </w:rPr>
        <w:t>3、扩声系统</w:t>
      </w:r>
    </w:p>
    <w:p>
      <w:pPr>
        <w:pStyle w:val="797"/>
        <w:ind w:firstLine="480"/>
        <w:rPr>
          <w:rFonts w:ascii="Times New Roman" w:hAnsi="Times New Roman"/>
          <w:color w:val="auto"/>
          <w:sz w:val="24"/>
          <w:lang w:bidi="ar"/>
        </w:rPr>
      </w:pPr>
      <w:r>
        <w:rPr>
          <w:rFonts w:ascii="Times New Roman" w:hAnsi="Times New Roman"/>
          <w:color w:val="auto"/>
          <w:sz w:val="24"/>
          <w:lang w:bidi="ar"/>
        </w:rPr>
        <w:t>一层多功能会议室扩声系统采用2台主扩扬声器，4台辅助扬声器，2台返送扬声器，2台功放机。控制室内配置2台监听音箱和1监听耳机，监听会场内音频情况。</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视频系统及控制</w:t>
      </w:r>
    </w:p>
    <w:p>
      <w:pPr>
        <w:spacing w:line="360" w:lineRule="auto"/>
        <w:ind w:firstLine="480" w:firstLineChars="200"/>
        <w:rPr>
          <w:rFonts w:ascii="Times New Roman" w:hAnsi="Times New Roman"/>
          <w:color w:val="auto"/>
          <w:kern w:val="0"/>
          <w:sz w:val="24"/>
          <w:szCs w:val="24"/>
          <w:lang w:bidi="ar"/>
        </w:rPr>
      </w:pPr>
      <w:r>
        <w:rPr>
          <w:rFonts w:ascii="Times New Roman" w:hAnsi="Times New Roman"/>
          <w:color w:val="auto"/>
          <w:kern w:val="0"/>
          <w:sz w:val="24"/>
          <w:szCs w:val="24"/>
          <w:lang w:bidi="ar"/>
        </w:rPr>
        <w:t>1、视频显示系统</w:t>
      </w:r>
    </w:p>
    <w:p>
      <w:pPr>
        <w:pStyle w:val="797"/>
        <w:ind w:firstLine="480"/>
        <w:rPr>
          <w:rFonts w:ascii="Times New Roman" w:hAnsi="Times New Roman"/>
          <w:color w:val="auto"/>
          <w:sz w:val="24"/>
          <w:lang w:bidi="ar"/>
        </w:rPr>
      </w:pPr>
      <w:r>
        <w:rPr>
          <w:rFonts w:ascii="Times New Roman" w:hAnsi="Times New Roman"/>
          <w:color w:val="auto"/>
          <w:sz w:val="24"/>
          <w:lang w:bidi="ar"/>
        </w:rPr>
        <w:t>大会议室采用1套不大于P1.2级室内小点距LED显示系统作为主显示系统。该LED显示屏可作为会议视频图像显示。LED显示屏整屏尺寸：≥7200*2700mm。大屏显示系统负责整体交付，含大屏支架安装、接收卡、发送器、配电箱、强电输入输出线缆、输入输出弱电线缆、信号线、线槽等，设备安装调试，并配合装修完成收边。同时配合视频矩阵信号接入，实现系统呈现。</w:t>
      </w:r>
    </w:p>
    <w:p>
      <w:pPr>
        <w:pStyle w:val="797"/>
        <w:ind w:firstLine="480"/>
        <w:rPr>
          <w:rFonts w:ascii="Times New Roman" w:hAnsi="Times New Roman"/>
          <w:color w:val="auto"/>
          <w:sz w:val="24"/>
          <w:lang w:bidi="ar"/>
        </w:rPr>
      </w:pPr>
      <w:r>
        <w:rPr>
          <w:rFonts w:ascii="Times New Roman" w:hAnsi="Times New Roman"/>
          <w:color w:val="auto"/>
          <w:sz w:val="24"/>
          <w:lang w:bidi="ar"/>
        </w:rPr>
        <w:t>主席台前侧落地安装2台55寸液晶显示器作为反显。</w:t>
      </w:r>
    </w:p>
    <w:p>
      <w:pPr>
        <w:pStyle w:val="797"/>
        <w:ind w:firstLine="480"/>
        <w:rPr>
          <w:rFonts w:ascii="Times New Roman" w:hAnsi="Times New Roman"/>
          <w:color w:val="auto"/>
          <w:sz w:val="24"/>
          <w:lang w:bidi="ar"/>
        </w:rPr>
      </w:pPr>
      <w:r>
        <w:rPr>
          <w:rFonts w:ascii="Times New Roman" w:hAnsi="Times New Roman"/>
          <w:color w:val="auto"/>
          <w:sz w:val="24"/>
          <w:lang w:bidi="ar"/>
        </w:rPr>
        <w:t>会场中部两侧挂墙安装2台75寸液晶显示器作为辅助显示。</w:t>
      </w:r>
    </w:p>
    <w:p>
      <w:pPr>
        <w:spacing w:line="360" w:lineRule="auto"/>
        <w:ind w:firstLine="480"/>
        <w:rPr>
          <w:rFonts w:ascii="Times New Roman" w:hAnsi="Times New Roman"/>
          <w:color w:val="auto"/>
          <w:kern w:val="0"/>
          <w:sz w:val="24"/>
          <w:szCs w:val="24"/>
          <w:lang w:bidi="ar"/>
        </w:rPr>
      </w:pPr>
      <w:r>
        <w:rPr>
          <w:rFonts w:ascii="Times New Roman" w:hAnsi="Times New Roman"/>
          <w:color w:val="auto"/>
          <w:kern w:val="0"/>
          <w:sz w:val="24"/>
          <w:szCs w:val="24"/>
          <w:lang w:bidi="ar"/>
        </w:rPr>
        <w:t>2、视频采集系统</w:t>
      </w:r>
    </w:p>
    <w:p>
      <w:pPr>
        <w:pStyle w:val="797"/>
        <w:ind w:firstLine="480"/>
        <w:rPr>
          <w:rFonts w:ascii="Times New Roman" w:hAnsi="Times New Roman"/>
          <w:color w:val="auto"/>
          <w:sz w:val="24"/>
          <w:lang w:bidi="ar"/>
        </w:rPr>
      </w:pPr>
      <w:r>
        <w:rPr>
          <w:rFonts w:ascii="Times New Roman" w:hAnsi="Times New Roman"/>
          <w:color w:val="auto"/>
          <w:sz w:val="24"/>
          <w:lang w:bidi="ar"/>
        </w:rPr>
        <w:t>本次配置1台会议摄像机（安装于大会议室中间主席位前侧，采用落地移动安装方式，用于拍摄特写）、2台会议摄像机（安装于主席台左右，采用吊顶安装方式，用于分会场拍摄会场全景），2台会议摄像机（安装于会场中前，采用吊顶安装方式，用于主会场拍摄主席台全景），统一通过矩阵集中处理后分别用于实现视频会议对本地图像的采集和监控使用。</w:t>
      </w:r>
    </w:p>
    <w:p>
      <w:pPr>
        <w:pStyle w:val="797"/>
        <w:ind w:firstLine="480"/>
        <w:rPr>
          <w:rFonts w:ascii="Times New Roman" w:hAnsi="Times New Roman"/>
          <w:color w:val="auto"/>
          <w:sz w:val="24"/>
          <w:lang w:bidi="ar"/>
        </w:rPr>
      </w:pPr>
      <w:r>
        <w:rPr>
          <w:rFonts w:ascii="Times New Roman" w:hAnsi="Times New Roman"/>
          <w:color w:val="auto"/>
          <w:sz w:val="24"/>
          <w:lang w:bidi="ar"/>
        </w:rPr>
        <w:t>在选择安装方式时，要根据摄像机与主席位的位置情况进行选择，确保最佳拍摄效果。</w:t>
      </w:r>
    </w:p>
    <w:p>
      <w:pPr>
        <w:spacing w:line="360" w:lineRule="auto"/>
        <w:ind w:firstLine="480"/>
        <w:rPr>
          <w:rFonts w:ascii="Times New Roman" w:hAnsi="Times New Roman"/>
          <w:color w:val="auto"/>
          <w:kern w:val="0"/>
          <w:sz w:val="24"/>
          <w:szCs w:val="24"/>
          <w:lang w:bidi="ar"/>
        </w:rPr>
      </w:pPr>
      <w:r>
        <w:rPr>
          <w:rFonts w:ascii="Times New Roman" w:hAnsi="Times New Roman"/>
          <w:color w:val="auto"/>
          <w:kern w:val="0"/>
          <w:sz w:val="24"/>
          <w:szCs w:val="24"/>
          <w:lang w:bidi="ar"/>
        </w:rPr>
        <w:t>3、视频切换及集中控制系统</w:t>
      </w:r>
    </w:p>
    <w:p>
      <w:pPr>
        <w:pStyle w:val="797"/>
        <w:ind w:firstLine="480"/>
        <w:rPr>
          <w:rFonts w:ascii="Times New Roman" w:hAnsi="Times New Roman"/>
          <w:color w:val="auto"/>
          <w:sz w:val="24"/>
          <w:lang w:bidi="ar"/>
        </w:rPr>
      </w:pPr>
      <w:r>
        <w:rPr>
          <w:rFonts w:ascii="Times New Roman" w:hAnsi="Times New Roman"/>
          <w:color w:val="auto"/>
          <w:sz w:val="24"/>
          <w:lang w:bidi="ar"/>
        </w:rPr>
        <w:t>为了满足信号双备份的设计理念，视频源信号都有主信号与备份信号之分，如摄像机、视频会议终端分别输出的高清信号，经过2台高清矩阵，主备冗余，进行集中控制、处理、分配等。</w:t>
      </w:r>
    </w:p>
    <w:p>
      <w:pPr>
        <w:pStyle w:val="797"/>
        <w:ind w:firstLine="480"/>
        <w:rPr>
          <w:rFonts w:ascii="Times New Roman" w:hAnsi="Times New Roman"/>
          <w:color w:val="auto"/>
          <w:sz w:val="24"/>
          <w:lang w:bidi="ar"/>
        </w:rPr>
      </w:pPr>
      <w:r>
        <w:rPr>
          <w:rFonts w:ascii="Times New Roman" w:hAnsi="Times New Roman"/>
          <w:color w:val="auto"/>
          <w:sz w:val="24"/>
          <w:lang w:bidi="ar"/>
        </w:rPr>
        <w:t>一层大会议室设计2台中控主机，主备冗余，无线触屏，中控软件、实现对多功能会议室内音视频设备进行电源开关、信号源切换、音量调节、大屏等内容进行智能控制。</w:t>
      </w:r>
    </w:p>
    <w:p>
      <w:pPr>
        <w:pStyle w:val="797"/>
        <w:ind w:firstLine="480"/>
        <w:rPr>
          <w:rFonts w:ascii="Times New Roman" w:hAnsi="Times New Roman"/>
          <w:color w:val="auto"/>
          <w:sz w:val="24"/>
          <w:lang w:bidi="ar"/>
        </w:rPr>
      </w:pPr>
      <w:r>
        <w:rPr>
          <w:rFonts w:ascii="Times New Roman" w:hAnsi="Times New Roman"/>
          <w:color w:val="auto"/>
          <w:sz w:val="24"/>
          <w:lang w:bidi="ar"/>
        </w:rPr>
        <w:t>一层大会议室配置1套网关设备，通过语音视频网接入</w:t>
      </w:r>
      <w:r>
        <w:rPr>
          <w:rFonts w:ascii="Times New Roman" w:hAnsi="Times New Roman"/>
          <w:color w:val="auto"/>
          <w:sz w:val="24"/>
        </w:rPr>
        <w:t>番禺基地高清视频会议室融合管控数智一体化运维平台</w:t>
      </w:r>
      <w:r>
        <w:rPr>
          <w:rFonts w:ascii="Times New Roman" w:hAnsi="Times New Roman"/>
          <w:color w:val="auto"/>
          <w:sz w:val="24"/>
          <w:lang w:bidi="ar"/>
        </w:rPr>
        <w:t>，实现远程设备管理和采集。</w:t>
      </w:r>
    </w:p>
    <w:p>
      <w:pPr>
        <w:pStyle w:val="797"/>
        <w:ind w:firstLine="480"/>
        <w:rPr>
          <w:rFonts w:ascii="Times New Roman" w:hAnsi="Times New Roman"/>
          <w:color w:val="auto"/>
          <w:sz w:val="24"/>
          <w:lang w:bidi="ar"/>
        </w:rPr>
      </w:pPr>
      <w:r>
        <w:rPr>
          <w:rFonts w:ascii="Times New Roman" w:hAnsi="Times New Roman"/>
          <w:color w:val="auto"/>
          <w:sz w:val="24"/>
          <w:lang w:bidi="ar"/>
        </w:rPr>
        <w:t>一层大会议室设计1套电子铭牌系统和16个电子桌牌设备，实现参会人员信息实时更新，提高企业管理水平，节能减碳。</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视频会议终端</w:t>
      </w:r>
    </w:p>
    <w:p>
      <w:pPr>
        <w:pStyle w:val="797"/>
        <w:ind w:firstLine="480"/>
        <w:rPr>
          <w:rFonts w:ascii="Times New Roman" w:hAnsi="Times New Roman"/>
          <w:color w:val="auto"/>
          <w:sz w:val="24"/>
          <w:lang w:bidi="ar"/>
        </w:rPr>
      </w:pPr>
      <w:r>
        <w:rPr>
          <w:rFonts w:ascii="Times New Roman" w:hAnsi="Times New Roman"/>
          <w:color w:val="auto"/>
          <w:sz w:val="24"/>
          <w:lang w:bidi="ar"/>
        </w:rPr>
        <w:t>一层大会议室设计2套主备冗余视频会议终端，终端接入公司MCU，要求必须与其100%兼容，并能与公司及各分子公司实现远程视频会议。</w:t>
      </w:r>
    </w:p>
    <w:p>
      <w:pPr>
        <w:pStyle w:val="797"/>
        <w:ind w:firstLine="480"/>
        <w:rPr>
          <w:rFonts w:ascii="Times New Roman" w:hAnsi="Times New Roman"/>
          <w:color w:val="auto"/>
          <w:sz w:val="24"/>
          <w:lang w:bidi="ar"/>
        </w:rPr>
      </w:pPr>
      <w:r>
        <w:rPr>
          <w:rFonts w:ascii="Times New Roman" w:hAnsi="Times New Roman"/>
          <w:color w:val="auto"/>
          <w:sz w:val="24"/>
          <w:lang w:bidi="ar"/>
        </w:rPr>
        <w:t>终端支持会议双流功能，同时用于会场画面显示及文档阅读。高清视频会议系统设计要求实现4K分辨率的图像质量。主会议室网络建议连接速率4M。该系统连接主会场和所有分会场，应能够提供视频会议、话音、数据、传真、图像等多种业务，满足单位的业务需要。</w:t>
      </w:r>
    </w:p>
    <w:p>
      <w:pPr>
        <w:pStyle w:val="797"/>
        <w:ind w:firstLine="480"/>
        <w:rPr>
          <w:rFonts w:ascii="Times New Roman" w:hAnsi="Times New Roman"/>
          <w:color w:val="auto"/>
          <w:sz w:val="24"/>
          <w:lang w:bidi="ar"/>
        </w:rPr>
      </w:pPr>
      <w:r>
        <w:rPr>
          <w:rFonts w:ascii="Times New Roman" w:hAnsi="Times New Roman"/>
          <w:color w:val="auto"/>
          <w:sz w:val="24"/>
          <w:lang w:bidi="ar"/>
        </w:rPr>
        <w:t>要求视频会议终端设备注册到南网总部视频会议管理平台，视频会议终端需确保与平台兼容。</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录播系统</w:t>
      </w:r>
    </w:p>
    <w:p>
      <w:pPr>
        <w:pStyle w:val="797"/>
        <w:ind w:firstLine="480"/>
        <w:rPr>
          <w:rFonts w:ascii="Times New Roman" w:hAnsi="Times New Roman"/>
          <w:color w:val="auto"/>
          <w:sz w:val="24"/>
          <w:lang w:bidi="ar"/>
        </w:rPr>
      </w:pPr>
      <w:r>
        <w:rPr>
          <w:rFonts w:ascii="Times New Roman" w:hAnsi="Times New Roman"/>
          <w:color w:val="auto"/>
          <w:sz w:val="24"/>
          <w:lang w:bidi="ar"/>
        </w:rPr>
        <w:t>本次工程配置1台录播一体机，支持支持1路高清视频、1路音频信号的任意组合录播，多流模式；支持管理员预览功能；分辨率支持720P/1080I/1080P；支持中控控制；录播一体机可通过交换机与其它录播主机进行连接通信，共享视频资料。</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lang w:bidi="ar"/>
        </w:rPr>
        <w:t>控制室</w:t>
      </w:r>
    </w:p>
    <w:p>
      <w:pPr>
        <w:pStyle w:val="797"/>
        <w:ind w:firstLine="480"/>
        <w:rPr>
          <w:rFonts w:ascii="Times New Roman" w:hAnsi="Times New Roman"/>
          <w:color w:val="auto"/>
          <w:sz w:val="24"/>
          <w:lang w:bidi="ar"/>
        </w:rPr>
      </w:pPr>
      <w:r>
        <w:rPr>
          <w:rFonts w:ascii="Times New Roman" w:hAnsi="Times New Roman"/>
          <w:color w:val="auto"/>
          <w:sz w:val="24"/>
          <w:lang w:bidi="ar"/>
        </w:rPr>
        <w:t>一层控制室设计4个机柜主要用于安装音视频设备。</w:t>
      </w:r>
    </w:p>
    <w:p>
      <w:pPr>
        <w:pStyle w:val="4"/>
        <w:numPr>
          <w:ilvl w:val="1"/>
          <w:numId w:val="25"/>
        </w:numPr>
        <w:spacing w:line="360" w:lineRule="auto"/>
        <w:rPr>
          <w:rFonts w:ascii="Times New Roman" w:hAnsi="Times New Roman"/>
          <w:b/>
          <w:bCs/>
          <w:color w:val="auto"/>
          <w:sz w:val="24"/>
          <w:szCs w:val="24"/>
        </w:rPr>
      </w:pPr>
      <w:bookmarkStart w:id="555" w:name="_Toc29643"/>
      <w:bookmarkStart w:id="556" w:name="_Toc27024"/>
      <w:bookmarkStart w:id="557" w:name="_Toc10124"/>
      <w:bookmarkStart w:id="558" w:name="_Toc31825"/>
      <w:bookmarkStart w:id="559" w:name="_Toc13845"/>
      <w:bookmarkStart w:id="560" w:name="_Toc4331"/>
      <w:bookmarkStart w:id="561" w:name="_Toc5653"/>
      <w:bookmarkStart w:id="562" w:name="_Toc6236"/>
      <w:bookmarkStart w:id="563" w:name="_Toc32523"/>
      <w:bookmarkStart w:id="564" w:name="_Toc2127"/>
      <w:bookmarkStart w:id="565" w:name="_Toc23246"/>
      <w:r>
        <w:rPr>
          <w:rFonts w:ascii="Times New Roman" w:hAnsi="Times New Roman"/>
          <w:b/>
          <w:bCs/>
          <w:color w:val="auto"/>
          <w:sz w:val="24"/>
          <w:szCs w:val="24"/>
        </w:rPr>
        <w:t>四层应急指挥中心</w:t>
      </w:r>
      <w:bookmarkEnd w:id="555"/>
      <w:bookmarkEnd w:id="556"/>
      <w:bookmarkEnd w:id="557"/>
      <w:bookmarkEnd w:id="558"/>
      <w:bookmarkEnd w:id="559"/>
      <w:bookmarkEnd w:id="560"/>
      <w:bookmarkEnd w:id="561"/>
      <w:bookmarkEnd w:id="562"/>
      <w:bookmarkEnd w:id="563"/>
      <w:bookmarkEnd w:id="564"/>
      <w:bookmarkEnd w:id="565"/>
    </w:p>
    <w:p>
      <w:pPr>
        <w:pStyle w:val="797"/>
        <w:ind w:firstLine="480"/>
        <w:rPr>
          <w:rFonts w:ascii="Times New Roman" w:hAnsi="Times New Roman"/>
          <w:color w:val="auto"/>
          <w:sz w:val="24"/>
          <w:lang w:bidi="ar"/>
        </w:rPr>
      </w:pPr>
      <w:r>
        <w:rPr>
          <w:rFonts w:ascii="Times New Roman" w:hAnsi="Times New Roman"/>
          <w:color w:val="auto"/>
          <w:sz w:val="24"/>
          <w:lang w:bidi="ar"/>
        </w:rPr>
        <w:t>四层应急指挥中心面积约70m</w:t>
      </w:r>
      <w:r>
        <w:rPr>
          <w:rFonts w:ascii="Times New Roman" w:hAnsi="Times New Roman"/>
          <w:color w:val="auto"/>
          <w:sz w:val="24"/>
          <w:vertAlign w:val="superscript"/>
          <w:lang w:bidi="ar"/>
        </w:rPr>
        <w:t>2</w:t>
      </w:r>
      <w:r>
        <w:rPr>
          <w:rFonts w:ascii="Times New Roman" w:hAnsi="Times New Roman"/>
          <w:color w:val="auto"/>
          <w:sz w:val="24"/>
          <w:lang w:bidi="ar"/>
        </w:rPr>
        <w:t>，可容纳34人，参考平面布局如下，最终以家具布置以为准（家具不在本工程范围）。</w:t>
      </w:r>
    </w:p>
    <w:p>
      <w:pPr>
        <w:pStyle w:val="797"/>
        <w:ind w:firstLine="480"/>
        <w:rPr>
          <w:rFonts w:ascii="Times New Roman" w:hAnsi="Times New Roman"/>
          <w:color w:val="auto"/>
          <w:sz w:val="24"/>
          <w:lang w:bidi="ar"/>
        </w:rPr>
      </w:pPr>
      <w:r>
        <w:rPr>
          <w:rFonts w:ascii="Times New Roman" w:hAnsi="Times New Roman"/>
          <w:color w:val="auto"/>
          <w:sz w:val="24"/>
          <w:lang w:bidi="ar"/>
        </w:rPr>
        <w:t>四层应急指挥中心需满足主显示投屏功能、音频文件播放功能、音视频输入输出切换控制、辅助显示互动屏、远程视频会议等多层次要求。</w:t>
      </w:r>
    </w:p>
    <w:p>
      <w:pPr>
        <w:pStyle w:val="797"/>
        <w:ind w:firstLine="480"/>
        <w:jc w:val="center"/>
        <w:rPr>
          <w:rFonts w:ascii="Times New Roman" w:hAnsi="Times New Roman"/>
          <w:color w:val="auto"/>
          <w:sz w:val="24"/>
        </w:rPr>
      </w:pPr>
      <w:r>
        <w:rPr>
          <w:rFonts w:ascii="Times New Roman" w:hAnsi="Times New Roman"/>
          <w:color w:val="auto"/>
          <w:sz w:val="24"/>
        </w:rPr>
        <w:drawing>
          <wp:inline distT="0" distB="0" distL="114300" distR="114300">
            <wp:extent cx="2724150" cy="1842770"/>
            <wp:effectExtent l="0" t="0" r="6350" b="1143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43"/>
                    <a:stretch>
                      <a:fillRect/>
                    </a:stretch>
                  </pic:blipFill>
                  <pic:spPr>
                    <a:xfrm>
                      <a:off x="0" y="0"/>
                      <a:ext cx="2724150" cy="1842770"/>
                    </a:xfrm>
                    <a:prstGeom prst="rect">
                      <a:avLst/>
                    </a:prstGeom>
                    <a:noFill/>
                    <a:ln>
                      <a:noFill/>
                    </a:ln>
                  </pic:spPr>
                </pic:pic>
              </a:graphicData>
            </a:graphic>
          </wp:inline>
        </w:drawing>
      </w:r>
    </w:p>
    <w:p>
      <w:pPr>
        <w:pStyle w:val="797"/>
        <w:ind w:firstLine="480"/>
        <w:jc w:val="center"/>
        <w:rPr>
          <w:rFonts w:ascii="Times New Roman" w:hAnsi="Times New Roman"/>
          <w:color w:val="auto"/>
          <w:sz w:val="24"/>
          <w:lang w:bidi="ar"/>
        </w:rPr>
      </w:pPr>
      <w:r>
        <w:rPr>
          <w:rFonts w:ascii="Times New Roman" w:hAnsi="Times New Roman"/>
          <w:color w:val="auto"/>
          <w:sz w:val="24"/>
          <w:lang w:bidi="ar"/>
        </w:rPr>
        <w:t>图9.3-1应急指挥中心平面布局图</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rPr>
        <w:t>音频系统</w:t>
      </w:r>
    </w:p>
    <w:p>
      <w:pPr>
        <w:pStyle w:val="797"/>
        <w:ind w:firstLine="480"/>
        <w:rPr>
          <w:rFonts w:ascii="Times New Roman" w:hAnsi="Times New Roman"/>
          <w:color w:val="auto"/>
          <w:sz w:val="24"/>
        </w:rPr>
      </w:pPr>
      <w:r>
        <w:rPr>
          <w:rFonts w:ascii="Times New Roman" w:hAnsi="Times New Roman"/>
          <w:color w:val="auto"/>
          <w:sz w:val="24"/>
          <w:lang w:bidi="ar"/>
        </w:rPr>
        <w:t>四层应急指挥中心音频系统功能定位为语音扩声类应用场合，系统设计总体应达到并部分指标优于《</w:t>
      </w:r>
      <w:r>
        <w:rPr>
          <w:rFonts w:ascii="Times New Roman" w:hAnsi="Times New Roman"/>
          <w:color w:val="auto"/>
          <w:kern w:val="2"/>
          <w:sz w:val="24"/>
          <w:lang w:bidi="ar"/>
        </w:rPr>
        <w:t>厅堂、体育馆扩声系统设计规范》GB/T 28049-2011</w:t>
      </w:r>
      <w:r>
        <w:rPr>
          <w:rFonts w:ascii="Times New Roman" w:hAnsi="Times New Roman"/>
          <w:color w:val="auto"/>
          <w:sz w:val="24"/>
          <w:lang w:bidi="ar"/>
        </w:rPr>
        <w:t>中的会议类扩声系统二级以上标准。</w:t>
      </w:r>
    </w:p>
    <w:p>
      <w:pPr>
        <w:pStyle w:val="797"/>
        <w:ind w:firstLine="480"/>
        <w:rPr>
          <w:rFonts w:ascii="Times New Roman" w:hAnsi="Times New Roman"/>
          <w:color w:val="auto"/>
          <w:sz w:val="24"/>
          <w:lang w:bidi="ar"/>
        </w:rPr>
      </w:pPr>
      <w:r>
        <w:rPr>
          <w:rFonts w:ascii="Times New Roman" w:hAnsi="Times New Roman"/>
          <w:color w:val="auto"/>
          <w:sz w:val="24"/>
          <w:lang w:bidi="ar"/>
        </w:rPr>
        <w:t>音频系统主要由音箱、功放、音频处理器和话筒等设备组成，为会场提供良好的声场环境，保证声音信号能够被清晰采集、放大及播放。</w:t>
      </w:r>
    </w:p>
    <w:p>
      <w:pPr>
        <w:pStyle w:val="797"/>
        <w:numPr>
          <w:ilvl w:val="255"/>
          <w:numId w:val="0"/>
        </w:numPr>
        <w:ind w:left="420" w:leftChars="200"/>
        <w:rPr>
          <w:rFonts w:ascii="Times New Roman" w:hAnsi="Times New Roman"/>
          <w:color w:val="auto"/>
          <w:sz w:val="24"/>
          <w:lang w:bidi="ar"/>
        </w:rPr>
      </w:pPr>
      <w:r>
        <w:rPr>
          <w:rFonts w:ascii="Times New Roman" w:hAnsi="Times New Roman"/>
          <w:color w:val="auto"/>
          <w:sz w:val="24"/>
          <w:lang w:bidi="ar"/>
        </w:rPr>
        <w:t>1、会议讨论：</w:t>
      </w:r>
    </w:p>
    <w:p>
      <w:pPr>
        <w:pStyle w:val="83"/>
        <w:numPr>
          <w:ilvl w:val="255"/>
          <w:numId w:val="0"/>
        </w:numPr>
        <w:ind w:left="480"/>
        <w:rPr>
          <w:rFonts w:ascii="Times New Roman" w:hAnsi="Times New Roman"/>
          <w:color w:val="auto"/>
          <w:kern w:val="0"/>
          <w:sz w:val="24"/>
          <w:szCs w:val="24"/>
          <w:lang w:bidi="ar"/>
        </w:rPr>
      </w:pPr>
      <w:r>
        <w:rPr>
          <w:rFonts w:ascii="Times New Roman" w:hAnsi="Times New Roman"/>
          <w:color w:val="auto"/>
          <w:kern w:val="0"/>
          <w:sz w:val="24"/>
          <w:szCs w:val="24"/>
          <w:lang w:bidi="ar"/>
        </w:rPr>
        <w:t>会议桌主席位配置2只有线话筒，其它席位两个人配置1只有线话筒，共配置16只有线话筒；会场配置2套手持式无线话筒，作为流动</w:t>
      </w:r>
      <w:r>
        <w:rPr>
          <w:rFonts w:hint="eastAsia" w:ascii="Times New Roman" w:hAnsi="Times New Roman"/>
          <w:color w:val="auto"/>
          <w:kern w:val="0"/>
          <w:sz w:val="24"/>
          <w:szCs w:val="24"/>
          <w:lang w:val="en-US" w:eastAsia="zh-CN" w:bidi="ar"/>
        </w:rPr>
        <w:t>或</w:t>
      </w:r>
      <w:r>
        <w:rPr>
          <w:rFonts w:ascii="Times New Roman" w:hAnsi="Times New Roman"/>
          <w:color w:val="auto"/>
          <w:kern w:val="0"/>
          <w:sz w:val="24"/>
          <w:szCs w:val="24"/>
          <w:lang w:bidi="ar"/>
        </w:rPr>
        <w:t>备用拾音设备。</w:t>
      </w:r>
    </w:p>
    <w:p>
      <w:pPr>
        <w:pStyle w:val="83"/>
        <w:numPr>
          <w:ilvl w:val="255"/>
          <w:numId w:val="0"/>
        </w:numPr>
        <w:ind w:left="480"/>
        <w:rPr>
          <w:rFonts w:ascii="Times New Roman" w:hAnsi="Times New Roman"/>
          <w:color w:val="auto"/>
          <w:sz w:val="24"/>
          <w:szCs w:val="24"/>
        </w:rPr>
      </w:pPr>
      <w:r>
        <w:rPr>
          <w:rFonts w:ascii="Times New Roman" w:hAnsi="Times New Roman"/>
          <w:color w:val="auto"/>
          <w:sz w:val="24"/>
          <w:szCs w:val="24"/>
        </w:rPr>
        <w:t>2、音频处理系统</w:t>
      </w:r>
    </w:p>
    <w:p>
      <w:pPr>
        <w:pStyle w:val="797"/>
        <w:ind w:firstLine="480"/>
        <w:rPr>
          <w:rFonts w:ascii="Times New Roman" w:hAnsi="Times New Roman"/>
          <w:color w:val="auto"/>
          <w:sz w:val="24"/>
          <w:lang w:bidi="ar"/>
        </w:rPr>
      </w:pPr>
      <w:r>
        <w:rPr>
          <w:rFonts w:hint="eastAsia" w:ascii="Times New Roman" w:hAnsi="Times New Roman"/>
          <w:color w:val="auto"/>
          <w:sz w:val="24"/>
          <w:lang w:val="en-US" w:eastAsia="zh-CN" w:bidi="ar"/>
        </w:rPr>
        <w:t>四</w:t>
      </w:r>
      <w:r>
        <w:rPr>
          <w:rFonts w:ascii="Times New Roman" w:hAnsi="Times New Roman"/>
          <w:color w:val="auto"/>
          <w:sz w:val="24"/>
          <w:lang w:bidi="ar"/>
        </w:rPr>
        <w:t>层应急指挥中心将建设功能完备的音频处理系统，实现降噪、啸叫抑制、回声抑制等重要音频处理功能，保证高质量视频会议语音互通。音频处理系统是音频系统中的核心路由、处理系统，本工程配置2台音频处理器（主备冗余）进行音频处理，满足会场声音均衡、动态平衡。</w:t>
      </w:r>
    </w:p>
    <w:p>
      <w:pPr>
        <w:pStyle w:val="83"/>
        <w:numPr>
          <w:ilvl w:val="255"/>
          <w:numId w:val="0"/>
        </w:numPr>
        <w:ind w:left="480"/>
        <w:rPr>
          <w:rFonts w:ascii="Times New Roman" w:hAnsi="Times New Roman"/>
          <w:color w:val="auto"/>
          <w:sz w:val="24"/>
          <w:szCs w:val="24"/>
        </w:rPr>
      </w:pPr>
      <w:r>
        <w:rPr>
          <w:rFonts w:ascii="Times New Roman" w:hAnsi="Times New Roman"/>
          <w:color w:val="auto"/>
          <w:sz w:val="24"/>
          <w:szCs w:val="24"/>
        </w:rPr>
        <w:t>3、扩声系统</w:t>
      </w:r>
    </w:p>
    <w:p>
      <w:pPr>
        <w:pStyle w:val="797"/>
        <w:ind w:firstLine="480"/>
        <w:rPr>
          <w:rFonts w:ascii="Times New Roman" w:hAnsi="Times New Roman"/>
          <w:color w:val="auto"/>
          <w:sz w:val="24"/>
          <w:lang w:bidi="ar"/>
        </w:rPr>
      </w:pPr>
      <w:r>
        <w:rPr>
          <w:rFonts w:hint="eastAsia" w:ascii="Times New Roman" w:hAnsi="Times New Roman"/>
          <w:color w:val="auto"/>
          <w:sz w:val="24"/>
          <w:lang w:val="en-US" w:eastAsia="zh-CN" w:bidi="ar"/>
        </w:rPr>
        <w:t>四</w:t>
      </w:r>
      <w:r>
        <w:rPr>
          <w:rFonts w:ascii="Times New Roman" w:hAnsi="Times New Roman"/>
          <w:color w:val="auto"/>
          <w:sz w:val="24"/>
          <w:lang w:bidi="ar"/>
        </w:rPr>
        <w:t>层应急指挥中心扩声系统采用4台扬声器，1台功放；控制室内配置1台监听音箱和1监听耳机，监听会场内音频情况。</w:t>
      </w:r>
    </w:p>
    <w:p>
      <w:pPr>
        <w:pStyle w:val="118"/>
        <w:numPr>
          <w:ilvl w:val="2"/>
          <w:numId w:val="25"/>
        </w:numPr>
        <w:snapToGrid w:val="0"/>
        <w:spacing w:before="0" w:after="0"/>
        <w:outlineLvl w:val="2"/>
        <w:rPr>
          <w:rFonts w:ascii="Times New Roman" w:hAnsi="Times New Roman"/>
          <w:color w:val="auto"/>
          <w:sz w:val="24"/>
          <w:szCs w:val="24"/>
        </w:rPr>
      </w:pPr>
      <w:r>
        <w:rPr>
          <w:rFonts w:ascii="Times New Roman" w:hAnsi="Times New Roman"/>
          <w:color w:val="auto"/>
          <w:sz w:val="24"/>
          <w:szCs w:val="24"/>
        </w:rPr>
        <w:t>视频系统及控制</w:t>
      </w:r>
    </w:p>
    <w:p>
      <w:pPr>
        <w:spacing w:line="360" w:lineRule="auto"/>
        <w:ind w:firstLine="480" w:firstLineChars="200"/>
        <w:rPr>
          <w:rFonts w:ascii="Times New Roman" w:hAnsi="Times New Roman"/>
          <w:color w:val="auto"/>
          <w:kern w:val="0"/>
          <w:sz w:val="24"/>
          <w:szCs w:val="24"/>
          <w:lang w:bidi="ar"/>
        </w:rPr>
      </w:pPr>
      <w:r>
        <w:rPr>
          <w:rFonts w:ascii="Times New Roman" w:hAnsi="Times New Roman"/>
          <w:color w:val="auto"/>
          <w:kern w:val="0"/>
          <w:sz w:val="24"/>
          <w:szCs w:val="24"/>
          <w:lang w:bidi="ar"/>
        </w:rPr>
        <w:t>1、视频显示系统</w:t>
      </w:r>
    </w:p>
    <w:p>
      <w:pPr>
        <w:pStyle w:val="797"/>
        <w:ind w:firstLine="480"/>
        <w:rPr>
          <w:rFonts w:ascii="Times New Roman" w:hAnsi="Times New Roman"/>
          <w:color w:val="auto"/>
          <w:sz w:val="24"/>
          <w:lang w:bidi="ar"/>
        </w:rPr>
      </w:pPr>
      <w:r>
        <w:rPr>
          <w:rFonts w:ascii="Times New Roman" w:hAnsi="Times New Roman"/>
          <w:color w:val="auto"/>
          <w:sz w:val="24"/>
          <w:lang w:bidi="ar"/>
        </w:rPr>
        <w:t>应急指挥中心采用1套不大于P1.2级室内小点距LED显示系统作为主显示系统。该LED显示屏可作为会议视频图像显示。LED显示屏整屏尺寸：≥4800*2362.5mm。大屏显示系统负责整体交付，含大屏支架安装、接收卡、发送器、配电箱、强电输入输出线缆、输入输出弱电线缆、信号线、线槽等，设备安装调试，并配合装修完成收边。同时配合视频矩阵信号接入，实现系统呈现。</w:t>
      </w:r>
    </w:p>
    <w:p>
      <w:pPr>
        <w:pStyle w:val="797"/>
        <w:ind w:firstLine="480"/>
        <w:rPr>
          <w:rFonts w:ascii="Times New Roman" w:hAnsi="Times New Roman"/>
          <w:color w:val="auto"/>
          <w:sz w:val="24"/>
          <w:lang w:bidi="ar"/>
        </w:rPr>
      </w:pPr>
      <w:r>
        <w:rPr>
          <w:rFonts w:ascii="Times New Roman" w:hAnsi="Times New Roman"/>
          <w:color w:val="auto"/>
          <w:sz w:val="24"/>
          <w:lang w:bidi="ar"/>
        </w:rPr>
        <w:t>会场中部两侧挂墙安装2台65寸液晶显示器作为辅助显示。</w:t>
      </w:r>
    </w:p>
    <w:p>
      <w:pPr>
        <w:spacing w:line="360" w:lineRule="auto"/>
        <w:ind w:firstLine="480"/>
        <w:rPr>
          <w:rFonts w:ascii="Times New Roman" w:hAnsi="Times New Roman"/>
          <w:color w:val="auto"/>
          <w:kern w:val="0"/>
          <w:sz w:val="24"/>
          <w:szCs w:val="24"/>
          <w:lang w:bidi="ar"/>
        </w:rPr>
      </w:pPr>
      <w:r>
        <w:rPr>
          <w:rFonts w:ascii="Times New Roman" w:hAnsi="Times New Roman"/>
          <w:color w:val="auto"/>
          <w:kern w:val="0"/>
          <w:sz w:val="24"/>
          <w:szCs w:val="24"/>
          <w:lang w:bidi="ar"/>
        </w:rPr>
        <w:t>2、视频采集系统</w:t>
      </w:r>
    </w:p>
    <w:p>
      <w:pPr>
        <w:pStyle w:val="797"/>
        <w:ind w:firstLine="480"/>
        <w:rPr>
          <w:rFonts w:ascii="Times New Roman" w:hAnsi="Times New Roman"/>
          <w:color w:val="auto"/>
          <w:sz w:val="24"/>
          <w:lang w:bidi="ar"/>
        </w:rPr>
      </w:pPr>
      <w:r>
        <w:rPr>
          <w:rFonts w:ascii="Times New Roman" w:hAnsi="Times New Roman"/>
          <w:color w:val="auto"/>
          <w:sz w:val="24"/>
          <w:lang w:bidi="ar"/>
        </w:rPr>
        <w:t>本次配置2台会议摄像机（安装于应急指挥中心中间主席位前侧，采用吸顶安装方式，用于拍摄领导发言特写）、2台会议摄像机（安装于会场前后，采用吊顶安装方式，用于拍摄会场全景），统一通过矩阵集中处理后分别用于实现视频会议对本地图像的采集和监控使用。</w:t>
      </w:r>
    </w:p>
    <w:p>
      <w:pPr>
        <w:pStyle w:val="797"/>
        <w:ind w:firstLine="480"/>
        <w:rPr>
          <w:rFonts w:ascii="Times New Roman" w:hAnsi="Times New Roman"/>
          <w:color w:val="auto"/>
          <w:sz w:val="24"/>
          <w:lang w:bidi="ar"/>
        </w:rPr>
      </w:pPr>
      <w:r>
        <w:rPr>
          <w:rFonts w:ascii="Times New Roman" w:hAnsi="Times New Roman"/>
          <w:color w:val="auto"/>
          <w:sz w:val="24"/>
          <w:lang w:bidi="ar"/>
        </w:rPr>
        <w:t>在选择安装方式时，要根据摄像机与主席位的位置情况进行选择，确保最佳拍摄效果。</w:t>
      </w:r>
    </w:p>
    <w:p>
      <w:pPr>
        <w:spacing w:line="360" w:lineRule="auto"/>
        <w:ind w:firstLine="480"/>
        <w:rPr>
          <w:rFonts w:ascii="Times New Roman" w:hAnsi="Times New Roman"/>
          <w:color w:val="auto"/>
          <w:kern w:val="0"/>
          <w:sz w:val="24"/>
          <w:szCs w:val="24"/>
          <w:lang w:bidi="ar"/>
        </w:rPr>
      </w:pPr>
      <w:r>
        <w:rPr>
          <w:rFonts w:ascii="Times New Roman" w:hAnsi="Times New Roman"/>
          <w:color w:val="auto"/>
          <w:kern w:val="0"/>
          <w:sz w:val="24"/>
          <w:szCs w:val="24"/>
          <w:lang w:bidi="ar"/>
        </w:rPr>
        <w:t>3、视频切换及集中控制系统</w:t>
      </w:r>
    </w:p>
    <w:p>
      <w:pPr>
        <w:pStyle w:val="797"/>
        <w:ind w:firstLine="480"/>
        <w:rPr>
          <w:rFonts w:ascii="Times New Roman" w:hAnsi="Times New Roman"/>
          <w:color w:val="auto"/>
          <w:sz w:val="24"/>
          <w:lang w:bidi="ar"/>
        </w:rPr>
      </w:pPr>
      <w:r>
        <w:rPr>
          <w:rFonts w:ascii="Times New Roman" w:hAnsi="Times New Roman"/>
          <w:color w:val="auto"/>
          <w:sz w:val="24"/>
          <w:lang w:bidi="ar"/>
        </w:rPr>
        <w:t>应急指挥中心配置2台高清视频矩阵主备冗余，实现高清视频信号（如工作站、视频会议终端、录播一体、高清摄像机等）进行集中化管理与分配，输出至大屏、视频会议终端。</w:t>
      </w:r>
    </w:p>
    <w:p>
      <w:pPr>
        <w:pStyle w:val="797"/>
        <w:ind w:firstLine="480"/>
        <w:rPr>
          <w:rFonts w:ascii="Times New Roman" w:hAnsi="Times New Roman"/>
          <w:color w:val="auto"/>
          <w:sz w:val="24"/>
          <w:lang w:bidi="ar"/>
        </w:rPr>
      </w:pPr>
      <w:r>
        <w:rPr>
          <w:rFonts w:ascii="Times New Roman" w:hAnsi="Times New Roman"/>
          <w:color w:val="auto"/>
          <w:sz w:val="24"/>
          <w:lang w:bidi="ar"/>
        </w:rPr>
        <w:t>应急指挥中心设计2台中控主机，无线触屏，中控软件、实现对多功能会议室内音视频设备进行电源开关、信号源切换、音量调节、大屏等内容进行智能控制。</w:t>
      </w:r>
    </w:p>
    <w:p>
      <w:pPr>
        <w:pStyle w:val="797"/>
        <w:ind w:firstLine="480"/>
        <w:rPr>
          <w:rFonts w:ascii="Times New Roman" w:hAnsi="Times New Roman"/>
          <w:color w:val="auto"/>
          <w:sz w:val="24"/>
          <w:lang w:bidi="ar"/>
        </w:rPr>
      </w:pPr>
      <w:r>
        <w:rPr>
          <w:rFonts w:ascii="Times New Roman" w:hAnsi="Times New Roman"/>
          <w:color w:val="auto"/>
          <w:sz w:val="24"/>
          <w:lang w:bidi="ar"/>
        </w:rPr>
        <w:t>应急指挥中心配置1套网关设备，通过语音视频网接入番禺基地高清视频会议室融合管控数智一体化运维平台，实现远程设备管理和采集。</w:t>
      </w:r>
    </w:p>
    <w:p>
      <w:pPr>
        <w:pStyle w:val="118"/>
        <w:numPr>
          <w:ilvl w:val="2"/>
          <w:numId w:val="25"/>
        </w:numPr>
        <w:snapToGrid w:val="0"/>
        <w:spacing w:before="0" w:after="0"/>
        <w:outlineLvl w:val="2"/>
        <w:rPr>
          <w:rFonts w:ascii="Times New Roman" w:hAnsi="Times New Roman"/>
          <w:color w:val="auto"/>
          <w:sz w:val="24"/>
          <w:szCs w:val="24"/>
        </w:rPr>
      </w:pPr>
      <w:r>
        <w:rPr>
          <w:rFonts w:ascii="Times New Roman" w:hAnsi="Times New Roman"/>
          <w:color w:val="auto"/>
          <w:sz w:val="24"/>
          <w:szCs w:val="24"/>
        </w:rPr>
        <w:t>视频会议终端</w:t>
      </w:r>
    </w:p>
    <w:p>
      <w:pPr>
        <w:pStyle w:val="797"/>
        <w:ind w:firstLine="480"/>
        <w:rPr>
          <w:rFonts w:ascii="Times New Roman" w:hAnsi="Times New Roman"/>
          <w:color w:val="auto"/>
          <w:sz w:val="24"/>
          <w:lang w:bidi="ar"/>
        </w:rPr>
      </w:pPr>
      <w:r>
        <w:rPr>
          <w:rFonts w:ascii="Times New Roman" w:hAnsi="Times New Roman"/>
          <w:color w:val="auto"/>
          <w:sz w:val="24"/>
          <w:lang w:bidi="ar"/>
        </w:rPr>
        <w:t>应急指挥中心设计2套主备冗余视频会议终端，终端接入公司MCU，要求必须与其100%兼容，并能与公司及各分子公司实现远程视频会议。</w:t>
      </w:r>
    </w:p>
    <w:p>
      <w:pPr>
        <w:pStyle w:val="797"/>
        <w:ind w:firstLine="480"/>
        <w:rPr>
          <w:rFonts w:ascii="Times New Roman" w:hAnsi="Times New Roman"/>
          <w:color w:val="auto"/>
          <w:sz w:val="24"/>
          <w:lang w:bidi="ar"/>
        </w:rPr>
      </w:pPr>
      <w:r>
        <w:rPr>
          <w:rFonts w:ascii="Times New Roman" w:hAnsi="Times New Roman"/>
          <w:color w:val="auto"/>
          <w:sz w:val="24"/>
          <w:lang w:bidi="ar"/>
        </w:rPr>
        <w:t>终端支持会议双流功能，同时用于会场画面显示及文档阅读。高清视频会议系统设计要求实现4K分辨率的图像质量。主会议室网络建议连接速率4M。该系统连接主会场和所有分会场，应能够提供视频会议、话音、数据、传真、图像等多种业务，满足单位的业务需要。</w:t>
      </w:r>
    </w:p>
    <w:p>
      <w:pPr>
        <w:pStyle w:val="797"/>
        <w:ind w:firstLine="480"/>
        <w:rPr>
          <w:rFonts w:ascii="Times New Roman" w:hAnsi="Times New Roman"/>
          <w:color w:val="auto"/>
          <w:sz w:val="24"/>
          <w:lang w:bidi="ar"/>
        </w:rPr>
      </w:pPr>
      <w:r>
        <w:rPr>
          <w:rFonts w:ascii="Times New Roman" w:hAnsi="Times New Roman"/>
          <w:color w:val="auto"/>
          <w:sz w:val="24"/>
          <w:lang w:bidi="ar"/>
        </w:rPr>
        <w:t>要求视频会议终端设备注册到南网总部视频会议管理平台，视频会议终端需确保与平台兼容。</w:t>
      </w:r>
    </w:p>
    <w:p>
      <w:pPr>
        <w:pStyle w:val="118"/>
        <w:numPr>
          <w:ilvl w:val="2"/>
          <w:numId w:val="25"/>
        </w:numPr>
        <w:spacing w:before="0" w:after="0"/>
        <w:outlineLvl w:val="2"/>
        <w:rPr>
          <w:rFonts w:ascii="Times New Roman" w:hAnsi="Times New Roman"/>
          <w:color w:val="auto"/>
          <w:sz w:val="24"/>
          <w:szCs w:val="24"/>
        </w:rPr>
      </w:pPr>
      <w:r>
        <w:rPr>
          <w:rFonts w:ascii="Times New Roman" w:hAnsi="Times New Roman"/>
          <w:color w:val="auto"/>
          <w:sz w:val="24"/>
          <w:szCs w:val="24"/>
          <w:lang w:bidi="ar"/>
        </w:rPr>
        <w:t>控制室</w:t>
      </w:r>
    </w:p>
    <w:p>
      <w:pPr>
        <w:pStyle w:val="797"/>
        <w:ind w:firstLine="480"/>
        <w:rPr>
          <w:rFonts w:ascii="Times New Roman" w:hAnsi="Times New Roman"/>
          <w:color w:val="auto"/>
          <w:sz w:val="24"/>
          <w:lang w:bidi="ar"/>
        </w:rPr>
      </w:pPr>
      <w:r>
        <w:rPr>
          <w:rFonts w:ascii="Times New Roman" w:hAnsi="Times New Roman"/>
          <w:color w:val="auto"/>
          <w:sz w:val="24"/>
          <w:lang w:bidi="ar"/>
        </w:rPr>
        <w:t>四层设备间设计3个机柜主要用于安装音视频设备；控制室提供1套2位操作台及椅子，用于视频会议保障提供安装相关设备。</w:t>
      </w:r>
    </w:p>
    <w:p>
      <w:pPr>
        <w:pStyle w:val="4"/>
        <w:numPr>
          <w:ilvl w:val="1"/>
          <w:numId w:val="25"/>
        </w:numPr>
        <w:spacing w:line="360" w:lineRule="auto"/>
        <w:rPr>
          <w:rFonts w:ascii="Times New Roman" w:hAnsi="Times New Roman"/>
          <w:b/>
          <w:bCs/>
          <w:color w:val="auto"/>
          <w:sz w:val="24"/>
          <w:szCs w:val="24"/>
          <w:lang w:bidi="ar"/>
        </w:rPr>
      </w:pPr>
      <w:bookmarkStart w:id="566" w:name="_Toc167"/>
      <w:bookmarkStart w:id="567" w:name="_Toc27566"/>
      <w:bookmarkStart w:id="568" w:name="_Toc4385"/>
      <w:bookmarkStart w:id="569" w:name="_Toc6587"/>
      <w:bookmarkStart w:id="570" w:name="_Toc18080"/>
      <w:bookmarkStart w:id="571" w:name="_Toc4643"/>
      <w:bookmarkStart w:id="572" w:name="_Toc20691"/>
      <w:r>
        <w:rPr>
          <w:rFonts w:ascii="Times New Roman" w:hAnsi="Times New Roman"/>
          <w:b/>
          <w:bCs/>
          <w:color w:val="auto"/>
          <w:sz w:val="24"/>
          <w:szCs w:val="24"/>
          <w:lang w:bidi="ar"/>
        </w:rPr>
        <w:t>四层小型会议室</w:t>
      </w:r>
      <w:bookmarkEnd w:id="566"/>
      <w:bookmarkEnd w:id="567"/>
      <w:bookmarkEnd w:id="568"/>
      <w:bookmarkEnd w:id="569"/>
      <w:bookmarkEnd w:id="570"/>
      <w:bookmarkEnd w:id="571"/>
      <w:bookmarkEnd w:id="572"/>
    </w:p>
    <w:p>
      <w:pPr>
        <w:pStyle w:val="797"/>
        <w:ind w:firstLine="480"/>
        <w:rPr>
          <w:rFonts w:ascii="Times New Roman" w:hAnsi="Times New Roman"/>
          <w:color w:val="auto"/>
          <w:sz w:val="24"/>
          <w:lang w:bidi="ar"/>
        </w:rPr>
      </w:pPr>
      <w:r>
        <w:rPr>
          <w:rFonts w:ascii="Times New Roman" w:hAnsi="Times New Roman"/>
          <w:color w:val="auto"/>
          <w:sz w:val="24"/>
          <w:lang w:bidi="ar"/>
        </w:rPr>
        <w:t>本项目四层小型会议室面积约40m</w:t>
      </w:r>
      <w:r>
        <w:rPr>
          <w:rFonts w:ascii="Times New Roman" w:hAnsi="Times New Roman"/>
          <w:color w:val="auto"/>
          <w:sz w:val="24"/>
          <w:vertAlign w:val="superscript"/>
          <w:lang w:bidi="ar"/>
        </w:rPr>
        <w:t>2</w:t>
      </w:r>
      <w:r>
        <w:rPr>
          <w:rFonts w:ascii="Times New Roman" w:hAnsi="Times New Roman"/>
          <w:color w:val="auto"/>
          <w:sz w:val="24"/>
          <w:lang w:bidi="ar"/>
        </w:rPr>
        <w:t>，设计1套一体式视频会议终端，内置4K摄像机、全向麦克风、不低于75寸的显示屏幕，麦克风、设备支架、触控平板等组成，实现本地和远程会商功能。</w:t>
      </w:r>
    </w:p>
    <w:p>
      <w:pPr>
        <w:pStyle w:val="797"/>
        <w:ind w:firstLine="480"/>
        <w:jc w:val="center"/>
        <w:rPr>
          <w:rFonts w:ascii="Times New Roman" w:hAnsi="Times New Roman"/>
          <w:color w:val="auto"/>
          <w:sz w:val="24"/>
        </w:rPr>
      </w:pPr>
      <w:r>
        <w:rPr>
          <w:rFonts w:ascii="Times New Roman" w:hAnsi="Times New Roman"/>
          <w:color w:val="auto"/>
          <w:sz w:val="24"/>
        </w:rPr>
        <w:drawing>
          <wp:inline distT="0" distB="0" distL="114300" distR="114300">
            <wp:extent cx="1244600" cy="1744980"/>
            <wp:effectExtent l="0" t="0" r="0" b="7620"/>
            <wp:docPr id="3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pic:cNvPicPr>
                      <a:picLocks noChangeAspect="1"/>
                    </pic:cNvPicPr>
                  </pic:nvPicPr>
                  <pic:blipFill>
                    <a:blip r:embed="rId44"/>
                    <a:stretch>
                      <a:fillRect/>
                    </a:stretch>
                  </pic:blipFill>
                  <pic:spPr>
                    <a:xfrm>
                      <a:off x="0" y="0"/>
                      <a:ext cx="1244600" cy="1744980"/>
                    </a:xfrm>
                    <a:prstGeom prst="rect">
                      <a:avLst/>
                    </a:prstGeom>
                    <a:noFill/>
                    <a:ln>
                      <a:noFill/>
                    </a:ln>
                  </pic:spPr>
                </pic:pic>
              </a:graphicData>
            </a:graphic>
          </wp:inline>
        </w:drawing>
      </w:r>
    </w:p>
    <w:p>
      <w:pPr>
        <w:pStyle w:val="797"/>
        <w:ind w:firstLine="480"/>
        <w:jc w:val="center"/>
        <w:rPr>
          <w:rFonts w:ascii="Times New Roman" w:hAnsi="Times New Roman"/>
          <w:color w:val="auto"/>
          <w:sz w:val="24"/>
          <w:lang w:bidi="ar"/>
        </w:rPr>
      </w:pPr>
      <w:r>
        <w:rPr>
          <w:rFonts w:ascii="Times New Roman" w:hAnsi="Times New Roman"/>
          <w:color w:val="auto"/>
          <w:sz w:val="24"/>
          <w:lang w:bidi="ar"/>
        </w:rPr>
        <w:t>图9.4-1四层小型会议室平面布局图</w:t>
      </w:r>
    </w:p>
    <w:p>
      <w:pPr>
        <w:pStyle w:val="4"/>
        <w:numPr>
          <w:ilvl w:val="1"/>
          <w:numId w:val="25"/>
        </w:numPr>
        <w:spacing w:line="360" w:lineRule="auto"/>
        <w:rPr>
          <w:rFonts w:ascii="Times New Roman" w:hAnsi="Times New Roman"/>
          <w:b/>
          <w:bCs/>
          <w:color w:val="auto"/>
          <w:sz w:val="24"/>
          <w:szCs w:val="24"/>
          <w:lang w:bidi="ar"/>
        </w:rPr>
      </w:pPr>
      <w:bookmarkStart w:id="573" w:name="_Toc32746"/>
      <w:bookmarkStart w:id="574" w:name="_Toc17609"/>
      <w:bookmarkStart w:id="575" w:name="_Toc25543"/>
      <w:bookmarkStart w:id="576" w:name="_Toc3071"/>
      <w:bookmarkStart w:id="577" w:name="_Toc32301"/>
      <w:bookmarkStart w:id="578" w:name="_Toc23505"/>
      <w:bookmarkStart w:id="579" w:name="_Toc13446"/>
      <w:bookmarkStart w:id="580" w:name="_Toc13692"/>
      <w:bookmarkStart w:id="581" w:name="_Toc24973"/>
      <w:bookmarkStart w:id="582" w:name="_Toc30953"/>
      <w:bookmarkStart w:id="583" w:name="_Toc30591"/>
      <w:bookmarkStart w:id="584" w:name="_Toc5645"/>
      <w:r>
        <w:rPr>
          <w:rFonts w:ascii="Times New Roman" w:hAnsi="Times New Roman"/>
          <w:b/>
          <w:bCs/>
          <w:color w:val="auto"/>
          <w:sz w:val="24"/>
          <w:szCs w:val="24"/>
          <w:lang w:bidi="ar"/>
        </w:rPr>
        <w:t>地下厂房会议室</w:t>
      </w:r>
      <w:bookmarkEnd w:id="573"/>
      <w:bookmarkEnd w:id="574"/>
      <w:bookmarkEnd w:id="575"/>
      <w:bookmarkEnd w:id="576"/>
      <w:bookmarkEnd w:id="577"/>
      <w:bookmarkEnd w:id="578"/>
      <w:bookmarkEnd w:id="579"/>
      <w:bookmarkEnd w:id="580"/>
      <w:bookmarkEnd w:id="581"/>
      <w:bookmarkEnd w:id="582"/>
      <w:bookmarkEnd w:id="583"/>
      <w:bookmarkEnd w:id="584"/>
    </w:p>
    <w:p>
      <w:pPr>
        <w:pStyle w:val="797"/>
        <w:ind w:firstLine="480"/>
        <w:rPr>
          <w:rFonts w:ascii="Times New Roman" w:hAnsi="Times New Roman"/>
          <w:color w:val="auto"/>
          <w:sz w:val="24"/>
        </w:rPr>
      </w:pPr>
      <w:r>
        <w:rPr>
          <w:rFonts w:ascii="Times New Roman" w:hAnsi="Times New Roman"/>
          <w:color w:val="auto"/>
          <w:sz w:val="24"/>
          <w:lang w:bidi="ar"/>
        </w:rPr>
        <w:t>本项目地下厂房会议室面积约43m</w:t>
      </w:r>
      <w:r>
        <w:rPr>
          <w:rFonts w:ascii="Times New Roman" w:hAnsi="Times New Roman"/>
          <w:color w:val="auto"/>
          <w:sz w:val="24"/>
          <w:vertAlign w:val="superscript"/>
          <w:lang w:bidi="ar"/>
        </w:rPr>
        <w:t>2</w:t>
      </w:r>
      <w:r>
        <w:rPr>
          <w:rFonts w:ascii="Times New Roman" w:hAnsi="Times New Roman"/>
          <w:color w:val="auto"/>
          <w:sz w:val="24"/>
          <w:lang w:bidi="ar"/>
        </w:rPr>
        <w:t>，设计1套一体式视频会议终端，内置4K摄像机、全向麦克风、不低于75寸的显示屏幕，麦克风、设备支架、触控平板等组成，实现本地和远程会商功能。</w:t>
      </w:r>
    </w:p>
    <w:p>
      <w:pPr>
        <w:pStyle w:val="4"/>
        <w:numPr>
          <w:ilvl w:val="1"/>
          <w:numId w:val="25"/>
        </w:numPr>
        <w:spacing w:line="360" w:lineRule="auto"/>
        <w:rPr>
          <w:rFonts w:ascii="Times New Roman" w:hAnsi="Times New Roman"/>
          <w:b/>
          <w:bCs/>
          <w:color w:val="auto"/>
          <w:sz w:val="24"/>
          <w:szCs w:val="24"/>
          <w:lang w:bidi="ar"/>
        </w:rPr>
      </w:pPr>
      <w:bookmarkStart w:id="585" w:name="_Toc7129"/>
      <w:bookmarkStart w:id="586" w:name="_Toc0"/>
      <w:bookmarkStart w:id="587" w:name="_Toc17950"/>
      <w:bookmarkStart w:id="588" w:name="_Toc28629"/>
      <w:bookmarkStart w:id="589" w:name="_Toc17263"/>
      <w:bookmarkStart w:id="590" w:name="_Toc22939"/>
      <w:bookmarkStart w:id="591" w:name="_Toc30163"/>
      <w:bookmarkStart w:id="592" w:name="_Toc30486"/>
      <w:bookmarkStart w:id="593" w:name="_Toc21870"/>
      <w:bookmarkStart w:id="594" w:name="_Toc23682"/>
      <w:bookmarkStart w:id="595" w:name="_Toc1634"/>
      <w:r>
        <w:rPr>
          <w:rFonts w:ascii="Times New Roman" w:hAnsi="Times New Roman"/>
          <w:b/>
          <w:bCs/>
          <w:color w:val="auto"/>
          <w:sz w:val="24"/>
          <w:szCs w:val="24"/>
          <w:lang w:bidi="ar"/>
        </w:rPr>
        <w:t>主要设备技术要求</w:t>
      </w:r>
      <w:bookmarkEnd w:id="585"/>
      <w:bookmarkEnd w:id="586"/>
      <w:bookmarkEnd w:id="587"/>
      <w:bookmarkEnd w:id="588"/>
      <w:bookmarkEnd w:id="589"/>
      <w:bookmarkEnd w:id="590"/>
      <w:bookmarkEnd w:id="591"/>
      <w:bookmarkEnd w:id="592"/>
      <w:bookmarkEnd w:id="593"/>
      <w:bookmarkEnd w:id="594"/>
      <w:bookmarkEnd w:id="595"/>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手持无线话筒</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手持无线话筒，含无线手持话筒和无线接收器等系统组件，支持1拖2；</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分级两通道接收信号；</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工作频段：UHF（支持中国大陆）；</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频率范围：≥20Hz-18KHz；</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有效传输距离：≥90米；</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信噪比≥103dB；</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总谐波失真≤0.9%；</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接收机要求：</w:t>
      </w:r>
    </w:p>
    <w:p>
      <w:pPr>
        <w:pStyle w:val="83"/>
        <w:numPr>
          <w:ilvl w:val="0"/>
          <w:numId w:val="95"/>
        </w:numPr>
        <w:rPr>
          <w:rFonts w:ascii="Times New Roman" w:hAnsi="Times New Roman"/>
          <w:color w:val="auto"/>
          <w:sz w:val="24"/>
          <w:szCs w:val="24"/>
        </w:rPr>
      </w:pPr>
      <w:r>
        <w:rPr>
          <w:rFonts w:ascii="Times New Roman" w:hAnsi="Times New Roman"/>
          <w:color w:val="auto"/>
          <w:sz w:val="24"/>
          <w:szCs w:val="24"/>
        </w:rPr>
        <w:t>接收机输出接口：XLR*1（平衡）,6.35mm立体插*1（非平衡)；</w:t>
      </w:r>
    </w:p>
    <w:p>
      <w:pPr>
        <w:pStyle w:val="83"/>
        <w:numPr>
          <w:ilvl w:val="0"/>
          <w:numId w:val="94"/>
        </w:numPr>
        <w:rPr>
          <w:rFonts w:ascii="Times New Roman" w:hAnsi="Times New Roman"/>
          <w:bCs/>
          <w:color w:val="auto"/>
          <w:sz w:val="24"/>
          <w:szCs w:val="24"/>
        </w:rPr>
      </w:pPr>
      <w:r>
        <w:rPr>
          <w:rFonts w:ascii="Times New Roman" w:hAnsi="Times New Roman"/>
          <w:bCs/>
          <w:color w:val="auto"/>
          <w:sz w:val="24"/>
          <w:szCs w:val="24"/>
        </w:rPr>
        <w:t>手持发射器要求：</w:t>
      </w:r>
    </w:p>
    <w:p>
      <w:pPr>
        <w:pStyle w:val="83"/>
        <w:numPr>
          <w:ilvl w:val="0"/>
          <w:numId w:val="96"/>
        </w:numPr>
        <w:rPr>
          <w:rFonts w:ascii="Times New Roman" w:hAnsi="Times New Roman"/>
          <w:color w:val="auto"/>
          <w:sz w:val="24"/>
          <w:szCs w:val="24"/>
        </w:rPr>
      </w:pPr>
      <w:r>
        <w:rPr>
          <w:rFonts w:ascii="Times New Roman" w:hAnsi="Times New Roman"/>
          <w:color w:val="auto"/>
          <w:sz w:val="24"/>
          <w:szCs w:val="24"/>
        </w:rPr>
        <w:t>咪芯：心形；</w:t>
      </w:r>
    </w:p>
    <w:p>
      <w:pPr>
        <w:pStyle w:val="83"/>
        <w:numPr>
          <w:ilvl w:val="0"/>
          <w:numId w:val="96"/>
        </w:numPr>
        <w:rPr>
          <w:rFonts w:ascii="Times New Roman" w:hAnsi="Times New Roman"/>
          <w:color w:val="auto"/>
          <w:sz w:val="24"/>
          <w:szCs w:val="24"/>
        </w:rPr>
      </w:pPr>
      <w:r>
        <w:rPr>
          <w:rFonts w:ascii="Times New Roman" w:hAnsi="Times New Roman"/>
          <w:color w:val="auto"/>
          <w:sz w:val="24"/>
          <w:szCs w:val="24"/>
        </w:rPr>
        <w:t>电池使用时间：≥8小时。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无线领夹话筒</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无线</w:t>
      </w:r>
      <w:r>
        <w:rPr>
          <w:rFonts w:hint="eastAsia" w:ascii="Times New Roman" w:hAnsi="Times New Roman"/>
          <w:bCs/>
          <w:color w:val="auto"/>
          <w:sz w:val="24"/>
          <w:szCs w:val="24"/>
          <w:lang w:val="en-US" w:eastAsia="zh-CN"/>
        </w:rPr>
        <w:t>领夹</w:t>
      </w:r>
      <w:r>
        <w:rPr>
          <w:rFonts w:ascii="Times New Roman" w:hAnsi="Times New Roman"/>
          <w:bCs/>
          <w:color w:val="auto"/>
          <w:sz w:val="24"/>
          <w:szCs w:val="24"/>
        </w:rPr>
        <w:t>话筒，含无线</w:t>
      </w:r>
      <w:r>
        <w:rPr>
          <w:rFonts w:hint="eastAsia" w:ascii="Times New Roman" w:hAnsi="Times New Roman"/>
          <w:bCs/>
          <w:color w:val="auto"/>
          <w:sz w:val="24"/>
          <w:szCs w:val="24"/>
          <w:lang w:val="en-US" w:eastAsia="zh-CN"/>
        </w:rPr>
        <w:t>领夹</w:t>
      </w:r>
      <w:r>
        <w:rPr>
          <w:rFonts w:ascii="Times New Roman" w:hAnsi="Times New Roman"/>
          <w:bCs/>
          <w:color w:val="auto"/>
          <w:sz w:val="24"/>
          <w:szCs w:val="24"/>
        </w:rPr>
        <w:t>式话筒和无线接收器等系统组件，支持1拖2；</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分级两通道接收信号；</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工作频段：UHF（支持中国大陆）</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频率范围：≥20Hz-18KHz；</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有效传输距离：≥90米；</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信噪比≥103dB；</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总谐波失真≤0.9%；</w:t>
      </w:r>
    </w:p>
    <w:p>
      <w:pPr>
        <w:pStyle w:val="83"/>
        <w:numPr>
          <w:ilvl w:val="0"/>
          <w:numId w:val="97"/>
        </w:numPr>
        <w:rPr>
          <w:rFonts w:ascii="Times New Roman" w:hAnsi="Times New Roman"/>
          <w:bCs/>
          <w:color w:val="auto"/>
          <w:sz w:val="24"/>
          <w:szCs w:val="24"/>
        </w:rPr>
      </w:pPr>
      <w:r>
        <w:rPr>
          <w:rFonts w:ascii="Times New Roman" w:hAnsi="Times New Roman"/>
          <w:bCs/>
          <w:color w:val="auto"/>
          <w:sz w:val="24"/>
          <w:szCs w:val="24"/>
        </w:rPr>
        <w:t>接收机要求：</w:t>
      </w:r>
    </w:p>
    <w:p>
      <w:pPr>
        <w:pStyle w:val="83"/>
        <w:numPr>
          <w:ilvl w:val="0"/>
          <w:numId w:val="98"/>
        </w:numPr>
        <w:rPr>
          <w:rFonts w:ascii="Times New Roman" w:hAnsi="Times New Roman"/>
          <w:color w:val="auto"/>
          <w:sz w:val="24"/>
          <w:szCs w:val="24"/>
        </w:rPr>
      </w:pPr>
      <w:r>
        <w:rPr>
          <w:rFonts w:ascii="Times New Roman" w:hAnsi="Times New Roman"/>
          <w:color w:val="auto"/>
          <w:sz w:val="24"/>
          <w:szCs w:val="24"/>
        </w:rPr>
        <w:t>接收机输出接口：XLR*1（平衡）, 6.35mm立体插*1（非平衡)；</w:t>
      </w:r>
    </w:p>
    <w:p>
      <w:pPr>
        <w:pStyle w:val="83"/>
        <w:numPr>
          <w:ilvl w:val="0"/>
          <w:numId w:val="97"/>
        </w:numPr>
        <w:rPr>
          <w:rFonts w:ascii="Times New Roman" w:hAnsi="Times New Roman"/>
          <w:bCs/>
          <w:color w:val="auto"/>
          <w:sz w:val="24"/>
          <w:szCs w:val="24"/>
        </w:rPr>
      </w:pPr>
      <w:r>
        <w:rPr>
          <w:rFonts w:hint="eastAsia" w:ascii="Times New Roman" w:hAnsi="Times New Roman"/>
          <w:bCs/>
          <w:color w:val="auto"/>
          <w:sz w:val="24"/>
          <w:szCs w:val="24"/>
          <w:lang w:val="en-US" w:eastAsia="zh-CN"/>
        </w:rPr>
        <w:t>领夹</w:t>
      </w:r>
      <w:r>
        <w:rPr>
          <w:rFonts w:ascii="Times New Roman" w:hAnsi="Times New Roman"/>
          <w:bCs/>
          <w:color w:val="auto"/>
          <w:sz w:val="24"/>
          <w:szCs w:val="24"/>
        </w:rPr>
        <w:t>式要求：</w:t>
      </w:r>
    </w:p>
    <w:p>
      <w:pPr>
        <w:pStyle w:val="83"/>
        <w:numPr>
          <w:ilvl w:val="0"/>
          <w:numId w:val="99"/>
        </w:numPr>
        <w:rPr>
          <w:rFonts w:ascii="Times New Roman" w:hAnsi="Times New Roman"/>
          <w:color w:val="auto"/>
          <w:sz w:val="24"/>
          <w:szCs w:val="24"/>
        </w:rPr>
      </w:pPr>
      <w:r>
        <w:rPr>
          <w:rFonts w:ascii="Times New Roman" w:hAnsi="Times New Roman"/>
          <w:color w:val="auto"/>
          <w:sz w:val="24"/>
          <w:szCs w:val="24"/>
        </w:rPr>
        <w:t>咪芯：心形</w:t>
      </w:r>
      <w:r>
        <w:rPr>
          <w:rFonts w:hint="eastAsia" w:ascii="Times New Roman" w:hAnsi="Times New Roman"/>
          <w:color w:val="auto"/>
          <w:sz w:val="24"/>
          <w:szCs w:val="24"/>
        </w:rPr>
        <w:t>或超心型</w:t>
      </w:r>
      <w:r>
        <w:rPr>
          <w:rFonts w:ascii="Times New Roman" w:hAnsi="Times New Roman"/>
          <w:color w:val="auto"/>
          <w:sz w:val="24"/>
          <w:szCs w:val="24"/>
        </w:rPr>
        <w:t>；</w:t>
      </w:r>
    </w:p>
    <w:p>
      <w:pPr>
        <w:pStyle w:val="83"/>
        <w:numPr>
          <w:ilvl w:val="0"/>
          <w:numId w:val="99"/>
        </w:numPr>
        <w:rPr>
          <w:rFonts w:ascii="Times New Roman" w:hAnsi="Times New Roman"/>
          <w:color w:val="auto"/>
          <w:sz w:val="24"/>
          <w:szCs w:val="24"/>
        </w:rPr>
      </w:pPr>
      <w:r>
        <w:rPr>
          <w:rFonts w:ascii="Times New Roman" w:hAnsi="Times New Roman"/>
          <w:color w:val="auto"/>
          <w:sz w:val="24"/>
          <w:szCs w:val="24"/>
        </w:rPr>
        <w:t>电池使用时间：≥8小时。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监听耳机</w:t>
      </w:r>
    </w:p>
    <w:p>
      <w:pPr>
        <w:pStyle w:val="83"/>
        <w:numPr>
          <w:ilvl w:val="0"/>
          <w:numId w:val="100"/>
        </w:numPr>
        <w:rPr>
          <w:rFonts w:ascii="Times New Roman" w:hAnsi="Times New Roman"/>
          <w:bCs/>
          <w:color w:val="auto"/>
          <w:sz w:val="24"/>
          <w:szCs w:val="24"/>
        </w:rPr>
      </w:pPr>
      <w:r>
        <w:rPr>
          <w:rFonts w:ascii="Times New Roman" w:hAnsi="Times New Roman"/>
          <w:bCs/>
          <w:color w:val="auto"/>
          <w:sz w:val="24"/>
          <w:szCs w:val="24"/>
        </w:rPr>
        <w:t>佩戴方式：头戴式；</w:t>
      </w:r>
    </w:p>
    <w:p>
      <w:pPr>
        <w:pStyle w:val="83"/>
        <w:numPr>
          <w:ilvl w:val="0"/>
          <w:numId w:val="100"/>
        </w:numPr>
        <w:rPr>
          <w:rFonts w:ascii="Times New Roman" w:hAnsi="Times New Roman"/>
          <w:bCs/>
          <w:color w:val="auto"/>
          <w:sz w:val="24"/>
          <w:szCs w:val="24"/>
        </w:rPr>
      </w:pPr>
      <w:r>
        <w:rPr>
          <w:rFonts w:ascii="Times New Roman" w:hAnsi="Times New Roman"/>
          <w:bCs/>
          <w:color w:val="auto"/>
          <w:sz w:val="24"/>
          <w:szCs w:val="24"/>
        </w:rPr>
        <w:t>频响范围：不小于15Hz-25kHz；</w:t>
      </w:r>
    </w:p>
    <w:p>
      <w:pPr>
        <w:pStyle w:val="83"/>
        <w:numPr>
          <w:ilvl w:val="0"/>
          <w:numId w:val="100"/>
        </w:numPr>
        <w:rPr>
          <w:rFonts w:ascii="Times New Roman" w:hAnsi="Times New Roman"/>
          <w:bCs/>
          <w:color w:val="auto"/>
          <w:sz w:val="24"/>
          <w:szCs w:val="24"/>
        </w:rPr>
      </w:pPr>
      <w:r>
        <w:rPr>
          <w:rFonts w:ascii="Times New Roman" w:hAnsi="Times New Roman"/>
          <w:bCs/>
          <w:color w:val="auto"/>
          <w:sz w:val="24"/>
          <w:szCs w:val="24"/>
        </w:rPr>
        <w:t>产品阻抗：32欧姆；</w:t>
      </w:r>
    </w:p>
    <w:p>
      <w:pPr>
        <w:pStyle w:val="83"/>
        <w:numPr>
          <w:ilvl w:val="0"/>
          <w:numId w:val="100"/>
        </w:numPr>
        <w:rPr>
          <w:rFonts w:ascii="Times New Roman" w:hAnsi="Times New Roman"/>
          <w:bCs/>
          <w:color w:val="auto"/>
          <w:sz w:val="24"/>
          <w:szCs w:val="24"/>
        </w:rPr>
      </w:pPr>
      <w:r>
        <w:rPr>
          <w:rFonts w:ascii="Times New Roman" w:hAnsi="Times New Roman"/>
          <w:bCs/>
          <w:color w:val="auto"/>
          <w:sz w:val="24"/>
          <w:szCs w:val="24"/>
        </w:rPr>
        <w:t>灵敏度：</w:t>
      </w:r>
      <w:r>
        <w:rPr>
          <w:rFonts w:hint="eastAsia" w:ascii="Times New Roman" w:hAnsi="Times New Roman"/>
          <w:bCs/>
          <w:color w:val="auto"/>
          <w:sz w:val="24"/>
          <w:szCs w:val="24"/>
        </w:rPr>
        <w:t>≥91dB</w:t>
      </w:r>
      <w:r>
        <w:rPr>
          <w:rFonts w:ascii="Times New Roman" w:hAnsi="Times New Roman"/>
          <w:bCs/>
          <w:color w:val="auto"/>
          <w:sz w:val="24"/>
          <w:szCs w:val="24"/>
        </w:rPr>
        <w:t>。</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有线话筒</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包含话筒和</w:t>
      </w:r>
      <w:r>
        <w:rPr>
          <w:rFonts w:hint="eastAsia" w:ascii="Times New Roman" w:hAnsi="Times New Roman"/>
          <w:bCs/>
          <w:color w:val="auto"/>
          <w:sz w:val="24"/>
          <w:szCs w:val="24"/>
          <w:lang w:val="en-US" w:eastAsia="zh-CN"/>
        </w:rPr>
        <w:t>开关</w:t>
      </w:r>
      <w:r>
        <w:rPr>
          <w:rFonts w:ascii="Times New Roman" w:hAnsi="Times New Roman"/>
          <w:bCs/>
          <w:color w:val="auto"/>
          <w:sz w:val="24"/>
          <w:szCs w:val="24"/>
        </w:rPr>
        <w:t>底座；</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拾音模式：超指向性</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拾音头类型：电容；</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频率响应：≥20Hz ~ 20KHz</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最大声压级：≥12</w:t>
      </w:r>
      <w:r>
        <w:rPr>
          <w:rFonts w:hint="eastAsia" w:ascii="Times New Roman" w:hAnsi="Times New Roman"/>
          <w:bCs/>
          <w:color w:val="auto"/>
          <w:sz w:val="24"/>
          <w:szCs w:val="24"/>
          <w:lang w:val="en-US" w:eastAsia="zh-CN"/>
        </w:rPr>
        <w:t>0</w:t>
      </w:r>
      <w:r>
        <w:rPr>
          <w:rFonts w:ascii="Times New Roman" w:hAnsi="Times New Roman"/>
          <w:bCs/>
          <w:color w:val="auto"/>
          <w:sz w:val="24"/>
          <w:szCs w:val="24"/>
        </w:rPr>
        <w:t>dB；</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灵敏度（1kHz，开路电压）：≥-31dBV/Pa</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具备彩色触摸屏；</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底座带LED灯开通指示灯，无噪式开关；</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话筒尺寸：短杆（不超过250mm）；</w:t>
      </w:r>
    </w:p>
    <w:p>
      <w:pPr>
        <w:pStyle w:val="83"/>
        <w:numPr>
          <w:ilvl w:val="0"/>
          <w:numId w:val="101"/>
        </w:numPr>
        <w:rPr>
          <w:rFonts w:ascii="Times New Roman" w:hAnsi="Times New Roman"/>
          <w:bCs/>
          <w:color w:val="auto"/>
          <w:sz w:val="24"/>
          <w:szCs w:val="24"/>
        </w:rPr>
      </w:pPr>
      <w:r>
        <w:rPr>
          <w:rFonts w:hint="eastAsia" w:ascii="宋体" w:hAnsi="宋体" w:eastAsia="宋体" w:cs="宋体"/>
          <w:i w:val="0"/>
          <w:iCs w:val="0"/>
          <w:color w:val="auto"/>
          <w:kern w:val="0"/>
          <w:sz w:val="24"/>
          <w:szCs w:val="24"/>
          <w:u w:val="none"/>
          <w:lang w:val="en-US" w:eastAsia="zh-CN" w:bidi="ar"/>
        </w:rPr>
        <w:t>内置芯片，智能防啸叫</w:t>
      </w:r>
      <w:r>
        <w:rPr>
          <w:rFonts w:hint="eastAsia" w:cs="宋体"/>
          <w:i w:val="0"/>
          <w:iCs w:val="0"/>
          <w:color w:val="auto"/>
          <w:kern w:val="0"/>
          <w:sz w:val="24"/>
          <w:szCs w:val="24"/>
          <w:u w:val="none"/>
          <w:lang w:val="en-US" w:eastAsia="zh-CN" w:bidi="ar"/>
        </w:rPr>
        <w:t>；</w:t>
      </w:r>
    </w:p>
    <w:p>
      <w:pPr>
        <w:pStyle w:val="83"/>
        <w:numPr>
          <w:ilvl w:val="0"/>
          <w:numId w:val="101"/>
        </w:numPr>
        <w:rPr>
          <w:rFonts w:ascii="Times New Roman" w:hAnsi="Times New Roman"/>
          <w:bCs/>
          <w:color w:val="auto"/>
          <w:sz w:val="24"/>
          <w:szCs w:val="24"/>
        </w:rPr>
      </w:pPr>
      <w:r>
        <w:rPr>
          <w:rFonts w:ascii="Times New Roman" w:hAnsi="Times New Roman"/>
          <w:bCs/>
          <w:color w:val="auto"/>
          <w:sz w:val="24"/>
          <w:szCs w:val="24"/>
        </w:rPr>
        <w:t>底座结构：压铸成型的底座和橡胶底垫。</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会议主机</w:t>
      </w:r>
    </w:p>
    <w:p>
      <w:pPr>
        <w:pStyle w:val="83"/>
        <w:numPr>
          <w:ilvl w:val="0"/>
          <w:numId w:val="102"/>
        </w:numPr>
        <w:rPr>
          <w:rFonts w:ascii="Times New Roman" w:hAnsi="Times New Roman"/>
          <w:bCs/>
          <w:color w:val="auto"/>
          <w:sz w:val="24"/>
          <w:szCs w:val="24"/>
        </w:rPr>
      </w:pPr>
      <w:r>
        <w:rPr>
          <w:rFonts w:ascii="Times New Roman" w:hAnsi="Times New Roman"/>
          <w:bCs/>
          <w:color w:val="auto"/>
          <w:sz w:val="24"/>
          <w:szCs w:val="24"/>
        </w:rPr>
        <w:t>通道数:提供≥4路RJ45口、≥4路8芯航空接口（可扩展）、RS232/RS485接口。</w:t>
      </w:r>
    </w:p>
    <w:p>
      <w:pPr>
        <w:pStyle w:val="83"/>
        <w:numPr>
          <w:ilvl w:val="0"/>
          <w:numId w:val="102"/>
        </w:numPr>
        <w:rPr>
          <w:rFonts w:ascii="Times New Roman" w:hAnsi="Times New Roman"/>
          <w:bCs/>
          <w:color w:val="auto"/>
          <w:sz w:val="24"/>
          <w:szCs w:val="24"/>
        </w:rPr>
      </w:pPr>
      <w:r>
        <w:rPr>
          <w:rFonts w:ascii="Times New Roman" w:hAnsi="Times New Roman"/>
          <w:bCs/>
          <w:color w:val="auto"/>
          <w:sz w:val="24"/>
          <w:szCs w:val="24"/>
        </w:rPr>
        <w:t>频率响应范围:≥20Hz-20KHz；</w:t>
      </w:r>
    </w:p>
    <w:p>
      <w:pPr>
        <w:pStyle w:val="83"/>
        <w:numPr>
          <w:ilvl w:val="0"/>
          <w:numId w:val="102"/>
        </w:numPr>
        <w:rPr>
          <w:rFonts w:ascii="Times New Roman" w:hAnsi="Times New Roman"/>
          <w:bCs/>
          <w:color w:val="auto"/>
          <w:sz w:val="24"/>
          <w:szCs w:val="24"/>
        </w:rPr>
      </w:pPr>
      <w:r>
        <w:rPr>
          <w:rFonts w:ascii="Times New Roman" w:hAnsi="Times New Roman"/>
          <w:bCs/>
          <w:color w:val="auto"/>
          <w:sz w:val="24"/>
          <w:szCs w:val="24"/>
        </w:rPr>
        <w:t>信噪比；≥96dB</w:t>
      </w:r>
    </w:p>
    <w:p>
      <w:pPr>
        <w:pStyle w:val="83"/>
        <w:numPr>
          <w:ilvl w:val="0"/>
          <w:numId w:val="102"/>
        </w:numPr>
        <w:rPr>
          <w:rFonts w:ascii="Times New Roman" w:hAnsi="Times New Roman"/>
          <w:bCs/>
          <w:color w:val="auto"/>
          <w:sz w:val="24"/>
          <w:szCs w:val="24"/>
        </w:rPr>
      </w:pPr>
      <w:r>
        <w:rPr>
          <w:rFonts w:ascii="Times New Roman" w:hAnsi="Times New Roman"/>
          <w:bCs/>
          <w:color w:val="auto"/>
          <w:sz w:val="24"/>
          <w:szCs w:val="24"/>
        </w:rPr>
        <w:t>支持有线/无线话筒接入，集成定制AI降噪、自动反馈抑制、回声消除、自动增益。支持双主机备份。</w:t>
      </w:r>
    </w:p>
    <w:p>
      <w:pPr>
        <w:pStyle w:val="83"/>
        <w:numPr>
          <w:ilvl w:val="0"/>
          <w:numId w:val="102"/>
        </w:numPr>
        <w:rPr>
          <w:rFonts w:ascii="Times New Roman" w:hAnsi="Times New Roman"/>
          <w:bCs/>
          <w:color w:val="auto"/>
          <w:sz w:val="24"/>
          <w:szCs w:val="24"/>
        </w:rPr>
      </w:pPr>
      <w:r>
        <w:rPr>
          <w:rFonts w:ascii="Times New Roman" w:hAnsi="Times New Roman"/>
          <w:bCs/>
          <w:color w:val="auto"/>
          <w:sz w:val="24"/>
          <w:szCs w:val="24"/>
        </w:rPr>
        <w:t>支持19”机架安装。</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UHF无线采集器</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具备两个RJ45网口，选择其中一个与会议主机进行连接。</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载波频段：UHF640MHz-690MHz。</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调制方式：FM。</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工作有效距离：40米（从无线采集器到麦克风）。</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接收灵敏度：-95dBm。</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频带宽度：30MHz。</w:t>
      </w:r>
    </w:p>
    <w:p>
      <w:pPr>
        <w:pStyle w:val="83"/>
        <w:numPr>
          <w:ilvl w:val="0"/>
          <w:numId w:val="103"/>
        </w:numPr>
        <w:rPr>
          <w:rFonts w:ascii="Times New Roman" w:hAnsi="Times New Roman"/>
          <w:bCs/>
          <w:color w:val="auto"/>
          <w:sz w:val="24"/>
          <w:szCs w:val="24"/>
        </w:rPr>
      </w:pPr>
      <w:r>
        <w:rPr>
          <w:rFonts w:ascii="Times New Roman" w:hAnsi="Times New Roman"/>
          <w:bCs/>
          <w:color w:val="auto"/>
          <w:sz w:val="24"/>
          <w:szCs w:val="24"/>
        </w:rPr>
        <w:t>供电：支持会议主机POE供电。</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无源分配器</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总输入通道数：≥12路，支持模块化组合；</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输出通道数：每通道设有三组输出；</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频率响应：≥20Hz~20kHz；</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支持每路输入带幻象电源；</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可支持即插即用，支持热</w:t>
      </w:r>
      <w:r>
        <w:rPr>
          <w:rFonts w:hint="eastAsia" w:ascii="Times New Roman" w:hAnsi="Times New Roman"/>
          <w:bCs/>
          <w:color w:val="auto"/>
          <w:sz w:val="24"/>
          <w:szCs w:val="24"/>
          <w:lang w:val="en-US" w:eastAsia="zh-CN"/>
        </w:rPr>
        <w:t>插拔</w:t>
      </w:r>
      <w:r>
        <w:rPr>
          <w:rFonts w:ascii="Times New Roman" w:hAnsi="Times New Roman"/>
          <w:bCs/>
          <w:color w:val="auto"/>
          <w:sz w:val="24"/>
          <w:szCs w:val="24"/>
        </w:rPr>
        <w:t>、无需电源，无需软件设置和维护；</w:t>
      </w:r>
    </w:p>
    <w:p>
      <w:pPr>
        <w:pStyle w:val="83"/>
        <w:numPr>
          <w:ilvl w:val="0"/>
          <w:numId w:val="104"/>
        </w:numPr>
        <w:rPr>
          <w:rFonts w:ascii="Times New Roman" w:hAnsi="Times New Roman"/>
          <w:bCs/>
          <w:color w:val="auto"/>
          <w:sz w:val="24"/>
          <w:szCs w:val="24"/>
        </w:rPr>
      </w:pPr>
      <w:r>
        <w:rPr>
          <w:rFonts w:ascii="Times New Roman" w:hAnsi="Times New Roman"/>
          <w:bCs/>
          <w:color w:val="auto"/>
          <w:sz w:val="24"/>
          <w:szCs w:val="24"/>
        </w:rPr>
        <w:t>内置瞬态、浪涌抑制、抗静电保护电路。</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主扬声器</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单元规格：≥6*6.5″和2*1.4″；</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额定功率：≥600W；</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标称阻抗：4Ω/8Ω；</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灵敏度（1w/1m）:≥98dB；</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最大声压级：≥128dB；</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频率范围(-6dB)：≥95-20kHz；</w:t>
      </w:r>
    </w:p>
    <w:p>
      <w:pPr>
        <w:pStyle w:val="83"/>
        <w:numPr>
          <w:ilvl w:val="0"/>
          <w:numId w:val="105"/>
        </w:numPr>
        <w:rPr>
          <w:rFonts w:ascii="Times New Roman" w:hAnsi="Times New Roman"/>
          <w:bCs/>
          <w:color w:val="auto"/>
          <w:sz w:val="24"/>
          <w:szCs w:val="24"/>
        </w:rPr>
      </w:pPr>
      <w:r>
        <w:rPr>
          <w:rFonts w:ascii="Times New Roman" w:hAnsi="Times New Roman"/>
          <w:bCs/>
          <w:color w:val="auto"/>
          <w:sz w:val="24"/>
          <w:szCs w:val="24"/>
        </w:rPr>
        <w:t>含安装所需的支架等配件。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扬声器</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单元规格：≥3*6.5″和1*1.4″；</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额定功率：≥250W；</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标称阻抗：4Ω/8Ω；</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灵敏度（1w/1m）:≥95dB；</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最大声压级：≥120dB；</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频率范围(-6dB)：≥100-20kHz；</w:t>
      </w:r>
    </w:p>
    <w:p>
      <w:pPr>
        <w:pStyle w:val="83"/>
        <w:numPr>
          <w:ilvl w:val="0"/>
          <w:numId w:val="106"/>
        </w:numPr>
        <w:rPr>
          <w:rFonts w:ascii="Times New Roman" w:hAnsi="Times New Roman"/>
          <w:bCs/>
          <w:color w:val="auto"/>
          <w:sz w:val="24"/>
          <w:szCs w:val="24"/>
        </w:rPr>
      </w:pPr>
      <w:r>
        <w:rPr>
          <w:rFonts w:ascii="Times New Roman" w:hAnsi="Times New Roman"/>
          <w:bCs/>
          <w:color w:val="auto"/>
          <w:sz w:val="24"/>
          <w:szCs w:val="24"/>
        </w:rPr>
        <w:t>含安装所需的支架等配件。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辅助扬声器</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单元规格：≥1*6.5″和1*0.75"</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额定功率：≥400W；</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标称阻抗：4Ω/8Ω；</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灵敏度（1w/1m）:≥90dB；</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最大声压级：≥108dB；</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频率范围(-6dB)：≥100-20kHz；</w:t>
      </w:r>
    </w:p>
    <w:p>
      <w:pPr>
        <w:pStyle w:val="83"/>
        <w:numPr>
          <w:ilvl w:val="0"/>
          <w:numId w:val="107"/>
        </w:numPr>
        <w:rPr>
          <w:rFonts w:ascii="Times New Roman" w:hAnsi="Times New Roman"/>
          <w:bCs/>
          <w:color w:val="auto"/>
          <w:sz w:val="24"/>
          <w:szCs w:val="24"/>
        </w:rPr>
      </w:pPr>
      <w:r>
        <w:rPr>
          <w:rFonts w:ascii="Times New Roman" w:hAnsi="Times New Roman"/>
          <w:bCs/>
          <w:color w:val="auto"/>
          <w:sz w:val="24"/>
          <w:szCs w:val="24"/>
        </w:rPr>
        <w:t>含安装所需的支架等配件。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返送扬声器</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单元规格：≥2*5.25″和1*1"</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额定功率：≥1500W；</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标称阻抗：8Ω；</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灵敏度（1w/1m）:≥88dB；</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最大声压级：≥108dB；</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频率范围(-6dB)：≥100-20kHz；</w:t>
      </w:r>
    </w:p>
    <w:p>
      <w:pPr>
        <w:pStyle w:val="83"/>
        <w:numPr>
          <w:ilvl w:val="0"/>
          <w:numId w:val="108"/>
        </w:numPr>
        <w:rPr>
          <w:rFonts w:ascii="Times New Roman" w:hAnsi="Times New Roman"/>
          <w:bCs/>
          <w:color w:val="auto"/>
          <w:sz w:val="24"/>
          <w:szCs w:val="24"/>
        </w:rPr>
      </w:pPr>
      <w:r>
        <w:rPr>
          <w:rFonts w:ascii="Times New Roman" w:hAnsi="Times New Roman"/>
          <w:bCs/>
          <w:color w:val="auto"/>
          <w:sz w:val="24"/>
          <w:szCs w:val="24"/>
        </w:rPr>
        <w:t>吸顶式，含安装所需的支架等配件。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四通道功放</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内置数字信号处理器,支持网络协议传输，可通过网络传输音频信号；模拟信号、数字网络信号输入可自动切换，具有优先级关系；</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额定功率：≥4*400W8Ω；</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频率响应：20Hz-20 kH</w:t>
      </w:r>
      <w:r>
        <w:rPr>
          <w:rFonts w:hint="eastAsia" w:ascii="Times New Roman" w:hAnsi="Times New Roman"/>
          <w:bCs/>
          <w:color w:val="auto"/>
          <w:sz w:val="24"/>
          <w:szCs w:val="24"/>
          <w:lang w:val="en-US" w:eastAsia="zh-CN"/>
        </w:rPr>
        <w:t>z</w:t>
      </w:r>
      <w:r>
        <w:rPr>
          <w:rFonts w:ascii="Times New Roman" w:hAnsi="Times New Roman"/>
          <w:bCs/>
          <w:color w:val="auto"/>
          <w:sz w:val="24"/>
          <w:szCs w:val="24"/>
        </w:rPr>
        <w:t>；</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信噪比：&gt; -105dB；</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总谐波失真≤0.01%；</w:t>
      </w:r>
    </w:p>
    <w:p>
      <w:pPr>
        <w:pStyle w:val="83"/>
        <w:numPr>
          <w:ilvl w:val="0"/>
          <w:numId w:val="109"/>
        </w:numPr>
        <w:rPr>
          <w:rFonts w:ascii="Times New Roman" w:hAnsi="Times New Roman"/>
          <w:bCs/>
          <w:color w:val="auto"/>
          <w:sz w:val="24"/>
          <w:szCs w:val="24"/>
        </w:rPr>
      </w:pPr>
      <w:r>
        <w:rPr>
          <w:rFonts w:ascii="Times New Roman" w:hAnsi="Times New Roman"/>
          <w:bCs/>
          <w:color w:val="auto"/>
          <w:sz w:val="24"/>
          <w:szCs w:val="24"/>
        </w:rPr>
        <w:t>电源欠压保护、功放输出直流保护、过热保护、温度功率控制、过载功率控制。</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音频处理器</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支持32x32处理器；</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支持</w:t>
      </w:r>
      <w:r>
        <w:rPr>
          <w:rFonts w:hint="eastAsia" w:ascii="Times New Roman" w:hAnsi="Times New Roman"/>
          <w:bCs/>
          <w:color w:val="auto"/>
          <w:sz w:val="24"/>
          <w:szCs w:val="24"/>
          <w:lang w:val="en-US" w:eastAsia="zh-CN"/>
        </w:rPr>
        <w:t>至少16/</w:t>
      </w:r>
      <w:r>
        <w:rPr>
          <w:rFonts w:ascii="Times New Roman" w:hAnsi="Times New Roman"/>
          <w:bCs/>
          <w:color w:val="auto"/>
          <w:sz w:val="24"/>
          <w:szCs w:val="24"/>
        </w:rPr>
        <w:t>24路本地平衡输入，支持幻相电源，可切换MIC/LINE输入，带独立话放调节，支持</w:t>
      </w:r>
      <w:r>
        <w:rPr>
          <w:rFonts w:hint="eastAsia" w:ascii="Times New Roman" w:hAnsi="Times New Roman"/>
          <w:bCs/>
          <w:color w:val="auto"/>
          <w:sz w:val="24"/>
          <w:szCs w:val="24"/>
          <w:lang w:val="en-US" w:eastAsia="zh-CN"/>
        </w:rPr>
        <w:t>至少</w:t>
      </w:r>
      <w:r>
        <w:rPr>
          <w:rFonts w:ascii="Times New Roman" w:hAnsi="Times New Roman"/>
          <w:bCs/>
          <w:color w:val="auto"/>
          <w:sz w:val="24"/>
          <w:szCs w:val="24"/>
        </w:rPr>
        <w:t>16</w:t>
      </w:r>
      <w:r>
        <w:rPr>
          <w:rFonts w:hint="eastAsia" w:ascii="Times New Roman" w:hAnsi="Times New Roman"/>
          <w:bCs/>
          <w:color w:val="auto"/>
          <w:sz w:val="24"/>
          <w:szCs w:val="24"/>
          <w:lang w:val="en-US" w:eastAsia="zh-CN"/>
        </w:rPr>
        <w:t>/24</w:t>
      </w:r>
      <w:r>
        <w:rPr>
          <w:rFonts w:ascii="Times New Roman" w:hAnsi="Times New Roman"/>
          <w:bCs/>
          <w:color w:val="auto"/>
          <w:sz w:val="24"/>
          <w:szCs w:val="24"/>
        </w:rPr>
        <w:t>路本地平衡输出；支持多台叠加满足通道要求；供货时认定为1套设备。</w:t>
      </w:r>
    </w:p>
    <w:p>
      <w:pPr>
        <w:pStyle w:val="83"/>
        <w:numPr>
          <w:ilvl w:val="0"/>
          <w:numId w:val="110"/>
        </w:numPr>
        <w:rPr>
          <w:rFonts w:ascii="Times New Roman" w:hAnsi="Times New Roman"/>
          <w:bCs/>
          <w:color w:val="auto"/>
          <w:sz w:val="24"/>
          <w:szCs w:val="24"/>
        </w:rPr>
      </w:pPr>
      <w:r>
        <w:rPr>
          <w:rFonts w:hint="eastAsia" w:ascii="Times New Roman" w:hAnsi="Times New Roman"/>
          <w:bCs/>
          <w:color w:val="auto"/>
          <w:sz w:val="24"/>
          <w:szCs w:val="24"/>
        </w:rPr>
        <w:t>频率响应：20Hz-20kHz（+0.5/-1dB）</w:t>
      </w:r>
      <w:r>
        <w:rPr>
          <w:rFonts w:hint="eastAsia" w:ascii="Times New Roman" w:hAnsi="Times New Roman"/>
          <w:bCs/>
          <w:color w:val="auto"/>
          <w:sz w:val="24"/>
          <w:szCs w:val="24"/>
          <w:lang w:eastAsia="zh-CN"/>
        </w:rPr>
        <w:t>；</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扩展32x32Dante音频通道（前16路Dante/模拟二选一，后16路为Dante）；一个内部混音通道；</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24bit AD/DA转换，96KHz采样频率；</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以太网远程控制RJ45端口；</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DSP音频处理芯片，可实现多点对多点的数字交换，数字路由；</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输入通道处理部分包含低切，参量均衡，噪声门，增益，静音，相位，连动调节，音量编组调节等处理功能；</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输出通道处理部分包含分频，参量均衡，增益，静音，压缩/限幅器，相位，延时，连动调节，音量编组调节等处理单元；</w:t>
      </w:r>
    </w:p>
    <w:p>
      <w:pPr>
        <w:pStyle w:val="83"/>
        <w:numPr>
          <w:ilvl w:val="0"/>
          <w:numId w:val="110"/>
        </w:numPr>
        <w:rPr>
          <w:rFonts w:ascii="Times New Roman" w:hAnsi="Times New Roman"/>
          <w:bCs/>
          <w:color w:val="auto"/>
          <w:sz w:val="24"/>
          <w:szCs w:val="24"/>
        </w:rPr>
      </w:pPr>
      <w:r>
        <w:rPr>
          <w:rFonts w:ascii="Times New Roman" w:hAnsi="Times New Roman"/>
          <w:bCs/>
          <w:color w:val="auto"/>
          <w:sz w:val="24"/>
          <w:szCs w:val="24"/>
        </w:rPr>
        <w:t>AUTOMIX通道具有自动混音处理功能，12个用户预设。</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调音台</w:t>
      </w:r>
    </w:p>
    <w:p>
      <w:pPr>
        <w:pStyle w:val="83"/>
        <w:numPr>
          <w:ilvl w:val="0"/>
          <w:numId w:val="111"/>
        </w:numPr>
        <w:ind w:left="845" w:leftChars="0" w:hanging="425" w:firstLineChars="0"/>
        <w:rPr>
          <w:rFonts w:ascii="Times New Roman" w:hAnsi="Times New Roman"/>
          <w:bCs/>
          <w:color w:val="auto"/>
          <w:sz w:val="24"/>
          <w:szCs w:val="24"/>
        </w:rPr>
      </w:pPr>
      <w:r>
        <w:rPr>
          <w:rFonts w:ascii="Times New Roman" w:hAnsi="Times New Roman"/>
          <w:bCs/>
          <w:color w:val="auto"/>
          <w:sz w:val="24"/>
          <w:szCs w:val="24"/>
        </w:rPr>
        <w:t>输入处理通道：≥16个输入通道。输出处理通道：≥16个XLR输出；</w:t>
      </w:r>
    </w:p>
    <w:p>
      <w:pPr>
        <w:pStyle w:val="83"/>
        <w:numPr>
          <w:ilvl w:val="0"/>
          <w:numId w:val="111"/>
        </w:numPr>
        <w:ind w:left="845" w:leftChars="0" w:hanging="425" w:firstLineChars="0"/>
        <w:rPr>
          <w:rFonts w:ascii="Times New Roman" w:hAnsi="Times New Roman"/>
          <w:bCs/>
          <w:color w:val="auto"/>
          <w:sz w:val="24"/>
          <w:szCs w:val="24"/>
        </w:rPr>
      </w:pPr>
      <w:r>
        <w:rPr>
          <w:rFonts w:ascii="Times New Roman" w:hAnsi="Times New Roman"/>
          <w:bCs/>
          <w:color w:val="auto"/>
          <w:sz w:val="24"/>
          <w:szCs w:val="24"/>
        </w:rPr>
        <w:t>A/D转换器的动态范围：≥24-Bit，114dB（8通道，192kHz）</w:t>
      </w:r>
    </w:p>
    <w:p>
      <w:pPr>
        <w:pStyle w:val="83"/>
        <w:numPr>
          <w:ilvl w:val="0"/>
          <w:numId w:val="111"/>
        </w:numPr>
        <w:ind w:left="845" w:leftChars="0" w:hanging="425" w:firstLineChars="0"/>
        <w:rPr>
          <w:rFonts w:ascii="Times New Roman" w:hAnsi="Times New Roman"/>
          <w:bCs/>
          <w:color w:val="auto"/>
          <w:sz w:val="24"/>
          <w:szCs w:val="24"/>
        </w:rPr>
      </w:pPr>
      <w:r>
        <w:rPr>
          <w:rFonts w:ascii="Times New Roman" w:hAnsi="Times New Roman"/>
          <w:bCs/>
          <w:color w:val="auto"/>
          <w:sz w:val="24"/>
          <w:szCs w:val="24"/>
        </w:rPr>
        <w:t>内部效果器：≥8/16</w:t>
      </w:r>
    </w:p>
    <w:p>
      <w:pPr>
        <w:pStyle w:val="83"/>
        <w:numPr>
          <w:ilvl w:val="0"/>
          <w:numId w:val="111"/>
        </w:numPr>
        <w:ind w:left="845" w:leftChars="0" w:hanging="425" w:firstLineChars="0"/>
        <w:rPr>
          <w:rFonts w:ascii="Times New Roman" w:hAnsi="Times New Roman"/>
          <w:bCs/>
          <w:color w:val="auto"/>
          <w:sz w:val="24"/>
          <w:szCs w:val="24"/>
        </w:rPr>
      </w:pPr>
      <w:r>
        <w:rPr>
          <w:rFonts w:ascii="Times New Roman" w:hAnsi="Times New Roman"/>
          <w:bCs/>
          <w:color w:val="auto"/>
          <w:sz w:val="24"/>
          <w:szCs w:val="24"/>
        </w:rPr>
        <w:t>D/A转换器：≥24-Bit，120dB动态范围</w:t>
      </w:r>
    </w:p>
    <w:p>
      <w:pPr>
        <w:pStyle w:val="83"/>
        <w:numPr>
          <w:ilvl w:val="0"/>
          <w:numId w:val="111"/>
        </w:numPr>
        <w:ind w:left="845" w:leftChars="0" w:hanging="425" w:firstLineChars="0"/>
        <w:rPr>
          <w:rFonts w:ascii="Times New Roman" w:hAnsi="Times New Roman"/>
          <w:bCs/>
          <w:color w:val="auto"/>
          <w:sz w:val="24"/>
          <w:szCs w:val="24"/>
        </w:rPr>
      </w:pPr>
      <w:r>
        <w:rPr>
          <w:rFonts w:ascii="Times New Roman" w:hAnsi="Times New Roman"/>
          <w:bCs/>
          <w:color w:val="auto"/>
          <w:sz w:val="24"/>
          <w:szCs w:val="24"/>
        </w:rPr>
        <w:t>信号处理能力：≥40位的浮点处理</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电源时序器</w:t>
      </w:r>
    </w:p>
    <w:p>
      <w:pPr>
        <w:pStyle w:val="83"/>
        <w:numPr>
          <w:ilvl w:val="0"/>
          <w:numId w:val="112"/>
        </w:numPr>
        <w:ind w:left="0" w:leftChars="0" w:firstLine="480" w:firstLineChars="200"/>
        <w:rPr>
          <w:rFonts w:ascii="Times New Roman" w:hAnsi="Times New Roman"/>
          <w:bCs/>
          <w:color w:val="auto"/>
          <w:sz w:val="24"/>
          <w:szCs w:val="24"/>
        </w:rPr>
      </w:pPr>
      <w:r>
        <w:rPr>
          <w:rFonts w:ascii="Times New Roman" w:hAnsi="Times New Roman"/>
          <w:bCs/>
          <w:color w:val="auto"/>
          <w:sz w:val="24"/>
          <w:szCs w:val="24"/>
        </w:rPr>
        <w:t>输入：≥AC220V/32A；</w:t>
      </w:r>
    </w:p>
    <w:p>
      <w:pPr>
        <w:pStyle w:val="83"/>
        <w:numPr>
          <w:ilvl w:val="0"/>
          <w:numId w:val="112"/>
        </w:numPr>
        <w:ind w:left="0" w:leftChars="0" w:firstLine="480" w:firstLineChars="200"/>
        <w:rPr>
          <w:rFonts w:ascii="Times New Roman" w:hAnsi="Times New Roman"/>
          <w:bCs/>
          <w:color w:val="auto"/>
          <w:sz w:val="24"/>
          <w:szCs w:val="24"/>
        </w:rPr>
      </w:pPr>
      <w:r>
        <w:rPr>
          <w:rFonts w:ascii="Times New Roman" w:hAnsi="Times New Roman"/>
          <w:bCs/>
          <w:color w:val="auto"/>
          <w:sz w:val="24"/>
          <w:szCs w:val="24"/>
        </w:rPr>
        <w:t>电源输出插座：≥8路；</w:t>
      </w:r>
    </w:p>
    <w:p>
      <w:pPr>
        <w:pStyle w:val="83"/>
        <w:numPr>
          <w:ilvl w:val="0"/>
          <w:numId w:val="112"/>
        </w:numPr>
        <w:ind w:left="0" w:leftChars="0" w:firstLine="480" w:firstLineChars="200"/>
        <w:rPr>
          <w:rFonts w:ascii="Times New Roman" w:hAnsi="Times New Roman"/>
          <w:bCs/>
          <w:color w:val="auto"/>
          <w:sz w:val="24"/>
          <w:szCs w:val="24"/>
        </w:rPr>
      </w:pPr>
      <w:r>
        <w:rPr>
          <w:rFonts w:ascii="Times New Roman" w:hAnsi="Times New Roman"/>
          <w:bCs/>
          <w:color w:val="auto"/>
          <w:sz w:val="24"/>
          <w:szCs w:val="24"/>
        </w:rPr>
        <w:t>输出电源控制；8路；</w:t>
      </w:r>
    </w:p>
    <w:p>
      <w:pPr>
        <w:pStyle w:val="83"/>
        <w:numPr>
          <w:ilvl w:val="0"/>
          <w:numId w:val="112"/>
        </w:numPr>
        <w:ind w:left="0" w:leftChars="0" w:firstLine="480" w:firstLineChars="200"/>
        <w:rPr>
          <w:rFonts w:ascii="Times New Roman" w:hAnsi="Times New Roman"/>
          <w:bCs/>
          <w:color w:val="auto"/>
          <w:sz w:val="24"/>
          <w:szCs w:val="24"/>
        </w:rPr>
      </w:pPr>
      <w:r>
        <w:rPr>
          <w:rFonts w:ascii="Times New Roman" w:hAnsi="Times New Roman"/>
          <w:bCs/>
          <w:color w:val="auto"/>
          <w:sz w:val="24"/>
          <w:szCs w:val="24"/>
        </w:rPr>
        <w:t>级联要求：支持；</w:t>
      </w:r>
    </w:p>
    <w:p>
      <w:pPr>
        <w:pStyle w:val="83"/>
        <w:numPr>
          <w:ilvl w:val="0"/>
          <w:numId w:val="112"/>
        </w:numPr>
        <w:ind w:left="0" w:leftChars="0" w:firstLine="480" w:firstLineChars="200"/>
        <w:rPr>
          <w:rFonts w:ascii="Times New Roman" w:hAnsi="Times New Roman"/>
          <w:bCs/>
          <w:color w:val="auto"/>
          <w:sz w:val="24"/>
          <w:szCs w:val="24"/>
        </w:rPr>
      </w:pPr>
      <w:r>
        <w:rPr>
          <w:rFonts w:ascii="Times New Roman" w:hAnsi="Times New Roman"/>
          <w:bCs/>
          <w:color w:val="auto"/>
          <w:sz w:val="24"/>
          <w:szCs w:val="24"/>
        </w:rPr>
        <w:t>控制接口：≥1个RS232串口、≥1个线控接口。</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信息盒</w:t>
      </w:r>
    </w:p>
    <w:p>
      <w:pPr>
        <w:pStyle w:val="83"/>
        <w:numPr>
          <w:ilvl w:val="0"/>
          <w:numId w:val="113"/>
        </w:numPr>
        <w:rPr>
          <w:rFonts w:ascii="Times New Roman" w:hAnsi="Times New Roman"/>
          <w:bCs/>
          <w:color w:val="auto"/>
          <w:sz w:val="24"/>
          <w:szCs w:val="24"/>
        </w:rPr>
      </w:pPr>
      <w:r>
        <w:rPr>
          <w:rFonts w:ascii="Times New Roman" w:hAnsi="Times New Roman"/>
          <w:bCs/>
          <w:color w:val="auto"/>
          <w:sz w:val="24"/>
          <w:szCs w:val="24"/>
        </w:rPr>
        <w:t>款式：掀起式；</w:t>
      </w:r>
    </w:p>
    <w:p>
      <w:pPr>
        <w:pStyle w:val="83"/>
        <w:numPr>
          <w:ilvl w:val="0"/>
          <w:numId w:val="113"/>
        </w:numPr>
        <w:rPr>
          <w:rFonts w:ascii="Times New Roman" w:hAnsi="Times New Roman"/>
          <w:bCs/>
          <w:color w:val="auto"/>
          <w:sz w:val="24"/>
          <w:szCs w:val="24"/>
        </w:rPr>
      </w:pPr>
      <w:r>
        <w:rPr>
          <w:rFonts w:ascii="Times New Roman" w:hAnsi="Times New Roman"/>
          <w:bCs/>
          <w:color w:val="auto"/>
          <w:sz w:val="24"/>
          <w:szCs w:val="24"/>
        </w:rPr>
        <w:t>参考配置：AC220V电源二三接口≥1个、六类模块接口≥2个，HDMI接口≥1个、3.5立体声≥1个、卡侬头≥2个等。（具体配置以现场确认规模、类型为准）；</w:t>
      </w:r>
    </w:p>
    <w:p>
      <w:pPr>
        <w:pStyle w:val="83"/>
        <w:numPr>
          <w:ilvl w:val="0"/>
          <w:numId w:val="113"/>
        </w:numPr>
        <w:rPr>
          <w:rFonts w:ascii="Times New Roman" w:hAnsi="Times New Roman"/>
          <w:bCs/>
          <w:color w:val="auto"/>
          <w:sz w:val="24"/>
          <w:szCs w:val="24"/>
        </w:rPr>
      </w:pPr>
      <w:r>
        <w:rPr>
          <w:rFonts w:ascii="Times New Roman" w:hAnsi="Times New Roman"/>
          <w:bCs/>
          <w:color w:val="auto"/>
          <w:sz w:val="24"/>
          <w:szCs w:val="24"/>
        </w:rPr>
        <w:t>面板规格：定制，参考尺寸≥180×180mm。</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会议摄像</w:t>
      </w:r>
      <w:r>
        <w:rPr>
          <w:rFonts w:hint="eastAsia" w:ascii="Times New Roman" w:hAnsi="Times New Roman"/>
          <w:color w:val="auto"/>
          <w:sz w:val="24"/>
          <w:szCs w:val="24"/>
          <w:lang w:val="en-US" w:eastAsia="zh-CN"/>
        </w:rPr>
        <w:t>机</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传感器芯片：≥1/2.5英寸CMOS成像芯片；</w:t>
      </w:r>
    </w:p>
    <w:p>
      <w:pPr>
        <w:pStyle w:val="83"/>
        <w:numPr>
          <w:ilvl w:val="0"/>
          <w:numId w:val="114"/>
        </w:numPr>
        <w:rPr>
          <w:rFonts w:ascii="Times New Roman" w:hAnsi="Times New Roman"/>
          <w:bCs/>
          <w:color w:val="auto"/>
          <w:sz w:val="24"/>
          <w:szCs w:val="24"/>
        </w:rPr>
      </w:pPr>
      <w:r>
        <w:rPr>
          <w:rFonts w:hint="eastAsia" w:ascii="Times New Roman" w:hAnsi="Times New Roman"/>
          <w:bCs/>
          <w:color w:val="auto"/>
          <w:sz w:val="24"/>
          <w:szCs w:val="24"/>
        </w:rPr>
        <w:t>▲</w:t>
      </w:r>
      <w:r>
        <w:rPr>
          <w:rFonts w:ascii="Times New Roman" w:hAnsi="Times New Roman"/>
          <w:bCs/>
          <w:color w:val="auto"/>
          <w:sz w:val="24"/>
          <w:szCs w:val="24"/>
        </w:rPr>
        <w:t>有效像素：≥800万；</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光学变焦：≥20倍；</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输出分辨率：4K高清；</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视频输出接口：≥2个高清数字视频接口，1路SDI、1路HDMI；</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控制接口：支持IP\RS232\RS422控制协议；</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预置位：≥100个；</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水平广角：≥70度；</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配置原装必要配件（红外遥控器、电源适配器等）；</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安装方式：正装、侧装、吊装。</w:t>
      </w:r>
    </w:p>
    <w:p>
      <w:pPr>
        <w:pStyle w:val="83"/>
        <w:numPr>
          <w:ilvl w:val="0"/>
          <w:numId w:val="114"/>
        </w:numPr>
        <w:rPr>
          <w:rFonts w:ascii="Times New Roman" w:hAnsi="Times New Roman"/>
          <w:bCs/>
          <w:color w:val="auto"/>
          <w:sz w:val="24"/>
          <w:szCs w:val="24"/>
        </w:rPr>
      </w:pPr>
      <w:r>
        <w:rPr>
          <w:rFonts w:ascii="Times New Roman" w:hAnsi="Times New Roman"/>
          <w:bCs/>
          <w:color w:val="auto"/>
          <w:sz w:val="24"/>
          <w:szCs w:val="24"/>
        </w:rPr>
        <w:t>成像元器件（CMOS）与整机为同一品牌，提供广电机构检测报告。</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显示</w:t>
      </w:r>
      <w:r>
        <w:rPr>
          <w:rFonts w:hint="eastAsia" w:ascii="Times New Roman" w:hAnsi="Times New Roman"/>
          <w:color w:val="auto"/>
          <w:sz w:val="24"/>
          <w:szCs w:val="24"/>
        </w:rPr>
        <w:t>屏</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屏幕尺寸：参考55/65/75/85</w:t>
      </w:r>
      <w:r>
        <w:rPr>
          <w:rFonts w:hint="eastAsia" w:ascii="Times New Roman" w:hAnsi="Times New Roman"/>
          <w:bCs/>
          <w:color w:val="auto"/>
          <w:sz w:val="24"/>
          <w:szCs w:val="24"/>
        </w:rPr>
        <w:t>/110</w:t>
      </w:r>
      <w:r>
        <w:rPr>
          <w:rFonts w:ascii="Times New Roman" w:hAnsi="Times New Roman"/>
          <w:bCs/>
          <w:color w:val="auto"/>
          <w:sz w:val="24"/>
          <w:szCs w:val="24"/>
        </w:rPr>
        <w:t>英寸；带推车/落地支架/壁挂支架</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屏幕比例：16:9；</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背光灯类型：LED；</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分辨率：</w:t>
      </w:r>
      <w:r>
        <w:rPr>
          <w:rFonts w:hint="eastAsia" w:ascii="Times New Roman" w:hAnsi="Times New Roman"/>
          <w:bCs/>
          <w:color w:val="auto"/>
          <w:sz w:val="24"/>
          <w:szCs w:val="24"/>
          <w:lang w:val="en-US" w:eastAsia="zh-CN"/>
        </w:rPr>
        <w:t>3840</w:t>
      </w:r>
      <w:r>
        <w:rPr>
          <w:rFonts w:ascii="Times New Roman" w:hAnsi="Times New Roman"/>
          <w:bCs/>
          <w:color w:val="auto"/>
          <w:sz w:val="24"/>
          <w:szCs w:val="24"/>
        </w:rPr>
        <w:t>×</w:t>
      </w:r>
      <w:r>
        <w:rPr>
          <w:rFonts w:hint="eastAsia" w:ascii="Times New Roman" w:hAnsi="Times New Roman"/>
          <w:bCs/>
          <w:color w:val="auto"/>
          <w:sz w:val="24"/>
          <w:szCs w:val="24"/>
          <w:lang w:val="en-US" w:eastAsia="zh-CN"/>
        </w:rPr>
        <w:t>2160，4K</w:t>
      </w:r>
      <w:r>
        <w:rPr>
          <w:rFonts w:ascii="Times New Roman" w:hAnsi="Times New Roman"/>
          <w:bCs/>
          <w:color w:val="auto"/>
          <w:sz w:val="24"/>
          <w:szCs w:val="24"/>
        </w:rPr>
        <w:t>；</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输入端口：HDMI接口</w:t>
      </w:r>
      <w:r>
        <w:rPr>
          <w:rFonts w:hint="eastAsia" w:ascii="Times New Roman" w:hAnsi="Times New Roman"/>
          <w:bCs/>
          <w:color w:val="auto"/>
          <w:sz w:val="24"/>
          <w:szCs w:val="24"/>
          <w:lang w:eastAsia="zh-CN"/>
        </w:rPr>
        <w:t>，</w:t>
      </w:r>
      <w:r>
        <w:rPr>
          <w:rFonts w:ascii="Times New Roman" w:hAnsi="Times New Roman"/>
          <w:bCs/>
          <w:color w:val="auto"/>
          <w:sz w:val="24"/>
          <w:szCs w:val="24"/>
        </w:rPr>
        <w:t>AV接口,分量视频接口,USB接口,RF射频端子；</w:t>
      </w:r>
    </w:p>
    <w:p>
      <w:pPr>
        <w:pStyle w:val="83"/>
        <w:numPr>
          <w:ilvl w:val="0"/>
          <w:numId w:val="115"/>
        </w:numPr>
        <w:rPr>
          <w:rFonts w:ascii="Times New Roman" w:hAnsi="Times New Roman"/>
          <w:bCs/>
          <w:color w:val="auto"/>
          <w:sz w:val="24"/>
          <w:szCs w:val="24"/>
        </w:rPr>
      </w:pPr>
      <w:r>
        <w:rPr>
          <w:rFonts w:ascii="Times New Roman" w:hAnsi="Times New Roman"/>
          <w:bCs/>
          <w:color w:val="auto"/>
          <w:sz w:val="24"/>
          <w:szCs w:val="24"/>
        </w:rPr>
        <w:t>配件：含安装支架，带推车/落地支架/壁挂支架，结合现场情况提供。</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LED显示屏</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像素点间距：≤P1.2级别；可根据产品实际规格调整；</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封装要求：COB封装工艺，全倒装。</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模组设计</w:t>
      </w:r>
      <w:r>
        <w:rPr>
          <w:rFonts w:hint="eastAsia" w:ascii="Times New Roman" w:hAnsi="Times New Roman"/>
          <w:bCs/>
          <w:color w:val="auto"/>
          <w:sz w:val="24"/>
          <w:szCs w:val="24"/>
          <w:lang w:eastAsia="zh-CN"/>
        </w:rPr>
        <w:t>：</w:t>
      </w:r>
      <w:r>
        <w:rPr>
          <w:rFonts w:ascii="Times New Roman" w:hAnsi="Times New Roman"/>
          <w:bCs/>
          <w:color w:val="auto"/>
          <w:sz w:val="24"/>
          <w:szCs w:val="24"/>
        </w:rPr>
        <w:t>采用共阴节能。</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箱体参考尺寸（mm）：600（W)×337.5(H)，可根据产品实际规格调整；</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箱体分辨率：480*270(H*V)，可根据产品实际规格调整；</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宽高比例：16:9；</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对比度≥20000：1，色温为3200K</w:t>
      </w:r>
      <w:r>
        <w:rPr>
          <w:rFonts w:hint="eastAsia" w:ascii="Times New Roman" w:hAnsi="Times New Roman"/>
          <w:bCs/>
          <w:color w:val="auto"/>
          <w:sz w:val="24"/>
          <w:szCs w:val="24"/>
          <w:lang w:val="en-US" w:eastAsia="zh-CN"/>
        </w:rPr>
        <w:t>—</w:t>
      </w:r>
      <w:r>
        <w:rPr>
          <w:rFonts w:ascii="Times New Roman" w:hAnsi="Times New Roman"/>
          <w:bCs/>
          <w:color w:val="auto"/>
          <w:sz w:val="24"/>
          <w:szCs w:val="24"/>
        </w:rPr>
        <w:t>9300K可调，刷新率≥3000HZ；</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箱体间隙/平整度：≤0.1mm；箱体/模组间相对错位值＜1%；</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水平视角≥160°，垂直视角≥160°；</w:t>
      </w:r>
    </w:p>
    <w:p>
      <w:pPr>
        <w:pStyle w:val="83"/>
        <w:numPr>
          <w:ilvl w:val="0"/>
          <w:numId w:val="116"/>
        </w:numPr>
        <w:rPr>
          <w:rFonts w:ascii="Times New Roman" w:hAnsi="Times New Roman"/>
          <w:color w:val="auto"/>
          <w:sz w:val="24"/>
          <w:szCs w:val="24"/>
        </w:rPr>
      </w:pPr>
      <w:r>
        <w:rPr>
          <w:rFonts w:ascii="Times New Roman" w:hAnsi="Times New Roman"/>
          <w:bCs/>
          <w:color w:val="auto"/>
          <w:sz w:val="24"/>
          <w:szCs w:val="24"/>
        </w:rPr>
        <w:t>LED屏的死灯率：≤2ppm；</w:t>
      </w:r>
    </w:p>
    <w:p>
      <w:pPr>
        <w:pStyle w:val="83"/>
        <w:numPr>
          <w:ilvl w:val="0"/>
          <w:numId w:val="116"/>
        </w:numPr>
        <w:rPr>
          <w:rFonts w:ascii="Times New Roman" w:hAnsi="Times New Roman"/>
          <w:color w:val="auto"/>
          <w:sz w:val="24"/>
          <w:szCs w:val="24"/>
        </w:rPr>
      </w:pPr>
      <w:r>
        <w:rPr>
          <w:rFonts w:ascii="Times New Roman" w:hAnsi="Times New Roman"/>
          <w:bCs/>
          <w:color w:val="auto"/>
          <w:sz w:val="24"/>
          <w:szCs w:val="24"/>
        </w:rPr>
        <w:t xml:space="preserve">箱体维护方式：前维护； </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箱体材料：箱体和后盖均为全压铸铝材质，全金属自然散热结构，无风扇，防尘、静音设计，防尘等级达IP5X；</w:t>
      </w:r>
    </w:p>
    <w:p>
      <w:pPr>
        <w:pStyle w:val="83"/>
        <w:numPr>
          <w:ilvl w:val="0"/>
          <w:numId w:val="116"/>
        </w:numPr>
        <w:rPr>
          <w:rFonts w:ascii="Times New Roman" w:hAnsi="Times New Roman"/>
          <w:bCs/>
          <w:color w:val="auto"/>
          <w:sz w:val="24"/>
          <w:szCs w:val="24"/>
        </w:rPr>
      </w:pPr>
      <w:r>
        <w:rPr>
          <w:rFonts w:hint="eastAsia" w:ascii="Times New Roman" w:hAnsi="Times New Roman"/>
          <w:bCs/>
          <w:color w:val="auto"/>
          <w:sz w:val="24"/>
          <w:szCs w:val="24"/>
        </w:rPr>
        <w:t>箱体压铸一体化设计，开关电源、转接卡、接收卡、模组分离式设计，COB模组超薄设计；</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驱动方式：恒流驱动；</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平均无故障时间（MTBF） ≥10万小时；</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支持连续工作时间（小时）7×24小时；</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系统防护功能：具有防阻燃抗火、防电磁干扰、防静电、防虫、抗雷击、防潮、抗风保护等功能；</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正面防护等级：IP65级；</w:t>
      </w:r>
    </w:p>
    <w:p>
      <w:pPr>
        <w:pStyle w:val="83"/>
        <w:numPr>
          <w:ilvl w:val="0"/>
          <w:numId w:val="116"/>
        </w:numPr>
        <w:rPr>
          <w:rFonts w:ascii="Times New Roman" w:hAnsi="Times New Roman"/>
          <w:bCs/>
          <w:color w:val="auto"/>
          <w:sz w:val="24"/>
          <w:szCs w:val="24"/>
        </w:rPr>
      </w:pPr>
      <w:r>
        <w:rPr>
          <w:rFonts w:ascii="Times New Roman" w:hAnsi="Times New Roman"/>
          <w:bCs/>
          <w:color w:val="auto"/>
          <w:sz w:val="24"/>
          <w:szCs w:val="24"/>
        </w:rPr>
        <w:t>大屏显示系统负责整体交付，含大屏支架安装、接收卡、发送器、PLC配电箱、强电输入输出线缆、输入输出弱电线缆、信号线等，设备安装调试，并配合装修完成收边。同时配合视频矩阵信号接入，实现系统呈现。</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拼控处理器</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19</w:t>
      </w:r>
      <w:r>
        <w:rPr>
          <w:rFonts w:hint="eastAsia" w:ascii="Times New Roman" w:hAnsi="Times New Roman"/>
          <w:bCs/>
          <w:color w:val="auto"/>
          <w:sz w:val="24"/>
          <w:szCs w:val="24"/>
          <w:lang w:eastAsia="zh-CN"/>
        </w:rPr>
        <w:t>”</w:t>
      </w:r>
      <w:r>
        <w:rPr>
          <w:rFonts w:ascii="Times New Roman" w:hAnsi="Times New Roman"/>
          <w:bCs/>
          <w:color w:val="auto"/>
          <w:sz w:val="24"/>
          <w:szCs w:val="24"/>
        </w:rPr>
        <w:t>机架式，机箱容量不少于16进16出，支持双电源。</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采用插卡式结构，支持输入输出卡热插拔，支持4K。</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 xml:space="preserve">输入端口：≥8路HDMI; </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输出端口：≥8路HDM</w:t>
      </w:r>
      <w:r>
        <w:rPr>
          <w:rFonts w:hint="eastAsia" w:ascii="Times New Roman" w:hAnsi="Times New Roman"/>
          <w:bCs/>
          <w:color w:val="auto"/>
          <w:sz w:val="24"/>
          <w:szCs w:val="24"/>
        </w:rPr>
        <w:t>I</w:t>
      </w:r>
      <w:r>
        <w:rPr>
          <w:rFonts w:ascii="Times New Roman" w:hAnsi="Times New Roman"/>
          <w:bCs/>
          <w:color w:val="auto"/>
          <w:sz w:val="24"/>
          <w:szCs w:val="24"/>
        </w:rPr>
        <w:t>；</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支持通过上位机软件实现对显示屏的连接，控制，包括：输入源切换，窗口位置及大小调节，分辨率自定义等；</w:t>
      </w:r>
    </w:p>
    <w:p>
      <w:pPr>
        <w:pStyle w:val="83"/>
        <w:numPr>
          <w:ilvl w:val="0"/>
          <w:numId w:val="117"/>
        </w:numPr>
        <w:rPr>
          <w:rFonts w:ascii="Times New Roman" w:hAnsi="Times New Roman"/>
          <w:bCs/>
          <w:color w:val="auto"/>
          <w:sz w:val="24"/>
          <w:szCs w:val="24"/>
        </w:rPr>
      </w:pPr>
      <w:r>
        <w:rPr>
          <w:rFonts w:ascii="Times New Roman" w:hAnsi="Times New Roman"/>
          <w:bCs/>
          <w:color w:val="auto"/>
          <w:sz w:val="24"/>
          <w:szCs w:val="24"/>
        </w:rPr>
        <w:t>支持多用户模式设置，满足不同角色对显示屏的分权管理；</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高清视频切换矩阵</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配置32*32/24*24/16*16路全60帧信号处理,支持矩阵板卡卡槽混插功能，4K分辨率信号输入；</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支持CVBS、YPbPr、VGA、RGBHV、DVI-I/DVI-D、HDMI、DP、3G-SDI</w:t>
      </w:r>
      <w:r>
        <w:rPr>
          <w:rFonts w:hint="eastAsia" w:ascii="Times New Roman" w:hAnsi="Times New Roman"/>
          <w:bCs/>
          <w:color w:val="auto"/>
          <w:sz w:val="24"/>
          <w:szCs w:val="24"/>
          <w:lang w:eastAsia="zh-CN"/>
        </w:rPr>
        <w:t>、</w:t>
      </w:r>
      <w:r>
        <w:rPr>
          <w:rFonts w:ascii="Times New Roman" w:hAnsi="Times New Roman"/>
          <w:bCs/>
          <w:color w:val="auto"/>
          <w:sz w:val="24"/>
          <w:szCs w:val="24"/>
        </w:rPr>
        <w:t>SD-SDI</w:t>
      </w:r>
      <w:r>
        <w:rPr>
          <w:rFonts w:hint="eastAsia" w:ascii="Times New Roman" w:hAnsi="Times New Roman"/>
          <w:bCs/>
          <w:color w:val="auto"/>
          <w:sz w:val="24"/>
          <w:szCs w:val="24"/>
          <w:lang w:eastAsia="zh-CN"/>
        </w:rPr>
        <w:t>、</w:t>
      </w:r>
      <w:r>
        <w:rPr>
          <w:rFonts w:ascii="Times New Roman" w:hAnsi="Times New Roman"/>
          <w:bCs/>
          <w:color w:val="auto"/>
          <w:sz w:val="24"/>
          <w:szCs w:val="24"/>
        </w:rPr>
        <w:t>HD-SDI、IP(H.264)、IP(H.265)、HDBaseT、FIBER光纤、KVM光纤等2K视频信号的切换，支持HDMI2.0、HDMI1.4、HDBaseT-4K、DisplayPort1.2、FIBER-4K光纤等超高清4K视频信号的输入采集；</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支持1主1备双电源模块。有电源指示灯、输入输出板卡有信号源在线监测指示灯；</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支持板卡热插拔功能，输入板卡热插拔恢复时间＜5s，输出板卡热插拔恢复时间＜5s；</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支持前面板触摸屏显示设备ip地址和设备型号等信息，通过前面板触摸屏可以实现对矩阵进行信号切换及对矩阵板卡运行状态进行实时监测；</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信号无缝切换时间≤8ms；</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支持在线监测功能，通过扁平化图形化显示；支持故障报警功能，如：板卡、电源、风扇出现故障；</w:t>
      </w:r>
    </w:p>
    <w:p>
      <w:pPr>
        <w:pStyle w:val="83"/>
        <w:numPr>
          <w:ilvl w:val="0"/>
          <w:numId w:val="118"/>
        </w:numPr>
        <w:rPr>
          <w:rFonts w:ascii="Times New Roman" w:hAnsi="Times New Roman"/>
          <w:bCs/>
          <w:color w:val="auto"/>
          <w:sz w:val="24"/>
          <w:szCs w:val="24"/>
        </w:rPr>
      </w:pPr>
      <w:r>
        <w:rPr>
          <w:rFonts w:hint="eastAsia" w:ascii="Times New Roman" w:hAnsi="Times New Roman"/>
          <w:bCs/>
          <w:color w:val="auto"/>
          <w:sz w:val="24"/>
          <w:szCs w:val="24"/>
        </w:rPr>
        <w:t>设备支持按键、开关等控制结构操作灵活可靠、零部件应紧固无松动。</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支持连续工作时间（小时）7×24小时</w:t>
      </w:r>
      <w:r>
        <w:rPr>
          <w:rFonts w:hint="eastAsia" w:ascii="Times New Roman" w:hAnsi="Times New Roman"/>
          <w:bCs/>
          <w:color w:val="auto"/>
          <w:sz w:val="24"/>
          <w:szCs w:val="24"/>
        </w:rPr>
        <w:t>。</w:t>
      </w:r>
    </w:p>
    <w:p>
      <w:pPr>
        <w:pStyle w:val="83"/>
        <w:numPr>
          <w:ilvl w:val="0"/>
          <w:numId w:val="118"/>
        </w:numPr>
        <w:rPr>
          <w:rFonts w:ascii="Times New Roman" w:hAnsi="Times New Roman"/>
          <w:bCs/>
          <w:color w:val="auto"/>
          <w:sz w:val="24"/>
          <w:szCs w:val="24"/>
        </w:rPr>
      </w:pPr>
      <w:r>
        <w:rPr>
          <w:rFonts w:hint="eastAsia" w:ascii="Times New Roman" w:hAnsi="Times New Roman"/>
          <w:bCs/>
          <w:color w:val="auto"/>
          <w:sz w:val="24"/>
          <w:szCs w:val="24"/>
        </w:rPr>
        <w:t>支持主机面板切换、电脑控制切换多种切换方式，保证切换无延时。</w:t>
      </w:r>
    </w:p>
    <w:p>
      <w:pPr>
        <w:pStyle w:val="83"/>
        <w:numPr>
          <w:ilvl w:val="0"/>
          <w:numId w:val="118"/>
        </w:numPr>
        <w:rPr>
          <w:rFonts w:ascii="Times New Roman" w:hAnsi="Times New Roman"/>
          <w:bCs/>
          <w:color w:val="auto"/>
          <w:sz w:val="24"/>
          <w:szCs w:val="24"/>
        </w:rPr>
      </w:pPr>
      <w:r>
        <w:rPr>
          <w:rFonts w:ascii="Times New Roman" w:hAnsi="Times New Roman"/>
          <w:bCs/>
          <w:color w:val="auto"/>
          <w:sz w:val="24"/>
          <w:szCs w:val="24"/>
        </w:rPr>
        <w:t>输入板卡根据业务需求灵活选择，支持HDMI</w:t>
      </w:r>
      <w:r>
        <w:rPr>
          <w:rFonts w:hint="eastAsia" w:ascii="Times New Roman" w:hAnsi="Times New Roman"/>
          <w:bCs/>
          <w:color w:val="auto"/>
          <w:sz w:val="24"/>
          <w:szCs w:val="24"/>
          <w:lang w:eastAsia="zh-CN"/>
        </w:rPr>
        <w:t>、</w:t>
      </w:r>
      <w:r>
        <w:rPr>
          <w:rFonts w:ascii="Times New Roman" w:hAnsi="Times New Roman"/>
          <w:bCs/>
          <w:color w:val="auto"/>
          <w:sz w:val="24"/>
          <w:szCs w:val="24"/>
        </w:rPr>
        <w:t>SDI</w:t>
      </w:r>
      <w:r>
        <w:rPr>
          <w:rFonts w:hint="eastAsia" w:ascii="Times New Roman" w:hAnsi="Times New Roman"/>
          <w:bCs/>
          <w:color w:val="auto"/>
          <w:sz w:val="24"/>
          <w:szCs w:val="24"/>
          <w:lang w:eastAsia="zh-CN"/>
        </w:rPr>
        <w:t>、</w:t>
      </w:r>
      <w:r>
        <w:rPr>
          <w:rFonts w:ascii="Times New Roman" w:hAnsi="Times New Roman"/>
          <w:bCs/>
          <w:color w:val="auto"/>
          <w:sz w:val="24"/>
          <w:szCs w:val="24"/>
        </w:rPr>
        <w:t>VGA</w:t>
      </w:r>
      <w:r>
        <w:rPr>
          <w:rFonts w:hint="eastAsia" w:ascii="Times New Roman" w:hAnsi="Times New Roman"/>
          <w:bCs/>
          <w:color w:val="auto"/>
          <w:sz w:val="24"/>
          <w:szCs w:val="24"/>
          <w:lang w:eastAsia="zh-CN"/>
        </w:rPr>
        <w:t>、</w:t>
      </w:r>
      <w:r>
        <w:rPr>
          <w:rFonts w:ascii="Times New Roman" w:hAnsi="Times New Roman"/>
          <w:bCs/>
          <w:color w:val="auto"/>
          <w:sz w:val="24"/>
          <w:szCs w:val="24"/>
        </w:rPr>
        <w:t>DP</w:t>
      </w:r>
      <w:r>
        <w:rPr>
          <w:rFonts w:hint="eastAsia" w:ascii="Times New Roman" w:hAnsi="Times New Roman"/>
          <w:bCs/>
          <w:color w:val="auto"/>
          <w:sz w:val="24"/>
          <w:szCs w:val="24"/>
          <w:lang w:eastAsia="zh-CN"/>
        </w:rPr>
        <w:t>、</w:t>
      </w:r>
      <w:r>
        <w:rPr>
          <w:rFonts w:ascii="Times New Roman" w:hAnsi="Times New Roman"/>
          <w:bCs/>
          <w:color w:val="auto"/>
          <w:sz w:val="24"/>
          <w:szCs w:val="24"/>
        </w:rPr>
        <w:t>DVI等，支持混插。</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中控主机</w:t>
      </w:r>
    </w:p>
    <w:p>
      <w:pPr>
        <w:pStyle w:val="83"/>
        <w:numPr>
          <w:ilvl w:val="0"/>
          <w:numId w:val="119"/>
        </w:numPr>
        <w:rPr>
          <w:rFonts w:ascii="Times New Roman" w:hAnsi="Times New Roman"/>
          <w:bCs/>
          <w:color w:val="auto"/>
          <w:sz w:val="24"/>
          <w:szCs w:val="24"/>
        </w:rPr>
      </w:pPr>
      <w:r>
        <w:rPr>
          <w:rFonts w:ascii="Times New Roman" w:hAnsi="Times New Roman"/>
          <w:bCs/>
          <w:color w:val="auto"/>
          <w:sz w:val="24"/>
          <w:szCs w:val="24"/>
        </w:rPr>
        <w:t>嵌入式硬件架构，不低于64位内嵌式处理器，内存≥2G。所涉及的处理器、内存等应满足</w:t>
      </w:r>
      <w:r>
        <w:rPr>
          <w:rFonts w:hint="eastAsia" w:ascii="Times New Roman" w:hAnsi="Times New Roman"/>
          <w:bCs/>
          <w:color w:val="auto"/>
          <w:sz w:val="24"/>
          <w:szCs w:val="24"/>
          <w:lang w:val="en-US" w:eastAsia="zh-CN"/>
        </w:rPr>
        <w:t>自主可控</w:t>
      </w:r>
      <w:r>
        <w:rPr>
          <w:rFonts w:ascii="Times New Roman" w:hAnsi="Times New Roman"/>
          <w:bCs/>
          <w:color w:val="auto"/>
          <w:sz w:val="24"/>
          <w:szCs w:val="24"/>
        </w:rPr>
        <w:t>芯片与集成电路要求。</w:t>
      </w:r>
    </w:p>
    <w:p>
      <w:pPr>
        <w:pStyle w:val="83"/>
        <w:numPr>
          <w:ilvl w:val="0"/>
          <w:numId w:val="119"/>
        </w:numPr>
        <w:rPr>
          <w:rFonts w:ascii="Times New Roman" w:hAnsi="Times New Roman"/>
          <w:bCs/>
          <w:color w:val="auto"/>
          <w:sz w:val="24"/>
          <w:szCs w:val="24"/>
        </w:rPr>
      </w:pPr>
      <w:r>
        <w:rPr>
          <w:rFonts w:ascii="Times New Roman" w:hAnsi="Times New Roman"/>
          <w:bCs/>
          <w:color w:val="auto"/>
          <w:sz w:val="24"/>
          <w:szCs w:val="24"/>
        </w:rPr>
        <w:t>主机接口：≥8个串口、≥8个IR红外接口、≥8个I/O接口、≥8个弱电继电器接口。</w:t>
      </w:r>
    </w:p>
    <w:p>
      <w:pPr>
        <w:pStyle w:val="83"/>
        <w:numPr>
          <w:ilvl w:val="0"/>
          <w:numId w:val="119"/>
        </w:numPr>
        <w:rPr>
          <w:rFonts w:ascii="Times New Roman" w:hAnsi="Times New Roman"/>
          <w:bCs/>
          <w:color w:val="auto"/>
          <w:sz w:val="24"/>
          <w:szCs w:val="24"/>
        </w:rPr>
      </w:pPr>
      <w:r>
        <w:rPr>
          <w:rFonts w:ascii="Times New Roman" w:hAnsi="Times New Roman"/>
          <w:bCs/>
          <w:color w:val="auto"/>
          <w:sz w:val="24"/>
          <w:szCs w:val="24"/>
        </w:rPr>
        <w:t>主机网口：支持1000/100/10M双网口，支持IPV4、IPV6，网络协议支持TCP、UDP、HTTP协议。</w:t>
      </w:r>
    </w:p>
    <w:p>
      <w:pPr>
        <w:pStyle w:val="83"/>
        <w:numPr>
          <w:ilvl w:val="0"/>
          <w:numId w:val="119"/>
        </w:numPr>
        <w:rPr>
          <w:rFonts w:ascii="Times New Roman" w:hAnsi="Times New Roman"/>
          <w:bCs/>
          <w:color w:val="auto"/>
          <w:sz w:val="24"/>
          <w:szCs w:val="24"/>
        </w:rPr>
      </w:pPr>
      <w:r>
        <w:rPr>
          <w:rFonts w:hint="eastAsia" w:ascii="Times New Roman" w:hAnsi="Times New Roman"/>
          <w:bCs/>
          <w:color w:val="auto"/>
          <w:sz w:val="24"/>
          <w:szCs w:val="24"/>
        </w:rPr>
        <w:t>支持设备主备切换，具备故障自动切换功能，以保障平台的持续稳定运行。</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中控软件</w:t>
      </w:r>
    </w:p>
    <w:p>
      <w:pPr>
        <w:pStyle w:val="83"/>
        <w:numPr>
          <w:ilvl w:val="0"/>
          <w:numId w:val="120"/>
        </w:numPr>
        <w:rPr>
          <w:rFonts w:ascii="Times New Roman" w:hAnsi="Times New Roman"/>
          <w:bCs/>
          <w:color w:val="auto"/>
          <w:sz w:val="24"/>
          <w:szCs w:val="24"/>
        </w:rPr>
      </w:pPr>
      <w:r>
        <w:rPr>
          <w:rFonts w:ascii="Times New Roman" w:hAnsi="Times New Roman"/>
          <w:bCs/>
          <w:color w:val="auto"/>
          <w:sz w:val="24"/>
          <w:szCs w:val="24"/>
        </w:rPr>
        <w:t>支持UI人机交互界面设计编程和控制逻辑编程功能，支持用户自定义编程设置任何控制协议，支持添加和管理外设功能组件。</w:t>
      </w:r>
    </w:p>
    <w:p>
      <w:pPr>
        <w:pStyle w:val="83"/>
        <w:numPr>
          <w:ilvl w:val="0"/>
          <w:numId w:val="120"/>
        </w:numPr>
        <w:rPr>
          <w:rFonts w:ascii="Times New Roman" w:hAnsi="Times New Roman"/>
          <w:bCs/>
          <w:color w:val="auto"/>
          <w:sz w:val="24"/>
          <w:szCs w:val="24"/>
        </w:rPr>
      </w:pPr>
      <w:r>
        <w:rPr>
          <w:rFonts w:ascii="Times New Roman" w:hAnsi="Times New Roman"/>
          <w:bCs/>
          <w:color w:val="auto"/>
          <w:sz w:val="24"/>
          <w:szCs w:val="24"/>
        </w:rPr>
        <w:t>支持添加和管控多种设备，支持视频设备、音频设备、环境设备管理、IPC、IP电源控制器，对设备进行统一集中管控。</w:t>
      </w:r>
    </w:p>
    <w:p>
      <w:pPr>
        <w:pStyle w:val="83"/>
        <w:numPr>
          <w:ilvl w:val="0"/>
          <w:numId w:val="120"/>
        </w:numPr>
        <w:rPr>
          <w:rFonts w:ascii="Times New Roman" w:hAnsi="Times New Roman"/>
          <w:bCs/>
          <w:color w:val="auto"/>
          <w:sz w:val="24"/>
          <w:szCs w:val="24"/>
        </w:rPr>
      </w:pPr>
      <w:r>
        <w:rPr>
          <w:rFonts w:ascii="Times New Roman" w:hAnsi="Times New Roman"/>
          <w:bCs/>
          <w:color w:val="auto"/>
          <w:sz w:val="24"/>
          <w:szCs w:val="24"/>
        </w:rPr>
        <w:t>支持摄像机云台控制，可实时监看摄像机信号；</w:t>
      </w:r>
    </w:p>
    <w:p>
      <w:pPr>
        <w:pStyle w:val="83"/>
        <w:numPr>
          <w:ilvl w:val="0"/>
          <w:numId w:val="120"/>
        </w:numPr>
        <w:rPr>
          <w:rFonts w:ascii="Times New Roman" w:hAnsi="Times New Roman"/>
          <w:bCs/>
          <w:color w:val="auto"/>
          <w:sz w:val="24"/>
          <w:szCs w:val="24"/>
        </w:rPr>
      </w:pPr>
      <w:r>
        <w:rPr>
          <w:rFonts w:ascii="Times New Roman" w:hAnsi="Times New Roman"/>
          <w:bCs/>
          <w:color w:val="auto"/>
          <w:sz w:val="24"/>
          <w:szCs w:val="24"/>
        </w:rPr>
        <w:t>支持对前端设备的动作进行遥控，包括摄像机方向控制、变倍调焦控制、保存调用预置位等功能。</w:t>
      </w:r>
    </w:p>
    <w:p>
      <w:pPr>
        <w:pStyle w:val="83"/>
        <w:numPr>
          <w:ilvl w:val="0"/>
          <w:numId w:val="120"/>
        </w:numPr>
        <w:rPr>
          <w:rFonts w:ascii="Times New Roman" w:hAnsi="Times New Roman"/>
          <w:bCs/>
          <w:color w:val="auto"/>
          <w:sz w:val="24"/>
          <w:szCs w:val="24"/>
        </w:rPr>
      </w:pPr>
      <w:r>
        <w:rPr>
          <w:rFonts w:ascii="Times New Roman" w:hAnsi="Times New Roman"/>
          <w:bCs/>
          <w:color w:val="auto"/>
          <w:sz w:val="24"/>
          <w:szCs w:val="24"/>
        </w:rPr>
        <w:t>可视化音频控制，可以控制音量大小、切换静音模式、音频通道切换、实时声压大小展示、预案保存与调用。</w:t>
      </w:r>
    </w:p>
    <w:p>
      <w:pPr>
        <w:pStyle w:val="83"/>
        <w:numPr>
          <w:ilvl w:val="0"/>
          <w:numId w:val="120"/>
        </w:numPr>
        <w:rPr>
          <w:rFonts w:ascii="Times New Roman" w:hAnsi="Times New Roman"/>
          <w:bCs/>
          <w:color w:val="auto"/>
          <w:sz w:val="24"/>
          <w:szCs w:val="24"/>
        </w:rPr>
      </w:pPr>
      <w:r>
        <w:rPr>
          <w:rFonts w:ascii="Times New Roman" w:hAnsi="Times New Roman"/>
          <w:color w:val="auto"/>
          <w:sz w:val="24"/>
          <w:szCs w:val="24"/>
        </w:rPr>
        <w:t>▲</w:t>
      </w:r>
      <w:r>
        <w:rPr>
          <w:rFonts w:ascii="Times New Roman" w:hAnsi="Times New Roman"/>
          <w:bCs/>
          <w:color w:val="auto"/>
          <w:sz w:val="24"/>
          <w:szCs w:val="24"/>
        </w:rPr>
        <w:t>支持B/S端编程和操控，支持</w:t>
      </w:r>
      <w:r>
        <w:rPr>
          <w:rFonts w:hint="eastAsia" w:ascii="Times New Roman" w:hAnsi="Times New Roman"/>
          <w:bCs/>
          <w:color w:val="auto"/>
          <w:sz w:val="24"/>
          <w:szCs w:val="24"/>
          <w:lang w:val="en-US" w:eastAsia="zh-CN"/>
        </w:rPr>
        <w:t>自主可控</w:t>
      </w:r>
      <w:r>
        <w:rPr>
          <w:rFonts w:ascii="Times New Roman" w:hAnsi="Times New Roman"/>
          <w:bCs/>
          <w:color w:val="auto"/>
          <w:sz w:val="24"/>
          <w:szCs w:val="24"/>
        </w:rPr>
        <w:t>系统操控和管理。</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无线触摸屏(含开发协议费)</w:t>
      </w:r>
    </w:p>
    <w:p>
      <w:pPr>
        <w:pStyle w:val="83"/>
        <w:numPr>
          <w:ilvl w:val="0"/>
          <w:numId w:val="121"/>
        </w:numPr>
        <w:rPr>
          <w:rFonts w:ascii="Times New Roman" w:hAnsi="Times New Roman"/>
          <w:bCs/>
          <w:color w:val="auto"/>
          <w:sz w:val="24"/>
          <w:szCs w:val="24"/>
        </w:rPr>
      </w:pPr>
      <w:r>
        <w:rPr>
          <w:rFonts w:ascii="Times New Roman" w:hAnsi="Times New Roman"/>
          <w:bCs/>
          <w:color w:val="auto"/>
          <w:sz w:val="24"/>
          <w:szCs w:val="24"/>
        </w:rPr>
        <w:t>电容触摸屏，支持多点触控；</w:t>
      </w:r>
    </w:p>
    <w:p>
      <w:pPr>
        <w:pStyle w:val="83"/>
        <w:numPr>
          <w:ilvl w:val="0"/>
          <w:numId w:val="121"/>
        </w:numPr>
        <w:rPr>
          <w:rFonts w:ascii="Times New Roman" w:hAnsi="Times New Roman"/>
          <w:bCs/>
          <w:color w:val="auto"/>
          <w:sz w:val="24"/>
          <w:szCs w:val="24"/>
        </w:rPr>
      </w:pPr>
      <w:r>
        <w:rPr>
          <w:rFonts w:ascii="Times New Roman" w:hAnsi="Times New Roman"/>
          <w:bCs/>
          <w:color w:val="auto"/>
          <w:sz w:val="24"/>
          <w:szCs w:val="24"/>
        </w:rPr>
        <w:t>屏幕尺寸：≥10寸；</w:t>
      </w:r>
    </w:p>
    <w:p>
      <w:pPr>
        <w:pStyle w:val="83"/>
        <w:numPr>
          <w:ilvl w:val="0"/>
          <w:numId w:val="121"/>
        </w:numPr>
        <w:rPr>
          <w:rFonts w:ascii="Times New Roman" w:hAnsi="Times New Roman"/>
          <w:bCs/>
          <w:color w:val="auto"/>
          <w:sz w:val="24"/>
          <w:szCs w:val="24"/>
        </w:rPr>
      </w:pPr>
      <w:r>
        <w:rPr>
          <w:rFonts w:ascii="Times New Roman" w:hAnsi="Times New Roman"/>
          <w:bCs/>
          <w:color w:val="auto"/>
          <w:sz w:val="24"/>
          <w:szCs w:val="24"/>
        </w:rPr>
        <w:t>内存：≥64G；</w:t>
      </w:r>
    </w:p>
    <w:p>
      <w:pPr>
        <w:pStyle w:val="83"/>
        <w:numPr>
          <w:ilvl w:val="0"/>
          <w:numId w:val="121"/>
        </w:numPr>
        <w:rPr>
          <w:rFonts w:ascii="Times New Roman" w:hAnsi="Times New Roman"/>
          <w:bCs/>
          <w:color w:val="auto"/>
          <w:sz w:val="24"/>
          <w:szCs w:val="24"/>
        </w:rPr>
      </w:pPr>
      <w:r>
        <w:rPr>
          <w:rFonts w:ascii="Times New Roman" w:hAnsi="Times New Roman"/>
          <w:bCs/>
          <w:color w:val="auto"/>
          <w:sz w:val="24"/>
          <w:szCs w:val="24"/>
        </w:rPr>
        <w:t>包含控制软件二次开发授权；</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无线路由器</w:t>
      </w:r>
    </w:p>
    <w:p>
      <w:pPr>
        <w:pStyle w:val="83"/>
        <w:widowControl/>
        <w:numPr>
          <w:ilvl w:val="0"/>
          <w:numId w:val="122"/>
        </w:numPr>
        <w:jc w:val="left"/>
        <w:rPr>
          <w:rFonts w:ascii="Times New Roman" w:hAnsi="Times New Roman"/>
          <w:bCs/>
          <w:color w:val="auto"/>
          <w:sz w:val="24"/>
          <w:szCs w:val="24"/>
        </w:rPr>
      </w:pPr>
      <w:r>
        <w:rPr>
          <w:rFonts w:ascii="Times New Roman" w:hAnsi="Times New Roman"/>
          <w:bCs/>
          <w:color w:val="auto"/>
          <w:sz w:val="24"/>
          <w:szCs w:val="24"/>
        </w:rPr>
        <w:t>支持IEEE 802.11a/b/g/n/ac无线协议，支持2.4GHz和5GHz频率；</w:t>
      </w:r>
    </w:p>
    <w:p>
      <w:pPr>
        <w:pStyle w:val="83"/>
        <w:widowControl/>
        <w:numPr>
          <w:ilvl w:val="0"/>
          <w:numId w:val="122"/>
        </w:numPr>
        <w:jc w:val="left"/>
        <w:rPr>
          <w:rFonts w:ascii="Times New Roman" w:hAnsi="Times New Roman"/>
          <w:bCs/>
          <w:color w:val="auto"/>
          <w:sz w:val="24"/>
          <w:szCs w:val="24"/>
        </w:rPr>
      </w:pPr>
      <w:r>
        <w:rPr>
          <w:rFonts w:ascii="Times New Roman" w:hAnsi="Times New Roman"/>
          <w:bCs/>
          <w:color w:val="auto"/>
          <w:sz w:val="24"/>
          <w:szCs w:val="24"/>
        </w:rPr>
        <w:t>支持不少于3个10/100Mbps速率自适应LAN口，≥1个10/100Mbps速率自适应WAN口；</w:t>
      </w:r>
    </w:p>
    <w:p>
      <w:pPr>
        <w:pStyle w:val="83"/>
        <w:widowControl/>
        <w:numPr>
          <w:ilvl w:val="0"/>
          <w:numId w:val="122"/>
        </w:numPr>
        <w:jc w:val="left"/>
        <w:rPr>
          <w:rFonts w:ascii="Times New Roman" w:hAnsi="Times New Roman"/>
          <w:bCs/>
          <w:color w:val="auto"/>
          <w:sz w:val="24"/>
          <w:szCs w:val="24"/>
        </w:rPr>
      </w:pPr>
      <w:r>
        <w:rPr>
          <w:rFonts w:ascii="Times New Roman" w:hAnsi="Times New Roman"/>
          <w:bCs/>
          <w:color w:val="auto"/>
          <w:sz w:val="24"/>
          <w:szCs w:val="24"/>
        </w:rPr>
        <w:t>支持网络安全协议。</w:t>
      </w:r>
    </w:p>
    <w:p>
      <w:pPr>
        <w:pStyle w:val="118"/>
        <w:numPr>
          <w:ilvl w:val="2"/>
          <w:numId w:val="25"/>
        </w:numPr>
        <w:spacing w:before="0" w:after="0"/>
        <w:rPr>
          <w:rFonts w:ascii="Times New Roman" w:hAnsi="Times New Roman"/>
          <w:color w:val="auto"/>
          <w:sz w:val="24"/>
          <w:szCs w:val="24"/>
        </w:rPr>
      </w:pPr>
      <w:r>
        <w:rPr>
          <w:rFonts w:ascii="Times New Roman" w:hAnsi="Times New Roman"/>
          <w:color w:val="auto"/>
          <w:sz w:val="24"/>
          <w:szCs w:val="24"/>
        </w:rPr>
        <w:t>录播一体机</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采用嵌入式设计，集录制、直播、导播管理、存储、视音频编码等功能于一体；设备高度≤2U，可保证7*24小时无故障工作；</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音视频输入接口：支持4路卡槽输入，单卡单路，</w:t>
      </w:r>
      <w:r>
        <w:rPr>
          <w:rFonts w:hint="eastAsia" w:ascii="Times New Roman" w:hAnsi="Times New Roman"/>
          <w:bCs/>
          <w:color w:val="auto"/>
          <w:sz w:val="24"/>
          <w:szCs w:val="24"/>
          <w:lang w:val="en-US" w:eastAsia="zh-CN"/>
        </w:rPr>
        <w:t>支持</w:t>
      </w:r>
      <w:r>
        <w:rPr>
          <w:rFonts w:ascii="Times New Roman" w:hAnsi="Times New Roman"/>
          <w:bCs/>
          <w:color w:val="auto"/>
          <w:sz w:val="24"/>
          <w:szCs w:val="24"/>
        </w:rPr>
        <w:t>HDMI</w:t>
      </w:r>
      <w:r>
        <w:rPr>
          <w:rFonts w:hint="eastAsia" w:ascii="Times New Roman" w:hAnsi="Times New Roman"/>
          <w:bCs/>
          <w:color w:val="auto"/>
          <w:sz w:val="24"/>
          <w:szCs w:val="24"/>
          <w:lang w:eastAsia="zh-CN"/>
        </w:rPr>
        <w:t>、</w:t>
      </w:r>
      <w:r>
        <w:rPr>
          <w:rFonts w:ascii="Times New Roman" w:hAnsi="Times New Roman"/>
          <w:bCs/>
          <w:color w:val="auto"/>
          <w:sz w:val="24"/>
          <w:szCs w:val="24"/>
        </w:rPr>
        <w:t>VGA</w:t>
      </w:r>
      <w:r>
        <w:rPr>
          <w:rFonts w:hint="eastAsia" w:ascii="Times New Roman" w:hAnsi="Times New Roman"/>
          <w:bCs/>
          <w:color w:val="auto"/>
          <w:sz w:val="24"/>
          <w:szCs w:val="24"/>
          <w:lang w:eastAsia="zh-CN"/>
        </w:rPr>
        <w:t>、</w:t>
      </w:r>
      <w:r>
        <w:rPr>
          <w:rFonts w:ascii="Times New Roman" w:hAnsi="Times New Roman"/>
          <w:bCs/>
          <w:color w:val="auto"/>
          <w:sz w:val="24"/>
          <w:szCs w:val="24"/>
        </w:rPr>
        <w:t>DVI</w:t>
      </w:r>
      <w:r>
        <w:rPr>
          <w:rFonts w:hint="eastAsia" w:ascii="Times New Roman" w:hAnsi="Times New Roman"/>
          <w:bCs/>
          <w:color w:val="auto"/>
          <w:sz w:val="24"/>
          <w:szCs w:val="24"/>
          <w:lang w:eastAsia="zh-CN"/>
        </w:rPr>
        <w:t>、</w:t>
      </w:r>
      <w:r>
        <w:rPr>
          <w:rFonts w:ascii="Times New Roman" w:hAnsi="Times New Roman"/>
          <w:bCs/>
          <w:color w:val="auto"/>
          <w:sz w:val="24"/>
          <w:szCs w:val="24"/>
        </w:rPr>
        <w:t>SDI 4种类型信号板卡；1路立体声凤凰接口，所有音视频采集部分与录播主机为一体式设计，非编码器加录播主机的分体式结构，所有视频输入信号直接输入到录播主机，不通过网络或其他设备，不再进行二次编码，以保证视频质量；</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视频输出接口：1路立体声凤凰接口音频输出，1路HDMI输出接口，可同时输出1路本地或远端会议室直播画面，无需添加视频终端即可实现不少于4个点的远程音视频互动，分辨率</w:t>
      </w:r>
      <w:r>
        <w:rPr>
          <w:rFonts w:hint="eastAsia" w:ascii="Times New Roman" w:hAnsi="Times New Roman"/>
          <w:bCs/>
          <w:color w:val="auto"/>
          <w:sz w:val="24"/>
          <w:szCs w:val="24"/>
          <w:lang w:val="en-US" w:eastAsia="zh-CN"/>
        </w:rPr>
        <w:t>不低于</w:t>
      </w:r>
      <w:r>
        <w:rPr>
          <w:rFonts w:ascii="Times New Roman" w:hAnsi="Times New Roman"/>
          <w:bCs/>
          <w:color w:val="auto"/>
          <w:sz w:val="24"/>
          <w:szCs w:val="24"/>
        </w:rPr>
        <w:t>1920*1080/60Hz；</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1路3Pin RS232对外控制接口，可对外进行扩展和中控发码控制录播主机；</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3个千兆网络接口，可方便调试，导播和远端会议室视频互动；</w:t>
      </w:r>
    </w:p>
    <w:p>
      <w:pPr>
        <w:pStyle w:val="83"/>
        <w:widowControl/>
        <w:numPr>
          <w:ilvl w:val="0"/>
          <w:numId w:val="123"/>
        </w:numPr>
        <w:jc w:val="left"/>
        <w:rPr>
          <w:rFonts w:ascii="Times New Roman" w:hAnsi="Times New Roman"/>
          <w:bCs/>
          <w:color w:val="auto"/>
          <w:sz w:val="24"/>
          <w:szCs w:val="24"/>
        </w:rPr>
      </w:pPr>
      <w:r>
        <w:rPr>
          <w:rFonts w:ascii="Times New Roman" w:hAnsi="Times New Roman"/>
          <w:bCs/>
          <w:color w:val="auto"/>
          <w:sz w:val="24"/>
          <w:szCs w:val="24"/>
        </w:rPr>
        <w:t>内置2T监控级硬盘，最大可支持扩容8T；</w:t>
      </w:r>
    </w:p>
    <w:p>
      <w:pPr>
        <w:pStyle w:val="118"/>
        <w:numPr>
          <w:ilvl w:val="2"/>
          <w:numId w:val="25"/>
        </w:numPr>
        <w:spacing w:before="0" w:after="0"/>
        <w:rPr>
          <w:rFonts w:ascii="Times New Roman" w:hAnsi="Times New Roman"/>
          <w:color w:val="auto"/>
          <w:sz w:val="24"/>
          <w:szCs w:val="24"/>
          <w:lang w:bidi="ar"/>
        </w:rPr>
      </w:pPr>
      <w:r>
        <w:rPr>
          <w:rFonts w:ascii="Times New Roman" w:hAnsi="Times New Roman"/>
          <w:color w:val="auto"/>
          <w:sz w:val="24"/>
          <w:szCs w:val="24"/>
          <w:lang w:bidi="ar"/>
        </w:rPr>
        <w:t>视频会议终端</w:t>
      </w:r>
    </w:p>
    <w:p>
      <w:pPr>
        <w:pStyle w:val="797"/>
        <w:ind w:firstLine="482"/>
        <w:rPr>
          <w:rFonts w:ascii="Times New Roman" w:hAnsi="Times New Roman"/>
          <w:b/>
          <w:bCs/>
          <w:color w:val="auto"/>
          <w:sz w:val="24"/>
          <w:lang w:bidi="ar"/>
        </w:rPr>
      </w:pPr>
      <w:r>
        <w:rPr>
          <w:rFonts w:hint="eastAsia" w:ascii="Times New Roman" w:hAnsi="Times New Roman"/>
          <w:b/>
          <w:bCs/>
          <w:color w:val="auto"/>
          <w:sz w:val="24"/>
          <w:lang w:bidi="ar"/>
        </w:rPr>
        <w:t>功能要求</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终端应支持SIP/H.323制式；</w:t>
      </w:r>
    </w:p>
    <w:p>
      <w:pPr>
        <w:pStyle w:val="797"/>
        <w:ind w:firstLine="480"/>
        <w:rPr>
          <w:rFonts w:ascii="Times New Roman" w:hAnsi="Times New Roman"/>
          <w:color w:val="auto"/>
          <w:sz w:val="24"/>
          <w:lang w:bidi="ar"/>
        </w:rPr>
      </w:pPr>
      <w:r>
        <w:rPr>
          <w:rFonts w:ascii="Times New Roman" w:hAnsi="Times New Roman"/>
          <w:color w:val="auto"/>
          <w:sz w:val="24"/>
          <w:lang w:bidi="ar"/>
        </w:rPr>
        <w:t>终端采用操作系统为嵌入式系统，应支持中文操作界面；</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终端应支持多种灵活的调试诊断机制；</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终端应支持Web方式远程配置管理，支持通过Web访问进行管理设置和诊断，支持本地软件升级和远程在线升级；</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终端应支持在各种线路方式下的故障诊断功能，包括图像、语音自环测试，以实现对故障的定位。应支持实时监测设备、信道状态，统计网络性能，包括会议速率、视音频实时传输速率、接收和发送丢包率等；</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终端应支持会议速率范围不小于384kbit/s－4096kbit/s；</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终端应支持网络容错功能，IP网络在丢包率不大于10%时，图象、语音保证正常显示，在不低于15分钟观察不出现马赛克、停滞等，质量主观评定优良；</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终端应支持地址本功能，提供IP地址、号码和别名呼叫功能；</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终端应支持多种会议应用模式，包括广播会场、观看会场、点名发言、自由讨论、声控会议、多画面会议等多种模式；</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终端应支持申请主席、释放主席、观看会场、广播会场、停止广播、申请发言、自动浏览、静音/取消静音、设置多画面/广播多画面、添加会场、断开会场、结束会议等会议控制功能；</w:t>
      </w:r>
    </w:p>
    <w:p>
      <w:pPr>
        <w:pStyle w:val="797"/>
        <w:ind w:firstLine="480"/>
        <w:rPr>
          <w:rFonts w:ascii="Times New Roman" w:hAnsi="Times New Roman"/>
          <w:color w:val="auto"/>
          <w:sz w:val="24"/>
          <w:lang w:bidi="ar"/>
        </w:rPr>
      </w:pPr>
      <w:r>
        <w:rPr>
          <w:rFonts w:ascii="Times New Roman" w:hAnsi="Times New Roman"/>
          <w:color w:val="auto"/>
          <w:sz w:val="24"/>
          <w:lang w:bidi="ar"/>
        </w:rPr>
        <w:t>终端用于主会场时，应支持自动轮询方式或人工方式，可任意切换选择其它分会场的画面进行浏览，而不影响主会场图像和声音向下广播；</w:t>
      </w:r>
    </w:p>
    <w:p>
      <w:pPr>
        <w:pStyle w:val="797"/>
        <w:ind w:firstLine="480"/>
        <w:rPr>
          <w:rFonts w:ascii="Times New Roman" w:hAnsi="Times New Roman"/>
          <w:color w:val="auto"/>
          <w:sz w:val="24"/>
          <w:lang w:bidi="ar"/>
        </w:rPr>
      </w:pPr>
      <w:r>
        <w:rPr>
          <w:rFonts w:ascii="Times New Roman" w:hAnsi="Times New Roman"/>
          <w:color w:val="auto"/>
          <w:sz w:val="24"/>
          <w:lang w:bidi="ar"/>
        </w:rPr>
        <w:t>终端用于分会场时，应支持收看发言分会场或主会场的图像，并收听发言分会场的声音，发言分会场收听和收看主会场的声音和图像；</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终端应支持双视频流传送功能，可以将两路摄像机或一路摄像机和一路动态PC机画面传送到远端会场，辅流画面分辨率至少支持</w:t>
      </w:r>
      <w:r>
        <w:rPr>
          <w:rFonts w:hint="eastAsia" w:ascii="Times New Roman" w:hAnsi="Times New Roman"/>
          <w:color w:val="auto"/>
          <w:sz w:val="24"/>
          <w:lang w:val="en-US" w:eastAsia="zh-CN" w:bidi="ar"/>
        </w:rPr>
        <w:t>1080P</w:t>
      </w:r>
      <w:r>
        <w:rPr>
          <w:rFonts w:ascii="Times New Roman" w:hAnsi="Times New Roman"/>
          <w:color w:val="auto"/>
          <w:sz w:val="24"/>
          <w:lang w:bidi="ar"/>
        </w:rPr>
        <w:t>；</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终端应支持双路显示输出、单路分屏图像功能，支持本地、远端、辅流等多个视频源间的显示切换；</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终端应支持对图像饱和度、对比度、亮度的手动设置；</w:t>
      </w:r>
    </w:p>
    <w:p>
      <w:pPr>
        <w:pStyle w:val="797"/>
        <w:ind w:firstLine="480"/>
        <w:rPr>
          <w:rFonts w:ascii="Times New Roman" w:hAnsi="Times New Roman"/>
          <w:color w:val="auto"/>
          <w:sz w:val="24"/>
          <w:lang w:bidi="ar"/>
        </w:rPr>
      </w:pPr>
      <w:r>
        <w:rPr>
          <w:rFonts w:ascii="Times New Roman" w:hAnsi="Times New Roman"/>
          <w:color w:val="auto"/>
          <w:sz w:val="24"/>
          <w:lang w:bidi="ar"/>
        </w:rPr>
        <w:t>终端支持通过遥控器和电脑控制两种会议控制方式；</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终端应支持中文会场名显示，主会场终端应支持中文字幕功能；</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终端应支持对本地、远端会场摄像机预置位、转动、变焦、聚焦等控制功能；</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终端应支持完整的故障日志功能；</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终端应支持进行本地音量调节；支持本地会场进行静音、闭音操作；</w:t>
      </w:r>
    </w:p>
    <w:p>
      <w:pPr>
        <w:pStyle w:val="797"/>
        <w:ind w:firstLine="480"/>
        <w:rPr>
          <w:rFonts w:ascii="Times New Roman" w:hAnsi="Times New Roman"/>
          <w:color w:val="auto"/>
          <w:sz w:val="24"/>
          <w:lang w:bidi="ar"/>
        </w:rPr>
      </w:pPr>
      <w:r>
        <w:rPr>
          <w:rFonts w:ascii="Times New Roman" w:hAnsi="Times New Roman"/>
          <w:color w:val="auto"/>
          <w:sz w:val="24"/>
          <w:lang w:bidi="ar"/>
        </w:rPr>
        <w:t>终端应开放二次编程控制API接口，支持通用中控系统的控制指令。</w:t>
      </w:r>
    </w:p>
    <w:p>
      <w:pPr>
        <w:pStyle w:val="797"/>
        <w:ind w:firstLine="482"/>
        <w:rPr>
          <w:rFonts w:ascii="Times New Roman" w:hAnsi="Times New Roman"/>
          <w:b/>
          <w:bCs/>
          <w:color w:val="auto"/>
          <w:sz w:val="24"/>
          <w:lang w:bidi="ar"/>
        </w:rPr>
      </w:pPr>
      <w:r>
        <w:rPr>
          <w:rFonts w:hint="eastAsia" w:ascii="Times New Roman" w:hAnsi="Times New Roman"/>
          <w:b/>
          <w:bCs/>
          <w:color w:val="auto"/>
          <w:sz w:val="24"/>
          <w:lang w:bidi="ar"/>
        </w:rPr>
        <w:t>音频指标要求</w:t>
      </w:r>
    </w:p>
    <w:p>
      <w:pPr>
        <w:pStyle w:val="797"/>
        <w:ind w:firstLine="480"/>
        <w:rPr>
          <w:rFonts w:ascii="Times New Roman" w:hAnsi="Times New Roman"/>
          <w:color w:val="auto"/>
          <w:sz w:val="24"/>
          <w:lang w:bidi="ar"/>
        </w:rPr>
      </w:pPr>
      <w:r>
        <w:rPr>
          <w:rFonts w:ascii="Times New Roman" w:hAnsi="Times New Roman"/>
          <w:color w:val="auto"/>
          <w:sz w:val="24"/>
          <w:lang w:bidi="ar"/>
        </w:rPr>
        <w:t>音频编解码算法应符合国际标准ITU G.711、G.722，支持立体声编解码，支持20kHz以上宽频音频编解码，如AAC-LD、AAC-LC、G.719等；</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终端应支持自动唇音同步，误差不可察觉；</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终端应支持自适应全双工回声抑制、自动增益控制。</w:t>
      </w:r>
    </w:p>
    <w:p>
      <w:pPr>
        <w:pStyle w:val="797"/>
        <w:ind w:firstLine="480"/>
        <w:rPr>
          <w:rFonts w:ascii="Times New Roman" w:hAnsi="Times New Roman"/>
          <w:color w:val="auto"/>
          <w:sz w:val="24"/>
          <w:lang w:bidi="ar"/>
        </w:rPr>
      </w:pPr>
      <w:r>
        <w:rPr>
          <w:rFonts w:ascii="Times New Roman" w:hAnsi="Times New Roman"/>
          <w:color w:val="auto"/>
          <w:sz w:val="24"/>
          <w:lang w:bidi="ar"/>
        </w:rPr>
        <w:t>视频指标要求</w:t>
      </w:r>
    </w:p>
    <w:p>
      <w:pPr>
        <w:pStyle w:val="797"/>
        <w:ind w:firstLine="480"/>
        <w:rPr>
          <w:rFonts w:ascii="Times New Roman" w:hAnsi="Times New Roman"/>
          <w:color w:val="auto"/>
          <w:sz w:val="24"/>
          <w:lang w:bidi="ar"/>
        </w:rPr>
      </w:pPr>
      <w:r>
        <w:rPr>
          <w:rFonts w:ascii="Times New Roman" w:hAnsi="Times New Roman"/>
          <w:color w:val="auto"/>
          <w:sz w:val="24"/>
          <w:lang w:bidi="ar"/>
        </w:rPr>
        <w:t>视频编码应支持H.261、H.263、H.263+、H.264</w:t>
      </w:r>
      <w:r>
        <w:rPr>
          <w:rFonts w:hint="eastAsia" w:ascii="Times New Roman" w:hAnsi="Times New Roman"/>
          <w:color w:val="auto"/>
          <w:sz w:val="24"/>
          <w:lang w:eastAsia="zh-CN" w:bidi="ar"/>
        </w:rPr>
        <w:t>、</w:t>
      </w:r>
      <w:r>
        <w:rPr>
          <w:rFonts w:hint="eastAsia" w:ascii="Times New Roman" w:hAnsi="Times New Roman"/>
          <w:color w:val="auto"/>
          <w:sz w:val="24"/>
          <w:lang w:val="en-US" w:eastAsia="zh-CN" w:bidi="ar"/>
        </w:rPr>
        <w:t>H.265</w:t>
      </w:r>
      <w:r>
        <w:rPr>
          <w:rFonts w:ascii="Times New Roman" w:hAnsi="Times New Roman"/>
          <w:color w:val="auto"/>
          <w:sz w:val="24"/>
          <w:lang w:bidi="ar"/>
        </w:rPr>
        <w:t>；</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终端应支持CIF、4CIF、1280×720P、1920×1080P</w:t>
      </w:r>
      <w:r>
        <w:rPr>
          <w:rFonts w:hint="eastAsia" w:ascii="Times New Roman" w:hAnsi="Times New Roman"/>
          <w:color w:val="auto"/>
          <w:sz w:val="24"/>
          <w:lang w:eastAsia="zh-CN" w:bidi="ar"/>
        </w:rPr>
        <w:t>、3840×2160</w:t>
      </w:r>
      <w:r>
        <w:rPr>
          <w:rFonts w:hint="eastAsia" w:ascii="Times New Roman" w:hAnsi="Times New Roman"/>
          <w:color w:val="auto"/>
          <w:sz w:val="24"/>
          <w:lang w:val="en-US" w:eastAsia="zh-CN" w:bidi="ar"/>
        </w:rPr>
        <w:t>P</w:t>
      </w:r>
      <w:r>
        <w:rPr>
          <w:rFonts w:ascii="Times New Roman" w:hAnsi="Times New Roman"/>
          <w:color w:val="auto"/>
          <w:sz w:val="24"/>
          <w:lang w:bidi="ar"/>
        </w:rPr>
        <w:t>显示格式；</w:t>
      </w:r>
    </w:p>
    <w:p>
      <w:pPr>
        <w:pStyle w:val="797"/>
        <w:ind w:firstLine="480"/>
        <w:rPr>
          <w:rFonts w:ascii="Times New Roman" w:hAnsi="Times New Roman"/>
          <w:color w:val="auto"/>
          <w:sz w:val="24"/>
          <w:lang w:bidi="ar"/>
        </w:rPr>
      </w:pPr>
      <w:r>
        <w:rPr>
          <w:rFonts w:ascii="Times New Roman" w:hAnsi="Times New Roman"/>
          <w:color w:val="auto"/>
          <w:sz w:val="24"/>
          <w:lang w:bidi="ar"/>
        </w:rPr>
        <w:t>终端应支持帧频可以自适应调整，PAL制式至少支持 50帧/秒，NTSC制式至少支持 60帧/秒；</w:t>
      </w:r>
    </w:p>
    <w:p>
      <w:pPr>
        <w:pStyle w:val="797"/>
        <w:ind w:firstLine="480"/>
        <w:rPr>
          <w:rFonts w:ascii="Times New Roman" w:hAnsi="Times New Roman"/>
          <w:color w:val="auto"/>
          <w:sz w:val="24"/>
          <w:lang w:bidi="ar"/>
        </w:rPr>
      </w:pPr>
      <w:r>
        <w:rPr>
          <w:rFonts w:ascii="Times New Roman" w:hAnsi="Times New Roman"/>
          <w:color w:val="auto"/>
          <w:sz w:val="24"/>
          <w:lang w:bidi="ar"/>
        </w:rPr>
        <w:t>终端本地显示切换时，图像能在1秒钟内快速建立。</w:t>
      </w:r>
    </w:p>
    <w:p>
      <w:pPr>
        <w:pStyle w:val="797"/>
        <w:ind w:firstLine="480"/>
        <w:rPr>
          <w:rFonts w:ascii="Times New Roman" w:hAnsi="Times New Roman"/>
          <w:color w:val="auto"/>
          <w:sz w:val="24"/>
          <w:lang w:bidi="ar"/>
        </w:rPr>
      </w:pPr>
      <w:r>
        <w:rPr>
          <w:rFonts w:ascii="Times New Roman" w:hAnsi="Times New Roman"/>
          <w:color w:val="auto"/>
          <w:sz w:val="24"/>
          <w:lang w:bidi="ar"/>
        </w:rPr>
        <w:t>终端接口要求</w:t>
      </w:r>
    </w:p>
    <w:p>
      <w:pPr>
        <w:pStyle w:val="797"/>
        <w:ind w:firstLine="480"/>
        <w:rPr>
          <w:rFonts w:ascii="Times New Roman" w:hAnsi="Times New Roman"/>
          <w:color w:val="auto"/>
          <w:sz w:val="24"/>
          <w:lang w:bidi="ar"/>
        </w:rPr>
      </w:pPr>
      <w:r>
        <w:rPr>
          <w:rFonts w:ascii="Times New Roman" w:hAnsi="Times New Roman"/>
          <w:color w:val="auto"/>
          <w:sz w:val="24"/>
          <w:lang w:bidi="ar"/>
        </w:rPr>
        <w:t>视频接口：终端至少提供2路高清视频输入、2路高清视频输出，可选配标清视频输入输出接口；</w:t>
      </w:r>
    </w:p>
    <w:p>
      <w:pPr>
        <w:pStyle w:val="797"/>
        <w:ind w:firstLine="480"/>
        <w:rPr>
          <w:rFonts w:ascii="Times New Roman" w:hAnsi="Times New Roman"/>
          <w:color w:val="auto"/>
          <w:sz w:val="24"/>
          <w:lang w:bidi="ar"/>
        </w:rPr>
      </w:pPr>
      <w:r>
        <w:rPr>
          <w:rFonts w:ascii="Times New Roman" w:hAnsi="Times New Roman"/>
          <w:color w:val="auto"/>
          <w:sz w:val="24"/>
          <w:lang w:bidi="ar"/>
        </w:rPr>
        <w:t>音频接口：终端支持2路麦克风输入，1路线路输入和2路线路输出，支持立体声双声道输入、输出；</w:t>
      </w:r>
    </w:p>
    <w:p>
      <w:pPr>
        <w:pStyle w:val="797"/>
        <w:ind w:firstLine="480"/>
        <w:rPr>
          <w:rFonts w:ascii="Times New Roman" w:hAnsi="Times New Roman"/>
          <w:color w:val="auto"/>
          <w:sz w:val="24"/>
          <w:lang w:bidi="ar"/>
        </w:rPr>
      </w:pPr>
      <w:r>
        <w:rPr>
          <w:rFonts w:ascii="Times New Roman" w:hAnsi="Times New Roman"/>
          <w:color w:val="auto"/>
          <w:sz w:val="24"/>
          <w:lang w:bidi="ar"/>
        </w:rPr>
        <w:t>网络接口：终端设备应支持10/100BASE-T RJ45接口。</w:t>
      </w:r>
    </w:p>
    <w:p>
      <w:pPr>
        <w:pStyle w:val="797"/>
        <w:ind w:firstLine="480"/>
        <w:rPr>
          <w:rFonts w:ascii="Times New Roman" w:hAnsi="Times New Roman"/>
          <w:color w:val="auto"/>
          <w:sz w:val="24"/>
          <w:lang w:bidi="ar"/>
        </w:rPr>
      </w:pPr>
      <w:r>
        <w:rPr>
          <w:rFonts w:ascii="Times New Roman" w:hAnsi="Times New Roman"/>
          <w:color w:val="auto"/>
          <w:sz w:val="24"/>
          <w:lang w:bidi="ar"/>
        </w:rPr>
        <w:t>视频会议终端参数要求</w:t>
      </w:r>
    </w:p>
    <w:p>
      <w:pPr>
        <w:pStyle w:val="797"/>
        <w:ind w:firstLine="480"/>
        <w:rPr>
          <w:rFonts w:ascii="Times New Roman" w:hAnsi="Times New Roman"/>
          <w:color w:val="auto"/>
          <w:sz w:val="24"/>
          <w:lang w:bidi="ar"/>
        </w:rPr>
      </w:pPr>
      <w:r>
        <w:rPr>
          <w:rFonts w:ascii="Times New Roman" w:hAnsi="Times New Roman"/>
          <w:color w:val="auto"/>
          <w:sz w:val="24"/>
          <w:lang w:bidi="en-US"/>
        </w:rPr>
        <w:t>★</w:t>
      </w:r>
      <w:r>
        <w:rPr>
          <w:rFonts w:ascii="Times New Roman" w:hAnsi="Times New Roman"/>
          <w:color w:val="auto"/>
          <w:sz w:val="24"/>
          <w:lang w:bidi="ar"/>
        </w:rPr>
        <w:t>要求视频会议终端设备注册到南网总部视频会议管理平台，视频会议终端需确保与平台兼容。</w:t>
      </w:r>
    </w:p>
    <w:p>
      <w:pPr>
        <w:pStyle w:val="797"/>
        <w:ind w:firstLine="480"/>
        <w:rPr>
          <w:rFonts w:ascii="Times New Roman" w:hAnsi="Times New Roman"/>
          <w:color w:val="auto"/>
          <w:sz w:val="24"/>
          <w:lang w:bidi="ar"/>
        </w:rPr>
      </w:pPr>
      <w:r>
        <w:rPr>
          <w:rFonts w:ascii="Times New Roman" w:hAnsi="Times New Roman"/>
          <w:color w:val="auto"/>
          <w:sz w:val="24"/>
          <w:lang w:bidi="ar"/>
        </w:rPr>
        <w:t>各类视频会议终端根据应用场景可选择不同类型的终端设备，各类型终端技术参数如下表：</w:t>
      </w:r>
    </w:p>
    <w:p>
      <w:pPr>
        <w:adjustRightInd w:val="0"/>
        <w:snapToGrid w:val="0"/>
        <w:spacing w:line="360" w:lineRule="auto"/>
        <w:jc w:val="center"/>
        <w:rPr>
          <w:rFonts w:ascii="Times New Roman" w:hAnsi="Times New Roman"/>
          <w:color w:val="auto"/>
          <w:sz w:val="24"/>
          <w:szCs w:val="24"/>
        </w:rPr>
      </w:pPr>
      <w:r>
        <w:rPr>
          <w:rFonts w:ascii="Times New Roman" w:hAnsi="Times New Roman"/>
          <w:color w:val="auto"/>
          <w:sz w:val="24"/>
          <w:szCs w:val="24"/>
        </w:rPr>
        <w:t>表1视频会议终端技术参数表</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379"/>
        <w:gridCol w:w="3488"/>
        <w:gridCol w:w="3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序号</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技术要求</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会场型终端</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一体化会商型终端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1</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协议</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支持SIP和H.323双协议栈</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支持SIP和H.323双协议栈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2</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端口速率</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不低于4096Kb/s</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384Kb/s－4096Kb/s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3</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通信接口</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1路不低于百兆以太网接口</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1路百兆以太网接口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4</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视频接口</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3路高清视频输入、2路高清视频输出</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2路高清视频输入、2路高清视频输出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5</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音频接口</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2路麦克风输入，2路线路输入和2路线路输出</w:t>
            </w: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2路麦克风输入，1路线路输入和2路线路输出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6</w:t>
            </w:r>
          </w:p>
        </w:tc>
        <w:tc>
          <w:tcPr>
            <w:tcW w:w="1379"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其他</w:t>
            </w:r>
          </w:p>
        </w:tc>
        <w:tc>
          <w:tcPr>
            <w:tcW w:w="3488" w:type="dxa"/>
            <w:vAlign w:val="center"/>
          </w:tcPr>
          <w:p>
            <w:pPr>
              <w:snapToGrid w:val="0"/>
              <w:spacing w:line="360" w:lineRule="auto"/>
              <w:ind w:firstLine="38" w:firstLineChars="16"/>
              <w:jc w:val="center"/>
              <w:rPr>
                <w:rFonts w:ascii="Times New Roman" w:hAnsi="Times New Roman"/>
                <w:color w:val="auto"/>
                <w:sz w:val="24"/>
                <w:szCs w:val="24"/>
              </w:rPr>
            </w:pPr>
          </w:p>
        </w:tc>
        <w:tc>
          <w:tcPr>
            <w:tcW w:w="3296" w:type="dxa"/>
            <w:vAlign w:val="center"/>
          </w:tcPr>
          <w:p>
            <w:pPr>
              <w:snapToGrid w:val="0"/>
              <w:spacing w:line="360" w:lineRule="auto"/>
              <w:ind w:firstLine="38" w:firstLineChars="16"/>
              <w:jc w:val="center"/>
              <w:rPr>
                <w:rFonts w:ascii="Times New Roman" w:hAnsi="Times New Roman"/>
                <w:color w:val="auto"/>
                <w:sz w:val="24"/>
                <w:szCs w:val="24"/>
              </w:rPr>
            </w:pPr>
            <w:r>
              <w:rPr>
                <w:rFonts w:ascii="Times New Roman" w:hAnsi="Times New Roman"/>
                <w:color w:val="auto"/>
                <w:sz w:val="24"/>
                <w:szCs w:val="24"/>
              </w:rPr>
              <w:t>内置4K摄像机、</w:t>
            </w:r>
            <w:r>
              <w:rPr>
                <w:rFonts w:hint="eastAsia" w:ascii="Times New Roman" w:hAnsi="Times New Roman"/>
                <w:color w:val="auto"/>
                <w:sz w:val="24"/>
                <w:szCs w:val="24"/>
                <w:lang w:val="en-US" w:eastAsia="zh-CN"/>
              </w:rPr>
              <w:t>触摸屏、</w:t>
            </w:r>
            <w:r>
              <w:rPr>
                <w:rFonts w:ascii="Times New Roman" w:hAnsi="Times New Roman"/>
                <w:color w:val="auto"/>
                <w:sz w:val="24"/>
                <w:szCs w:val="24"/>
              </w:rPr>
              <w:t>全向麦克风，显示屏规格不少于75寸</w:t>
            </w:r>
          </w:p>
        </w:tc>
      </w:tr>
      <w:bookmarkEnd w:id="208"/>
    </w:tbl>
    <w:p>
      <w:pPr>
        <w:keepNext w:val="0"/>
        <w:keepLines w:val="0"/>
        <w:widowControl/>
        <w:outlineLvl w:val="9"/>
        <w:rPr>
          <w:color w:val="auto"/>
        </w:rPr>
      </w:pPr>
      <w:bookmarkStart w:id="596" w:name="_Toc168401754"/>
      <w:bookmarkEnd w:id="596"/>
      <w:bookmarkStart w:id="597" w:name="_Toc168400418"/>
      <w:bookmarkEnd w:id="597"/>
      <w:bookmarkStart w:id="598" w:name="_Toc168400372"/>
      <w:bookmarkEnd w:id="598"/>
      <w:bookmarkStart w:id="599" w:name="_Toc168400879"/>
      <w:bookmarkEnd w:id="599"/>
      <w:bookmarkStart w:id="600" w:name="_Toc168399783"/>
      <w:bookmarkEnd w:id="600"/>
      <w:bookmarkStart w:id="601" w:name="_Toc168400278"/>
      <w:bookmarkEnd w:id="601"/>
      <w:bookmarkStart w:id="602" w:name="_Toc168400172"/>
      <w:bookmarkEnd w:id="602"/>
      <w:bookmarkStart w:id="603" w:name="_Toc168399758"/>
      <w:bookmarkEnd w:id="603"/>
      <w:bookmarkStart w:id="604" w:name="_Toc168399676"/>
      <w:bookmarkEnd w:id="604"/>
      <w:bookmarkStart w:id="605" w:name="_Toc168402199"/>
      <w:bookmarkEnd w:id="605"/>
      <w:bookmarkStart w:id="606" w:name="_Toc168400043"/>
      <w:bookmarkEnd w:id="606"/>
      <w:bookmarkStart w:id="607" w:name="_Toc168402132"/>
      <w:bookmarkEnd w:id="607"/>
      <w:bookmarkStart w:id="608" w:name="_Toc168400487"/>
      <w:bookmarkEnd w:id="608"/>
      <w:bookmarkStart w:id="609" w:name="_Toc168399710"/>
      <w:bookmarkEnd w:id="609"/>
      <w:bookmarkStart w:id="610" w:name="_Toc168400206"/>
      <w:bookmarkEnd w:id="610"/>
      <w:bookmarkStart w:id="611" w:name="_Toc168400109"/>
      <w:bookmarkEnd w:id="611"/>
      <w:bookmarkStart w:id="612" w:name="_Toc168400123"/>
      <w:bookmarkEnd w:id="612"/>
      <w:bookmarkStart w:id="613" w:name="_Toc168400529"/>
      <w:bookmarkEnd w:id="613"/>
      <w:bookmarkStart w:id="614" w:name="_Toc168401751"/>
      <w:bookmarkEnd w:id="614"/>
      <w:bookmarkStart w:id="615" w:name="_Toc168400497"/>
      <w:bookmarkEnd w:id="615"/>
      <w:bookmarkStart w:id="616" w:name="_Toc168400264"/>
      <w:bookmarkEnd w:id="616"/>
      <w:bookmarkStart w:id="617" w:name="_Toc168400601"/>
      <w:bookmarkEnd w:id="617"/>
      <w:bookmarkStart w:id="618" w:name="_Toc168400273"/>
      <w:bookmarkEnd w:id="618"/>
      <w:bookmarkStart w:id="619" w:name="_Toc168399569"/>
      <w:bookmarkEnd w:id="619"/>
      <w:bookmarkStart w:id="620" w:name="_Toc168399638"/>
      <w:bookmarkEnd w:id="620"/>
      <w:bookmarkStart w:id="621" w:name="_Toc168400302"/>
      <w:bookmarkEnd w:id="621"/>
      <w:bookmarkStart w:id="622" w:name="_Toc168399512"/>
      <w:bookmarkEnd w:id="622"/>
      <w:bookmarkStart w:id="623" w:name="_Toc168400465"/>
      <w:bookmarkEnd w:id="623"/>
      <w:bookmarkStart w:id="624" w:name="_Toc168401719"/>
      <w:bookmarkEnd w:id="624"/>
      <w:bookmarkStart w:id="625" w:name="_Toc168399767"/>
      <w:bookmarkEnd w:id="625"/>
      <w:bookmarkStart w:id="626" w:name="_Toc168400307"/>
      <w:bookmarkEnd w:id="626"/>
      <w:bookmarkStart w:id="627" w:name="_Toc168399943"/>
      <w:bookmarkEnd w:id="627"/>
      <w:bookmarkStart w:id="628" w:name="_Toc168399570"/>
      <w:bookmarkEnd w:id="628"/>
      <w:bookmarkStart w:id="629" w:name="_Toc168400290"/>
      <w:bookmarkEnd w:id="629"/>
      <w:bookmarkStart w:id="630" w:name="_Toc168400099"/>
      <w:bookmarkEnd w:id="630"/>
      <w:bookmarkStart w:id="631" w:name="_Toc168402010"/>
      <w:bookmarkEnd w:id="631"/>
      <w:bookmarkStart w:id="632" w:name="_Toc168400013"/>
      <w:bookmarkEnd w:id="632"/>
      <w:bookmarkStart w:id="633" w:name="_Toc168399660"/>
      <w:bookmarkEnd w:id="633"/>
      <w:bookmarkStart w:id="634" w:name="_Toc168401166"/>
      <w:bookmarkEnd w:id="634"/>
      <w:bookmarkStart w:id="635" w:name="_Toc168400407"/>
      <w:bookmarkEnd w:id="635"/>
      <w:bookmarkStart w:id="636" w:name="_Toc168400573"/>
      <w:bookmarkEnd w:id="636"/>
      <w:bookmarkStart w:id="637" w:name="_Toc168401062"/>
      <w:bookmarkEnd w:id="637"/>
      <w:bookmarkStart w:id="638" w:name="_Toc168400011"/>
      <w:bookmarkEnd w:id="638"/>
      <w:bookmarkStart w:id="639" w:name="_Toc168399774"/>
      <w:bookmarkEnd w:id="639"/>
      <w:bookmarkStart w:id="640" w:name="_Toc168400504"/>
      <w:bookmarkEnd w:id="640"/>
      <w:bookmarkStart w:id="641" w:name="_Toc168401346"/>
      <w:bookmarkEnd w:id="641"/>
      <w:bookmarkStart w:id="642" w:name="_Toc168399708"/>
      <w:bookmarkEnd w:id="642"/>
      <w:bookmarkStart w:id="643" w:name="_Toc168400863"/>
      <w:bookmarkEnd w:id="643"/>
      <w:bookmarkStart w:id="644" w:name="_Toc168399938"/>
      <w:bookmarkEnd w:id="644"/>
      <w:bookmarkStart w:id="645" w:name="_Toc168400057"/>
      <w:bookmarkEnd w:id="645"/>
      <w:bookmarkStart w:id="646" w:name="_Toc168400543"/>
      <w:bookmarkEnd w:id="646"/>
      <w:bookmarkStart w:id="647" w:name="_Toc168401810"/>
      <w:bookmarkEnd w:id="647"/>
      <w:bookmarkStart w:id="648" w:name="_Toc168400880"/>
      <w:bookmarkEnd w:id="648"/>
      <w:bookmarkStart w:id="649" w:name="_Toc168399597"/>
      <w:bookmarkEnd w:id="649"/>
      <w:bookmarkStart w:id="650" w:name="_Toc168401118"/>
      <w:bookmarkEnd w:id="650"/>
      <w:bookmarkStart w:id="651" w:name="_Toc168400517"/>
      <w:bookmarkEnd w:id="651"/>
      <w:bookmarkStart w:id="652" w:name="_Toc168399874"/>
      <w:bookmarkEnd w:id="652"/>
      <w:bookmarkStart w:id="653" w:name="_Toc168402005"/>
      <w:bookmarkEnd w:id="653"/>
      <w:bookmarkStart w:id="654" w:name="_Toc168400219"/>
      <w:bookmarkEnd w:id="654"/>
      <w:bookmarkStart w:id="655" w:name="_Toc168401722"/>
      <w:bookmarkEnd w:id="655"/>
      <w:bookmarkStart w:id="656" w:name="_Toc168399521"/>
      <w:bookmarkEnd w:id="656"/>
      <w:bookmarkStart w:id="657" w:name="_Toc168400270"/>
      <w:bookmarkEnd w:id="657"/>
      <w:bookmarkStart w:id="658" w:name="_Toc168400348"/>
      <w:bookmarkEnd w:id="658"/>
      <w:bookmarkStart w:id="659" w:name="_Toc168399556"/>
      <w:bookmarkEnd w:id="659"/>
      <w:bookmarkStart w:id="660" w:name="_Toc168401415"/>
      <w:bookmarkEnd w:id="660"/>
      <w:bookmarkStart w:id="661" w:name="_Toc168400262"/>
      <w:bookmarkEnd w:id="661"/>
      <w:bookmarkStart w:id="662" w:name="_Toc168402241"/>
      <w:bookmarkEnd w:id="662"/>
      <w:bookmarkStart w:id="663" w:name="_Toc168400670"/>
      <w:bookmarkEnd w:id="663"/>
      <w:bookmarkStart w:id="664" w:name="_Toc168399939"/>
      <w:bookmarkEnd w:id="664"/>
      <w:bookmarkStart w:id="665" w:name="_Toc168400844"/>
      <w:bookmarkEnd w:id="665"/>
      <w:bookmarkStart w:id="666" w:name="_Toc168401904"/>
      <w:bookmarkEnd w:id="666"/>
      <w:bookmarkStart w:id="667" w:name="_Toc168401658"/>
      <w:bookmarkEnd w:id="667"/>
      <w:bookmarkStart w:id="668" w:name="_Toc168400747"/>
      <w:bookmarkEnd w:id="668"/>
      <w:bookmarkStart w:id="669" w:name="_Toc168401891"/>
      <w:bookmarkEnd w:id="669"/>
      <w:bookmarkStart w:id="670" w:name="_Toc168401015"/>
      <w:bookmarkEnd w:id="670"/>
      <w:bookmarkStart w:id="671" w:name="_Toc168400503"/>
      <w:bookmarkEnd w:id="671"/>
      <w:bookmarkStart w:id="672" w:name="_Toc168399672"/>
      <w:bookmarkEnd w:id="672"/>
      <w:bookmarkStart w:id="673" w:name="_Toc168399617"/>
      <w:bookmarkEnd w:id="673"/>
      <w:bookmarkStart w:id="674" w:name="_Toc168399527"/>
      <w:bookmarkEnd w:id="674"/>
      <w:bookmarkStart w:id="675" w:name="_Toc168400207"/>
      <w:bookmarkEnd w:id="675"/>
      <w:bookmarkStart w:id="676" w:name="_Toc168400004"/>
      <w:bookmarkEnd w:id="676"/>
      <w:bookmarkStart w:id="677" w:name="_Toc168400395"/>
      <w:bookmarkEnd w:id="677"/>
      <w:bookmarkStart w:id="678" w:name="_Toc168400333"/>
      <w:bookmarkEnd w:id="678"/>
      <w:bookmarkStart w:id="679" w:name="_BTR"/>
      <w:bookmarkEnd w:id="679"/>
      <w:bookmarkStart w:id="680" w:name="_Toc168402093"/>
      <w:bookmarkEnd w:id="680"/>
      <w:bookmarkStart w:id="681" w:name="_Toc168401785"/>
      <w:bookmarkEnd w:id="681"/>
      <w:bookmarkStart w:id="682" w:name="_Toc168400268"/>
      <w:bookmarkEnd w:id="682"/>
      <w:bookmarkStart w:id="683" w:name="_Toc168399605"/>
      <w:bookmarkEnd w:id="683"/>
      <w:bookmarkStart w:id="684" w:name="_Toc168399768"/>
      <w:bookmarkEnd w:id="684"/>
      <w:bookmarkStart w:id="685" w:name="_Toc168399971"/>
      <w:bookmarkEnd w:id="685"/>
      <w:bookmarkStart w:id="686" w:name="_Toc168401016"/>
      <w:bookmarkEnd w:id="686"/>
      <w:bookmarkStart w:id="687" w:name="_Toc168401165"/>
      <w:bookmarkEnd w:id="687"/>
      <w:bookmarkStart w:id="688" w:name="_Toc168399803"/>
      <w:bookmarkEnd w:id="688"/>
      <w:bookmarkStart w:id="689" w:name="_Toc106808054"/>
      <w:bookmarkEnd w:id="689"/>
      <w:bookmarkStart w:id="690" w:name="_Toc168401333"/>
      <w:bookmarkEnd w:id="690"/>
      <w:bookmarkStart w:id="691" w:name="_Toc168400766"/>
      <w:bookmarkEnd w:id="691"/>
      <w:bookmarkStart w:id="692" w:name="_Toc168401985"/>
      <w:bookmarkEnd w:id="692"/>
      <w:bookmarkStart w:id="693" w:name="_Toc168401597"/>
      <w:bookmarkEnd w:id="693"/>
      <w:bookmarkStart w:id="694" w:name="_Toc168401890"/>
      <w:bookmarkEnd w:id="694"/>
      <w:bookmarkStart w:id="695" w:name="_Toc168401938"/>
      <w:bookmarkEnd w:id="695"/>
      <w:bookmarkStart w:id="696" w:name="_Toc168399635"/>
      <w:bookmarkEnd w:id="696"/>
      <w:bookmarkStart w:id="697" w:name="_Toc168401648"/>
      <w:bookmarkEnd w:id="697"/>
      <w:bookmarkStart w:id="698" w:name="_Toc168400851"/>
      <w:bookmarkEnd w:id="698"/>
      <w:bookmarkStart w:id="699" w:name="_Toc168400358"/>
      <w:bookmarkEnd w:id="699"/>
      <w:bookmarkStart w:id="700" w:name="_Toc168401724"/>
      <w:bookmarkEnd w:id="700"/>
      <w:bookmarkStart w:id="701" w:name="_Toc168399979"/>
      <w:bookmarkEnd w:id="701"/>
      <w:bookmarkStart w:id="702" w:name="_Toc168399914"/>
      <w:bookmarkEnd w:id="702"/>
      <w:bookmarkStart w:id="703" w:name="_Toc168401464"/>
      <w:bookmarkEnd w:id="703"/>
      <w:bookmarkStart w:id="704" w:name="_Toc168399652"/>
      <w:bookmarkEnd w:id="704"/>
      <w:bookmarkStart w:id="705" w:name="_Toc168401444"/>
      <w:bookmarkEnd w:id="705"/>
      <w:bookmarkStart w:id="706" w:name="_Toc168399851"/>
      <w:bookmarkEnd w:id="706"/>
      <w:bookmarkStart w:id="707" w:name="_Toc168400311"/>
      <w:bookmarkEnd w:id="707"/>
      <w:bookmarkStart w:id="708" w:name="_Toc168402193"/>
      <w:bookmarkEnd w:id="708"/>
      <w:bookmarkStart w:id="709" w:name="_Toc168401542"/>
      <w:bookmarkEnd w:id="709"/>
      <w:bookmarkStart w:id="710" w:name="_Toc168399916"/>
      <w:bookmarkEnd w:id="710"/>
      <w:bookmarkStart w:id="711" w:name="_Toc168401423"/>
      <w:bookmarkEnd w:id="711"/>
      <w:bookmarkStart w:id="712" w:name="_Toc168399978"/>
      <w:bookmarkEnd w:id="712"/>
      <w:bookmarkStart w:id="713" w:name="_Toc168401452"/>
      <w:bookmarkEnd w:id="713"/>
      <w:bookmarkStart w:id="714" w:name="_Toc168400589"/>
      <w:bookmarkEnd w:id="714"/>
      <w:bookmarkStart w:id="715" w:name="_Toc168400060"/>
      <w:bookmarkEnd w:id="715"/>
      <w:bookmarkStart w:id="716" w:name="_Toc168401665"/>
      <w:bookmarkEnd w:id="716"/>
      <w:bookmarkStart w:id="717" w:name="_Toc168399934"/>
      <w:bookmarkEnd w:id="717"/>
      <w:bookmarkStart w:id="718" w:name="_Toc168401611"/>
      <w:bookmarkEnd w:id="718"/>
      <w:bookmarkStart w:id="719" w:name="_Toc168402025"/>
      <w:bookmarkEnd w:id="719"/>
      <w:bookmarkStart w:id="720" w:name="_Toc168402075"/>
      <w:bookmarkEnd w:id="720"/>
      <w:bookmarkStart w:id="721" w:name="_Toc168399707"/>
      <w:bookmarkEnd w:id="721"/>
      <w:bookmarkStart w:id="722" w:name="_Toc168399796"/>
      <w:bookmarkEnd w:id="722"/>
      <w:bookmarkStart w:id="723" w:name="_Toc168400522"/>
      <w:bookmarkEnd w:id="723"/>
      <w:bookmarkStart w:id="724" w:name="_Toc168400024"/>
      <w:bookmarkEnd w:id="724"/>
      <w:bookmarkStart w:id="725" w:name="_Toc168400381"/>
      <w:bookmarkEnd w:id="725"/>
      <w:bookmarkStart w:id="726" w:name="_Toc168400297"/>
      <w:bookmarkEnd w:id="726"/>
      <w:bookmarkStart w:id="727" w:name="_Toc168401243"/>
      <w:bookmarkEnd w:id="727"/>
      <w:bookmarkStart w:id="728" w:name="_Toc168401867"/>
      <w:bookmarkEnd w:id="728"/>
      <w:bookmarkStart w:id="729" w:name="_Toc168400332"/>
      <w:bookmarkEnd w:id="729"/>
      <w:bookmarkStart w:id="730" w:name="_Toc168401854"/>
      <w:bookmarkEnd w:id="730"/>
      <w:bookmarkStart w:id="731" w:name="_Toc168402049"/>
      <w:bookmarkEnd w:id="731"/>
      <w:bookmarkStart w:id="732" w:name="_Toc168400952"/>
      <w:bookmarkEnd w:id="732"/>
      <w:bookmarkStart w:id="733" w:name="_Toc168401287"/>
      <w:bookmarkEnd w:id="733"/>
      <w:bookmarkStart w:id="734" w:name="_Toc168400478"/>
      <w:bookmarkEnd w:id="734"/>
      <w:bookmarkStart w:id="735" w:name="_Toc168400169"/>
      <w:bookmarkEnd w:id="735"/>
      <w:bookmarkStart w:id="736" w:name="_Toc168399539"/>
      <w:bookmarkEnd w:id="736"/>
      <w:bookmarkStart w:id="737" w:name="_Toc168401159"/>
      <w:bookmarkEnd w:id="737"/>
      <w:bookmarkStart w:id="738" w:name="_Toc168400329"/>
      <w:bookmarkEnd w:id="738"/>
      <w:bookmarkStart w:id="739" w:name="_Toc168399746"/>
      <w:bookmarkEnd w:id="739"/>
      <w:bookmarkStart w:id="740" w:name="_Toc168400431"/>
      <w:bookmarkEnd w:id="740"/>
      <w:bookmarkStart w:id="741" w:name="_Toc168402092"/>
      <w:bookmarkEnd w:id="741"/>
      <w:bookmarkStart w:id="742" w:name="_Toc168400147"/>
      <w:bookmarkEnd w:id="742"/>
      <w:bookmarkStart w:id="743" w:name="_Toc168400404"/>
      <w:bookmarkEnd w:id="743"/>
      <w:bookmarkStart w:id="744" w:name="_Toc168400010"/>
      <w:bookmarkEnd w:id="744"/>
      <w:bookmarkStart w:id="745" w:name="_Toc168400108"/>
      <w:bookmarkEnd w:id="745"/>
      <w:bookmarkStart w:id="746" w:name="_Toc168401453"/>
      <w:bookmarkEnd w:id="746"/>
      <w:bookmarkStart w:id="747" w:name="_Toc168401748"/>
      <w:bookmarkEnd w:id="747"/>
      <w:bookmarkStart w:id="748" w:name="_Toc168400378"/>
      <w:bookmarkEnd w:id="748"/>
      <w:bookmarkStart w:id="749" w:name="_Toc168399770"/>
      <w:bookmarkEnd w:id="749"/>
      <w:bookmarkStart w:id="750" w:name="_Toc168400582"/>
      <w:bookmarkEnd w:id="750"/>
      <w:bookmarkStart w:id="751" w:name="_Toc168401045"/>
      <w:bookmarkEnd w:id="751"/>
      <w:bookmarkStart w:id="752" w:name="_Toc168399525"/>
      <w:bookmarkEnd w:id="752"/>
      <w:bookmarkStart w:id="753" w:name="_Toc168401134"/>
      <w:bookmarkEnd w:id="753"/>
      <w:bookmarkStart w:id="754" w:name="_Toc168400742"/>
      <w:bookmarkEnd w:id="754"/>
      <w:bookmarkStart w:id="755" w:name="_Toc168399621"/>
      <w:bookmarkEnd w:id="755"/>
      <w:bookmarkStart w:id="756" w:name="_Toc168401091"/>
      <w:bookmarkEnd w:id="756"/>
      <w:bookmarkStart w:id="757" w:name="_Toc168402014"/>
      <w:bookmarkEnd w:id="757"/>
      <w:bookmarkStart w:id="758" w:name="_Toc168401516"/>
      <w:bookmarkEnd w:id="758"/>
      <w:bookmarkStart w:id="759" w:name="_Toc106090206"/>
      <w:bookmarkEnd w:id="759"/>
      <w:bookmarkStart w:id="760" w:name="_Toc168401721"/>
      <w:bookmarkEnd w:id="760"/>
      <w:bookmarkStart w:id="761" w:name="_Toc168400598"/>
      <w:bookmarkEnd w:id="761"/>
      <w:bookmarkStart w:id="762" w:name="_Toc106090204"/>
      <w:bookmarkEnd w:id="762"/>
      <w:bookmarkStart w:id="763" w:name="_Toc168400530"/>
      <w:bookmarkEnd w:id="763"/>
      <w:bookmarkStart w:id="764" w:name="_Toc168399793"/>
      <w:bookmarkEnd w:id="764"/>
      <w:bookmarkStart w:id="765" w:name="_Toc168400339"/>
      <w:bookmarkEnd w:id="765"/>
      <w:bookmarkStart w:id="766" w:name="_Toc168399681"/>
      <w:bookmarkEnd w:id="766"/>
      <w:bookmarkStart w:id="767" w:name="_Toc168399677"/>
      <w:bookmarkEnd w:id="767"/>
      <w:bookmarkStart w:id="768" w:name="_Toc168399636"/>
      <w:bookmarkEnd w:id="768"/>
      <w:bookmarkStart w:id="769" w:name="_Toc168400287"/>
      <w:bookmarkEnd w:id="769"/>
      <w:bookmarkStart w:id="770" w:name="_Toc168400101"/>
      <w:bookmarkEnd w:id="770"/>
      <w:bookmarkStart w:id="771" w:name="_Toc168400820"/>
      <w:bookmarkEnd w:id="771"/>
      <w:bookmarkStart w:id="772" w:name="_Toc168402003"/>
      <w:bookmarkEnd w:id="772"/>
      <w:bookmarkStart w:id="773" w:name="_Toc168401729"/>
      <w:bookmarkEnd w:id="773"/>
      <w:bookmarkStart w:id="774" w:name="_Toc168400651"/>
      <w:bookmarkEnd w:id="774"/>
      <w:bookmarkStart w:id="775" w:name="_Toc168401073"/>
      <w:bookmarkEnd w:id="775"/>
      <w:bookmarkStart w:id="776" w:name="_Toc168400080"/>
      <w:bookmarkEnd w:id="776"/>
      <w:bookmarkStart w:id="777" w:name="_Toc168400963"/>
      <w:bookmarkEnd w:id="777"/>
      <w:bookmarkStart w:id="778" w:name="_Toc168400594"/>
      <w:bookmarkEnd w:id="778"/>
      <w:bookmarkStart w:id="779" w:name="_Toc168399792"/>
      <w:bookmarkEnd w:id="779"/>
      <w:bookmarkStart w:id="780" w:name="_Toc168400599"/>
      <w:bookmarkEnd w:id="780"/>
      <w:bookmarkStart w:id="781" w:name="_Toc168399879"/>
      <w:bookmarkEnd w:id="781"/>
      <w:bookmarkStart w:id="782" w:name="_Toc168400539"/>
      <w:bookmarkEnd w:id="782"/>
      <w:bookmarkStart w:id="783" w:name="_Toc168400915"/>
      <w:bookmarkEnd w:id="783"/>
      <w:bookmarkStart w:id="784" w:name="_Toc168401057"/>
      <w:bookmarkEnd w:id="784"/>
      <w:bookmarkStart w:id="785" w:name="_Toc168400914"/>
      <w:bookmarkEnd w:id="785"/>
      <w:bookmarkStart w:id="786" w:name="_Toc168401702"/>
      <w:bookmarkEnd w:id="786"/>
      <w:bookmarkStart w:id="787" w:name="_Toc168401322"/>
      <w:bookmarkEnd w:id="787"/>
      <w:bookmarkStart w:id="788" w:name="_Toc168400805"/>
      <w:bookmarkEnd w:id="788"/>
      <w:bookmarkStart w:id="789" w:name="_Toc168399981"/>
      <w:bookmarkEnd w:id="789"/>
      <w:bookmarkStart w:id="790" w:name="_Toc168399790"/>
      <w:bookmarkEnd w:id="790"/>
      <w:bookmarkStart w:id="791" w:name="_Toc168402232"/>
      <w:bookmarkEnd w:id="791"/>
      <w:bookmarkStart w:id="792" w:name="_Toc168400583"/>
      <w:bookmarkEnd w:id="792"/>
      <w:bookmarkStart w:id="793" w:name="_Toc168400023"/>
      <w:bookmarkEnd w:id="793"/>
      <w:bookmarkStart w:id="794" w:name="_Toc168400284"/>
      <w:bookmarkEnd w:id="794"/>
      <w:bookmarkStart w:id="795" w:name="_Toc168401434"/>
      <w:bookmarkEnd w:id="795"/>
      <w:bookmarkStart w:id="796" w:name="_Toc168402157"/>
      <w:bookmarkEnd w:id="796"/>
      <w:bookmarkStart w:id="797" w:name="_Toc168401842"/>
      <w:bookmarkEnd w:id="797"/>
      <w:bookmarkStart w:id="798" w:name="_Toc168401654"/>
      <w:bookmarkEnd w:id="798"/>
      <w:bookmarkStart w:id="799" w:name="_Toc168400572"/>
      <w:bookmarkEnd w:id="799"/>
      <w:bookmarkStart w:id="800" w:name="_Toc168401284"/>
      <w:bookmarkEnd w:id="800"/>
      <w:bookmarkStart w:id="801" w:name="_Toc168400648"/>
      <w:bookmarkEnd w:id="801"/>
      <w:bookmarkStart w:id="802" w:name="_Toc168399966"/>
      <w:bookmarkEnd w:id="802"/>
      <w:bookmarkStart w:id="803" w:name="_Toc168401995"/>
      <w:bookmarkEnd w:id="803"/>
      <w:bookmarkStart w:id="804" w:name="_Toc168401523"/>
      <w:bookmarkEnd w:id="804"/>
      <w:bookmarkStart w:id="805" w:name="_Toc168400130"/>
      <w:bookmarkEnd w:id="805"/>
      <w:bookmarkStart w:id="806" w:name="_Toc168401577"/>
      <w:bookmarkEnd w:id="806"/>
      <w:bookmarkStart w:id="807" w:name="_Toc168400003"/>
      <w:bookmarkEnd w:id="807"/>
      <w:bookmarkStart w:id="808" w:name="_Toc168402213"/>
      <w:bookmarkEnd w:id="808"/>
      <w:bookmarkStart w:id="809" w:name="_Toc168400142"/>
      <w:bookmarkEnd w:id="809"/>
      <w:bookmarkStart w:id="810" w:name="_Toc168400579"/>
      <w:bookmarkEnd w:id="810"/>
      <w:bookmarkStart w:id="811" w:name="_Toc168401798"/>
      <w:bookmarkEnd w:id="811"/>
      <w:bookmarkStart w:id="812" w:name="_Toc168399780"/>
      <w:bookmarkEnd w:id="812"/>
      <w:bookmarkStart w:id="813" w:name="_Toc168401519"/>
      <w:bookmarkEnd w:id="813"/>
      <w:bookmarkStart w:id="814" w:name="_Toc168401186"/>
      <w:bookmarkEnd w:id="814"/>
      <w:bookmarkStart w:id="815" w:name="_Toc168400521"/>
      <w:bookmarkEnd w:id="815"/>
      <w:bookmarkStart w:id="816" w:name="_Toc168399542"/>
      <w:bookmarkEnd w:id="816"/>
      <w:bookmarkStart w:id="817" w:name="_Toc168399929"/>
      <w:bookmarkEnd w:id="817"/>
      <w:bookmarkStart w:id="818" w:name="_Toc168400426"/>
      <w:bookmarkEnd w:id="818"/>
      <w:bookmarkStart w:id="819" w:name="_Toc168399674"/>
      <w:bookmarkEnd w:id="819"/>
      <w:bookmarkStart w:id="820" w:name="_Toc168401071"/>
      <w:bookmarkEnd w:id="820"/>
      <w:bookmarkStart w:id="821" w:name="_Toc168401368"/>
      <w:bookmarkEnd w:id="821"/>
      <w:bookmarkStart w:id="822" w:name="_Toc168399806"/>
      <w:bookmarkEnd w:id="822"/>
      <w:bookmarkStart w:id="823" w:name="_Toc168399961"/>
      <w:bookmarkEnd w:id="823"/>
      <w:bookmarkStart w:id="824" w:name="_Toc168400776"/>
      <w:bookmarkEnd w:id="824"/>
      <w:bookmarkStart w:id="825" w:name="_Toc168400969"/>
      <w:bookmarkEnd w:id="825"/>
      <w:bookmarkStart w:id="826" w:name="_Toc168400458"/>
      <w:bookmarkEnd w:id="826"/>
      <w:bookmarkStart w:id="827" w:name="_Toc168401776"/>
      <w:bookmarkEnd w:id="827"/>
      <w:bookmarkStart w:id="828" w:name="_Toc168401947"/>
      <w:bookmarkEnd w:id="828"/>
      <w:bookmarkStart w:id="829" w:name="_Toc168401620"/>
      <w:bookmarkEnd w:id="829"/>
      <w:bookmarkStart w:id="830" w:name="_Toc168400226"/>
      <w:bookmarkEnd w:id="830"/>
      <w:bookmarkStart w:id="831" w:name="_Toc168401006"/>
      <w:bookmarkEnd w:id="831"/>
      <w:bookmarkStart w:id="832" w:name="_Toc168399524"/>
      <w:bookmarkEnd w:id="832"/>
      <w:bookmarkStart w:id="833" w:name="_Toc168400694"/>
      <w:bookmarkEnd w:id="833"/>
      <w:bookmarkStart w:id="834" w:name="_Toc168402065"/>
      <w:bookmarkEnd w:id="834"/>
      <w:bookmarkStart w:id="835" w:name="_Toc168400341"/>
      <w:bookmarkEnd w:id="835"/>
      <w:bookmarkStart w:id="836" w:name="_Toc168400455"/>
      <w:bookmarkEnd w:id="836"/>
      <w:bookmarkStart w:id="837" w:name="_Toc168399529"/>
      <w:bookmarkEnd w:id="837"/>
      <w:bookmarkStart w:id="838" w:name="_Toc168399857"/>
      <w:bookmarkEnd w:id="838"/>
      <w:bookmarkStart w:id="839" w:name="_Toc168400632"/>
      <w:bookmarkEnd w:id="839"/>
      <w:bookmarkStart w:id="840" w:name="_Toc168401079"/>
      <w:bookmarkEnd w:id="840"/>
      <w:bookmarkStart w:id="841" w:name="_Toc168401349"/>
      <w:bookmarkEnd w:id="841"/>
      <w:bookmarkStart w:id="842" w:name="_Toc168401692"/>
      <w:bookmarkEnd w:id="842"/>
      <w:bookmarkStart w:id="843" w:name="_Toc168401254"/>
      <w:bookmarkEnd w:id="843"/>
      <w:bookmarkStart w:id="844" w:name="_Toc168402097"/>
      <w:bookmarkEnd w:id="844"/>
      <w:bookmarkStart w:id="845" w:name="_Toc168402211"/>
      <w:bookmarkEnd w:id="845"/>
      <w:bookmarkStart w:id="846" w:name="_Toc168402070"/>
      <w:bookmarkEnd w:id="846"/>
      <w:bookmarkStart w:id="847" w:name="_Toc168401783"/>
      <w:bookmarkEnd w:id="847"/>
      <w:bookmarkStart w:id="848" w:name="_Toc168401918"/>
      <w:bookmarkEnd w:id="848"/>
      <w:bookmarkStart w:id="849" w:name="_Toc168400037"/>
      <w:bookmarkEnd w:id="849"/>
      <w:bookmarkStart w:id="850" w:name="_Toc168400523"/>
      <w:bookmarkEnd w:id="850"/>
      <w:bookmarkStart w:id="851" w:name="_Toc168400189"/>
      <w:bookmarkEnd w:id="851"/>
      <w:bookmarkStart w:id="852" w:name="_Toc168400195"/>
      <w:bookmarkEnd w:id="852"/>
      <w:bookmarkStart w:id="853" w:name="_Toc168401897"/>
      <w:bookmarkEnd w:id="853"/>
      <w:bookmarkStart w:id="854" w:name="_Toc168402175"/>
      <w:bookmarkEnd w:id="854"/>
      <w:bookmarkStart w:id="855" w:name="_Toc168401190"/>
      <w:bookmarkEnd w:id="855"/>
      <w:bookmarkStart w:id="856" w:name="_Toc168400585"/>
      <w:bookmarkEnd w:id="856"/>
      <w:bookmarkStart w:id="857" w:name="_Toc168400912"/>
      <w:bookmarkEnd w:id="857"/>
      <w:bookmarkStart w:id="858" w:name="_Toc168401174"/>
      <w:bookmarkEnd w:id="858"/>
      <w:bookmarkStart w:id="859" w:name="_Toc168400612"/>
      <w:bookmarkEnd w:id="859"/>
      <w:bookmarkStart w:id="860" w:name="_Toc168400069"/>
      <w:bookmarkEnd w:id="860"/>
      <w:bookmarkStart w:id="861" w:name="_Toc168400882"/>
      <w:bookmarkEnd w:id="861"/>
      <w:bookmarkStart w:id="862" w:name="_Toc168401618"/>
      <w:bookmarkEnd w:id="862"/>
      <w:bookmarkStart w:id="863" w:name="_Toc168399864"/>
      <w:bookmarkEnd w:id="863"/>
      <w:bookmarkStart w:id="864" w:name="_Toc168399894"/>
      <w:bookmarkEnd w:id="864"/>
      <w:bookmarkStart w:id="865" w:name="_Toc168401169"/>
      <w:bookmarkEnd w:id="865"/>
      <w:bookmarkStart w:id="866" w:name="_Toc168401669"/>
      <w:bookmarkEnd w:id="866"/>
      <w:bookmarkStart w:id="867" w:name="_Toc168401848"/>
      <w:bookmarkEnd w:id="867"/>
      <w:bookmarkStart w:id="868" w:name="_Toc168401889"/>
      <w:bookmarkEnd w:id="868"/>
      <w:bookmarkStart w:id="869" w:name="_Toc168399546"/>
      <w:bookmarkEnd w:id="869"/>
      <w:bookmarkStart w:id="870" w:name="_Toc168401617"/>
      <w:bookmarkEnd w:id="870"/>
      <w:bookmarkStart w:id="871" w:name="_Toc168399922"/>
      <w:bookmarkEnd w:id="871"/>
      <w:bookmarkStart w:id="872" w:name="_Toc168400356"/>
      <w:bookmarkEnd w:id="872"/>
      <w:bookmarkStart w:id="873" w:name="_Toc168401774"/>
      <w:bookmarkEnd w:id="873"/>
      <w:bookmarkStart w:id="874" w:name="_Toc168400743"/>
      <w:bookmarkEnd w:id="874"/>
      <w:bookmarkStart w:id="875" w:name="_Toc168401408"/>
      <w:bookmarkEnd w:id="875"/>
      <w:bookmarkStart w:id="876" w:name="_Toc168400995"/>
      <w:bookmarkEnd w:id="876"/>
      <w:bookmarkStart w:id="877" w:name="_Toc168400693"/>
      <w:bookmarkEnd w:id="877"/>
      <w:bookmarkStart w:id="878" w:name="_Toc168401317"/>
      <w:bookmarkEnd w:id="878"/>
      <w:bookmarkStart w:id="879" w:name="_Toc168400812"/>
      <w:bookmarkEnd w:id="879"/>
      <w:bookmarkStart w:id="880" w:name="_Toc168400917"/>
      <w:bookmarkEnd w:id="880"/>
      <w:bookmarkStart w:id="881" w:name="_Toc168399865"/>
      <w:bookmarkEnd w:id="881"/>
      <w:bookmarkStart w:id="882" w:name="_Toc168401435"/>
      <w:bookmarkEnd w:id="882"/>
      <w:bookmarkStart w:id="883" w:name="_Toc168402015"/>
      <w:bookmarkEnd w:id="883"/>
      <w:bookmarkStart w:id="884" w:name="_Toc168401715"/>
      <w:bookmarkEnd w:id="884"/>
      <w:bookmarkStart w:id="885" w:name="_Toc168402051"/>
      <w:bookmarkEnd w:id="885"/>
      <w:bookmarkStart w:id="886" w:name="_Toc168399812"/>
      <w:bookmarkEnd w:id="886"/>
      <w:bookmarkStart w:id="887" w:name="_Toc168399548"/>
      <w:bookmarkEnd w:id="887"/>
      <w:bookmarkStart w:id="888" w:name="_Toc168400806"/>
      <w:bookmarkEnd w:id="888"/>
      <w:bookmarkStart w:id="889" w:name="_Toc168401623"/>
      <w:bookmarkEnd w:id="889"/>
      <w:bookmarkStart w:id="890" w:name="_Toc168401191"/>
      <w:bookmarkEnd w:id="890"/>
      <w:bookmarkStart w:id="891" w:name="_Toc168400786"/>
      <w:bookmarkEnd w:id="891"/>
      <w:bookmarkStart w:id="892" w:name="_Toc168399685"/>
      <w:bookmarkEnd w:id="892"/>
      <w:bookmarkStart w:id="893" w:name="_Toc168400816"/>
      <w:bookmarkEnd w:id="893"/>
      <w:bookmarkStart w:id="894" w:name="_Toc168400156"/>
      <w:bookmarkEnd w:id="894"/>
      <w:bookmarkStart w:id="895" w:name="_Toc168399584"/>
      <w:bookmarkEnd w:id="895"/>
      <w:bookmarkStart w:id="896" w:name="_Toc168402209"/>
      <w:bookmarkEnd w:id="896"/>
      <w:bookmarkStart w:id="897" w:name="_Toc168401834"/>
      <w:bookmarkEnd w:id="897"/>
      <w:bookmarkStart w:id="898" w:name="_Toc168399984"/>
      <w:bookmarkEnd w:id="898"/>
      <w:bookmarkStart w:id="899" w:name="_Toc168400553"/>
      <w:bookmarkEnd w:id="899"/>
      <w:bookmarkStart w:id="900" w:name="_Toc168401878"/>
      <w:bookmarkEnd w:id="900"/>
      <w:bookmarkStart w:id="901" w:name="_Toc168401498"/>
      <w:bookmarkEnd w:id="901"/>
      <w:bookmarkStart w:id="902" w:name="_Toc168400852"/>
      <w:bookmarkEnd w:id="902"/>
      <w:bookmarkStart w:id="903" w:name="_Toc168400177"/>
      <w:bookmarkEnd w:id="903"/>
      <w:bookmarkStart w:id="904" w:name="_Toc168400050"/>
      <w:bookmarkEnd w:id="904"/>
      <w:bookmarkStart w:id="905" w:name="_Toc168400817"/>
      <w:bookmarkEnd w:id="905"/>
      <w:bookmarkStart w:id="906" w:name="_Toc168401607"/>
      <w:bookmarkEnd w:id="906"/>
      <w:bookmarkStart w:id="907" w:name="_Toc168402024"/>
      <w:bookmarkEnd w:id="907"/>
      <w:bookmarkStart w:id="908" w:name="_Toc168400506"/>
      <w:bookmarkEnd w:id="908"/>
      <w:bookmarkStart w:id="909" w:name="_Toc168401703"/>
      <w:bookmarkEnd w:id="909"/>
      <w:bookmarkStart w:id="910" w:name="_Toc168401177"/>
      <w:bookmarkEnd w:id="910"/>
      <w:bookmarkStart w:id="911" w:name="_Toc168400411"/>
      <w:bookmarkEnd w:id="911"/>
      <w:bookmarkStart w:id="912" w:name="_Toc168402237"/>
      <w:bookmarkEnd w:id="912"/>
      <w:bookmarkStart w:id="913" w:name="_Toc168400901"/>
      <w:bookmarkEnd w:id="913"/>
      <w:bookmarkStart w:id="914" w:name="_Toc168400075"/>
      <w:bookmarkEnd w:id="914"/>
      <w:bookmarkStart w:id="915" w:name="_Toc168402016"/>
      <w:bookmarkEnd w:id="915"/>
      <w:bookmarkStart w:id="916" w:name="_Toc168400470"/>
      <w:bookmarkEnd w:id="916"/>
      <w:bookmarkStart w:id="917" w:name="_Toc168401517"/>
      <w:bookmarkEnd w:id="917"/>
      <w:bookmarkStart w:id="918" w:name="_Toc168400209"/>
      <w:bookmarkEnd w:id="918"/>
      <w:bookmarkStart w:id="919" w:name="_Toc168400261"/>
      <w:bookmarkEnd w:id="919"/>
      <w:bookmarkStart w:id="920" w:name="_Toc168399698"/>
      <w:bookmarkEnd w:id="920"/>
      <w:bookmarkStart w:id="921" w:name="_Toc168400624"/>
      <w:bookmarkEnd w:id="921"/>
      <w:bookmarkStart w:id="922" w:name="_Toc168401969"/>
      <w:bookmarkEnd w:id="922"/>
      <w:bookmarkStart w:id="923" w:name="_Toc168399988"/>
      <w:bookmarkEnd w:id="923"/>
      <w:bookmarkStart w:id="924" w:name="_Toc168401908"/>
      <w:bookmarkEnd w:id="924"/>
      <w:bookmarkStart w:id="925" w:name="_Toc168401870"/>
      <w:bookmarkEnd w:id="925"/>
      <w:bookmarkStart w:id="926" w:name="_Toc168400845"/>
      <w:bookmarkEnd w:id="926"/>
      <w:bookmarkStart w:id="927" w:name="_Toc168402215"/>
      <w:bookmarkEnd w:id="927"/>
      <w:bookmarkStart w:id="928" w:name="_Toc168401704"/>
      <w:bookmarkEnd w:id="928"/>
      <w:bookmarkStart w:id="929" w:name="_Toc168400157"/>
      <w:bookmarkEnd w:id="929"/>
      <w:bookmarkStart w:id="930" w:name="_Toc168399776"/>
      <w:bookmarkEnd w:id="930"/>
      <w:bookmarkStart w:id="931" w:name="_Toc168399817"/>
      <w:bookmarkEnd w:id="931"/>
      <w:bookmarkStart w:id="932" w:name="_Toc168401882"/>
      <w:bookmarkEnd w:id="932"/>
      <w:bookmarkStart w:id="933" w:name="_Toc168400951"/>
      <w:bookmarkEnd w:id="933"/>
      <w:bookmarkStart w:id="934" w:name="_Toc168401480"/>
      <w:bookmarkEnd w:id="934"/>
      <w:bookmarkStart w:id="935" w:name="_Toc168402202"/>
      <w:bookmarkEnd w:id="935"/>
      <w:bookmarkStart w:id="936" w:name="_Toc168399644"/>
      <w:bookmarkEnd w:id="936"/>
      <w:bookmarkStart w:id="937" w:name="_Toc168401048"/>
      <w:bookmarkEnd w:id="937"/>
      <w:bookmarkStart w:id="938" w:name="_Toc168401983"/>
      <w:bookmarkEnd w:id="938"/>
      <w:bookmarkStart w:id="939" w:name="_Toc168401556"/>
      <w:bookmarkEnd w:id="939"/>
      <w:bookmarkStart w:id="940" w:name="_Toc168400873"/>
      <w:bookmarkEnd w:id="940"/>
      <w:bookmarkStart w:id="941" w:name="_Toc168401629"/>
      <w:bookmarkEnd w:id="941"/>
      <w:bookmarkStart w:id="942" w:name="_Toc168400795"/>
      <w:bookmarkEnd w:id="942"/>
      <w:bookmarkStart w:id="943" w:name="_Toc168400944"/>
      <w:bookmarkEnd w:id="943"/>
      <w:bookmarkStart w:id="944" w:name="_Toc168401876"/>
      <w:bookmarkEnd w:id="944"/>
      <w:bookmarkStart w:id="945" w:name="_Toc168400885"/>
      <w:bookmarkEnd w:id="945"/>
      <w:bookmarkStart w:id="946" w:name="_Toc168399664"/>
      <w:bookmarkEnd w:id="946"/>
      <w:bookmarkStart w:id="947" w:name="_Toc168402230"/>
      <w:bookmarkEnd w:id="947"/>
      <w:bookmarkStart w:id="948" w:name="_Toc168401299"/>
      <w:bookmarkEnd w:id="948"/>
      <w:bookmarkStart w:id="949" w:name="_Toc168401965"/>
      <w:bookmarkEnd w:id="949"/>
      <w:bookmarkStart w:id="950" w:name="_Toc168401661"/>
      <w:bookmarkEnd w:id="950"/>
      <w:bookmarkStart w:id="951" w:name="_Toc168400384"/>
      <w:bookmarkEnd w:id="951"/>
      <w:bookmarkStart w:id="952" w:name="_Toc168399779"/>
      <w:bookmarkEnd w:id="952"/>
      <w:bookmarkStart w:id="953" w:name="_Toc168401539"/>
      <w:bookmarkEnd w:id="953"/>
      <w:bookmarkStart w:id="954" w:name="_Toc168400646"/>
      <w:bookmarkEnd w:id="954"/>
      <w:bookmarkStart w:id="955" w:name="_Toc168400031"/>
      <w:bookmarkEnd w:id="955"/>
      <w:bookmarkStart w:id="956" w:name="_Toc168399778"/>
      <w:bookmarkEnd w:id="956"/>
      <w:bookmarkStart w:id="957" w:name="_Toc168400346"/>
      <w:bookmarkEnd w:id="957"/>
      <w:bookmarkStart w:id="958" w:name="_Toc168400907"/>
      <w:bookmarkEnd w:id="958"/>
      <w:bookmarkStart w:id="959" w:name="_Toc168399945"/>
      <w:bookmarkEnd w:id="959"/>
      <w:bookmarkStart w:id="960" w:name="_Toc168401145"/>
      <w:bookmarkEnd w:id="960"/>
      <w:bookmarkStart w:id="961" w:name="_Toc168400445"/>
      <w:bookmarkEnd w:id="961"/>
      <w:bookmarkStart w:id="962" w:name="_Toc168399917"/>
      <w:bookmarkEnd w:id="962"/>
      <w:bookmarkStart w:id="963" w:name="_Toc168399907"/>
      <w:bookmarkEnd w:id="963"/>
      <w:bookmarkStart w:id="964" w:name="_Toc168401915"/>
      <w:bookmarkEnd w:id="964"/>
      <w:bookmarkStart w:id="965" w:name="_Toc168401571"/>
      <w:bookmarkEnd w:id="965"/>
      <w:bookmarkStart w:id="966" w:name="_Toc168400051"/>
      <w:bookmarkEnd w:id="966"/>
      <w:bookmarkStart w:id="967" w:name="_Toc168401051"/>
      <w:bookmarkEnd w:id="967"/>
      <w:bookmarkStart w:id="968" w:name="_Toc168401990"/>
      <w:bookmarkEnd w:id="968"/>
      <w:bookmarkStart w:id="969" w:name="_Toc168400336"/>
      <w:bookmarkEnd w:id="969"/>
      <w:bookmarkStart w:id="970" w:name="_Toc168401256"/>
      <w:bookmarkEnd w:id="970"/>
      <w:bookmarkStart w:id="971" w:name="_Toc168399995"/>
      <w:bookmarkEnd w:id="971"/>
      <w:bookmarkStart w:id="972" w:name="_Toc168401187"/>
      <w:bookmarkEnd w:id="972"/>
      <w:bookmarkStart w:id="973" w:name="_Toc168401677"/>
      <w:bookmarkEnd w:id="973"/>
      <w:bookmarkStart w:id="974" w:name="_Toc168400840"/>
      <w:bookmarkEnd w:id="974"/>
      <w:bookmarkStart w:id="975" w:name="_Toc168399913"/>
      <w:bookmarkEnd w:id="975"/>
      <w:bookmarkStart w:id="976" w:name="_Toc168401747"/>
      <w:bookmarkEnd w:id="976"/>
      <w:bookmarkStart w:id="977" w:name="_Toc168401239"/>
      <w:bookmarkEnd w:id="977"/>
      <w:bookmarkStart w:id="978" w:name="_Toc168400682"/>
      <w:bookmarkEnd w:id="978"/>
      <w:bookmarkStart w:id="979" w:name="_Toc168402060"/>
      <w:bookmarkEnd w:id="979"/>
      <w:bookmarkStart w:id="980" w:name="_Toc168400361"/>
      <w:bookmarkEnd w:id="980"/>
      <w:bookmarkStart w:id="981" w:name="_Toc168401342"/>
      <w:bookmarkEnd w:id="981"/>
      <w:bookmarkStart w:id="982" w:name="_Toc168400165"/>
      <w:bookmarkEnd w:id="982"/>
      <w:bookmarkStart w:id="983" w:name="_Toc168401830"/>
      <w:bookmarkEnd w:id="983"/>
      <w:bookmarkStart w:id="984" w:name="_Toc168402031"/>
      <w:bookmarkEnd w:id="984"/>
      <w:bookmarkStart w:id="985" w:name="_Toc168401831"/>
      <w:bookmarkEnd w:id="985"/>
      <w:bookmarkStart w:id="986" w:name="_Toc168401468"/>
      <w:bookmarkEnd w:id="986"/>
      <w:bookmarkStart w:id="987" w:name="_Toc168400236"/>
      <w:bookmarkEnd w:id="987"/>
      <w:bookmarkStart w:id="988" w:name="_Toc168400772"/>
      <w:bookmarkEnd w:id="988"/>
      <w:bookmarkStart w:id="989" w:name="_Toc168400677"/>
      <w:bookmarkEnd w:id="989"/>
      <w:bookmarkStart w:id="990" w:name="_Toc168400389"/>
      <w:bookmarkEnd w:id="990"/>
      <w:bookmarkStart w:id="991" w:name="_Toc168400034"/>
      <w:bookmarkEnd w:id="991"/>
      <w:bookmarkStart w:id="992" w:name="_Toc168400558"/>
      <w:bookmarkEnd w:id="992"/>
      <w:bookmarkStart w:id="993" w:name="_Toc168401476"/>
      <w:bookmarkEnd w:id="993"/>
      <w:bookmarkStart w:id="994" w:name="_Toc168399639"/>
      <w:bookmarkEnd w:id="994"/>
      <w:bookmarkStart w:id="995" w:name="_Toc168400570"/>
      <w:bookmarkEnd w:id="995"/>
      <w:bookmarkStart w:id="996" w:name="_Toc168399912"/>
      <w:bookmarkEnd w:id="996"/>
      <w:bookmarkStart w:id="997" w:name="_Toc168401646"/>
      <w:bookmarkEnd w:id="997"/>
      <w:bookmarkStart w:id="998" w:name="_Toc168401402"/>
      <w:bookmarkEnd w:id="998"/>
      <w:bookmarkStart w:id="999" w:name="_Toc168400695"/>
      <w:bookmarkEnd w:id="999"/>
      <w:bookmarkStart w:id="1000" w:name="_Toc168400630"/>
      <w:bookmarkEnd w:id="1000"/>
      <w:bookmarkStart w:id="1001" w:name="_Toc168401865"/>
      <w:bookmarkEnd w:id="1001"/>
      <w:bookmarkStart w:id="1002" w:name="_Toc168401384"/>
      <w:bookmarkEnd w:id="1002"/>
      <w:bookmarkStart w:id="1003" w:name="_Toc168402195"/>
      <w:bookmarkEnd w:id="1003"/>
      <w:bookmarkStart w:id="1004" w:name="_Toc168401366"/>
      <w:bookmarkEnd w:id="1004"/>
      <w:bookmarkStart w:id="1005" w:name="_Toc168399986"/>
      <w:bookmarkEnd w:id="1005"/>
      <w:bookmarkStart w:id="1006" w:name="_Toc168400556"/>
      <w:bookmarkEnd w:id="1006"/>
      <w:bookmarkStart w:id="1007" w:name="_Toc168402224"/>
      <w:bookmarkEnd w:id="1007"/>
      <w:bookmarkStart w:id="1008" w:name="_Toc168401107"/>
      <w:bookmarkEnd w:id="1008"/>
      <w:bookmarkStart w:id="1009" w:name="_Toc168400973"/>
      <w:bookmarkEnd w:id="1009"/>
      <w:bookmarkStart w:id="1010" w:name="_Toc168400373"/>
      <w:bookmarkEnd w:id="1010"/>
      <w:bookmarkStart w:id="1011" w:name="_Toc168399593"/>
      <w:bookmarkEnd w:id="1011"/>
      <w:bookmarkStart w:id="1012" w:name="_Toc168401912"/>
      <w:bookmarkEnd w:id="1012"/>
      <w:bookmarkStart w:id="1013" w:name="_Toc168400131"/>
      <w:bookmarkEnd w:id="1013"/>
      <w:bookmarkStart w:id="1014" w:name="_Toc168400424"/>
      <w:bookmarkEnd w:id="1014"/>
      <w:bookmarkStart w:id="1015" w:name="_Toc168401974"/>
      <w:bookmarkEnd w:id="1015"/>
      <w:bookmarkStart w:id="1016" w:name="_Toc168401683"/>
      <w:bookmarkEnd w:id="1016"/>
      <w:bookmarkStart w:id="1017" w:name="_Toc168401851"/>
      <w:bookmarkEnd w:id="1017"/>
      <w:bookmarkStart w:id="1018" w:name="_RAYCHEM"/>
      <w:bookmarkEnd w:id="1018"/>
      <w:bookmarkStart w:id="1019" w:name="_Toc168399612"/>
      <w:bookmarkEnd w:id="1019"/>
      <w:bookmarkStart w:id="1020" w:name="_Toc168399974"/>
      <w:bookmarkEnd w:id="1020"/>
      <w:bookmarkStart w:id="1021" w:name="_Toc168402235"/>
      <w:bookmarkEnd w:id="1021"/>
      <w:bookmarkStart w:id="1022" w:name="_Toc168401728"/>
      <w:bookmarkEnd w:id="1022"/>
      <w:bookmarkStart w:id="1023" w:name="_Toc168399775"/>
      <w:bookmarkEnd w:id="1023"/>
      <w:bookmarkStart w:id="1024" w:name="_Toc168399619"/>
      <w:bookmarkEnd w:id="1024"/>
      <w:bookmarkStart w:id="1025" w:name="_Toc168401053"/>
      <w:bookmarkEnd w:id="1025"/>
      <w:bookmarkStart w:id="1026" w:name="_Toc168400193"/>
      <w:bookmarkEnd w:id="1026"/>
      <w:bookmarkStart w:id="1027" w:name="_Toc168400191"/>
      <w:bookmarkEnd w:id="1027"/>
      <w:bookmarkStart w:id="1028" w:name="_Toc168399673"/>
      <w:bookmarkEnd w:id="1028"/>
      <w:bookmarkStart w:id="1029" w:name="_Toc168399624"/>
      <w:bookmarkEnd w:id="1029"/>
      <w:bookmarkStart w:id="1030" w:name="_Toc168401720"/>
      <w:bookmarkEnd w:id="1030"/>
      <w:bookmarkStart w:id="1031" w:name="_Toc168399634"/>
      <w:bookmarkEnd w:id="1031"/>
      <w:bookmarkStart w:id="1032" w:name="_Toc168401265"/>
      <w:bookmarkEnd w:id="1032"/>
      <w:bookmarkStart w:id="1033" w:name="_Toc168400811"/>
      <w:bookmarkEnd w:id="1033"/>
      <w:bookmarkStart w:id="1034" w:name="_Toc168401940"/>
      <w:bookmarkEnd w:id="1034"/>
      <w:bookmarkStart w:id="1035" w:name="_Toc168402206"/>
      <w:bookmarkEnd w:id="1035"/>
      <w:bookmarkStart w:id="1036" w:name="_Toc168402137"/>
      <w:bookmarkEnd w:id="1036"/>
      <w:bookmarkStart w:id="1037" w:name="_Toc168401266"/>
      <w:bookmarkEnd w:id="1037"/>
      <w:bookmarkStart w:id="1038" w:name="_Toc168401117"/>
      <w:bookmarkEnd w:id="1038"/>
      <w:bookmarkStart w:id="1039" w:name="_Toc168399722"/>
      <w:bookmarkEnd w:id="1039"/>
      <w:bookmarkStart w:id="1040" w:name="_Toc168400419"/>
      <w:bookmarkEnd w:id="1040"/>
      <w:bookmarkStart w:id="1041" w:name="_Toc168400410"/>
      <w:bookmarkEnd w:id="1041"/>
      <w:bookmarkStart w:id="1042" w:name="_Toc168399830"/>
      <w:bookmarkEnd w:id="1042"/>
      <w:bookmarkStart w:id="1043" w:name="_Toc168401409"/>
      <w:bookmarkEnd w:id="1043"/>
      <w:bookmarkStart w:id="1044" w:name="_Toc168400509"/>
      <w:bookmarkEnd w:id="1044"/>
      <w:bookmarkStart w:id="1045" w:name="_Toc168400592"/>
      <w:bookmarkEnd w:id="1045"/>
      <w:bookmarkStart w:id="1046" w:name="_Toc168400757"/>
      <w:bookmarkEnd w:id="1046"/>
      <w:bookmarkStart w:id="1047" w:name="_Toc168400357"/>
      <w:bookmarkEnd w:id="1047"/>
      <w:bookmarkStart w:id="1048" w:name="_Toc168400508"/>
      <w:bookmarkEnd w:id="1048"/>
      <w:bookmarkStart w:id="1049" w:name="_Toc168401586"/>
      <w:bookmarkEnd w:id="1049"/>
      <w:bookmarkStart w:id="1050" w:name="_Toc168400000"/>
      <w:bookmarkEnd w:id="1050"/>
      <w:bookmarkStart w:id="1051" w:name="_Toc168399596"/>
      <w:bookmarkEnd w:id="1051"/>
      <w:bookmarkStart w:id="1052" w:name="_Toc168401215"/>
      <w:bookmarkEnd w:id="1052"/>
      <w:bookmarkStart w:id="1053" w:name="_Toc168400158"/>
      <w:bookmarkEnd w:id="1053"/>
      <w:bookmarkStart w:id="1054" w:name="_Toc168400657"/>
      <w:bookmarkEnd w:id="1054"/>
      <w:bookmarkStart w:id="1055" w:name="_Toc168400919"/>
      <w:bookmarkEnd w:id="1055"/>
      <w:bookmarkStart w:id="1056" w:name="_Toc168402160"/>
      <w:bookmarkEnd w:id="1056"/>
      <w:bookmarkStart w:id="1057" w:name="_Toc168399628"/>
      <w:bookmarkEnd w:id="1057"/>
      <w:bookmarkStart w:id="1058" w:name="_Toc168400752"/>
      <w:bookmarkEnd w:id="1058"/>
      <w:bookmarkStart w:id="1059" w:name="_Toc168400899"/>
      <w:bookmarkEnd w:id="1059"/>
      <w:bookmarkStart w:id="1060" w:name="_Toc168400135"/>
      <w:bookmarkEnd w:id="1060"/>
      <w:bookmarkStart w:id="1061" w:name="_Toc168401738"/>
      <w:bookmarkEnd w:id="1061"/>
      <w:bookmarkStart w:id="1062" w:name="_Toc168402054"/>
      <w:bookmarkEnd w:id="1062"/>
      <w:bookmarkStart w:id="1063" w:name="_Toc168400240"/>
      <w:bookmarkEnd w:id="1063"/>
      <w:bookmarkStart w:id="1064" w:name="_Toc168401741"/>
      <w:bookmarkEnd w:id="1064"/>
      <w:bookmarkStart w:id="1065" w:name="_Toc168401801"/>
      <w:bookmarkEnd w:id="1065"/>
      <w:bookmarkStart w:id="1066" w:name="_Toc168401020"/>
      <w:bookmarkEnd w:id="1066"/>
      <w:bookmarkStart w:id="1067" w:name="_Toc168401978"/>
      <w:bookmarkEnd w:id="1067"/>
      <w:bookmarkStart w:id="1068" w:name="_Toc168401465"/>
      <w:bookmarkEnd w:id="1068"/>
      <w:bookmarkStart w:id="1069" w:name="_Toc168400252"/>
      <w:bookmarkEnd w:id="1069"/>
      <w:bookmarkStart w:id="1070" w:name="_Toc168400827"/>
      <w:bookmarkEnd w:id="1070"/>
      <w:bookmarkStart w:id="1071" w:name="_Toc168402120"/>
      <w:bookmarkEnd w:id="1071"/>
      <w:bookmarkStart w:id="1072" w:name="_Toc168401877"/>
      <w:bookmarkEnd w:id="1072"/>
      <w:bookmarkStart w:id="1073" w:name="_Toc168399982"/>
      <w:bookmarkEnd w:id="1073"/>
      <w:bookmarkStart w:id="1074" w:name="_Toc168401043"/>
      <w:bookmarkEnd w:id="1074"/>
      <w:bookmarkStart w:id="1075" w:name="_Toc168400824"/>
      <w:bookmarkEnd w:id="1075"/>
      <w:bookmarkStart w:id="1076" w:name="_Toc168400549"/>
      <w:bookmarkEnd w:id="1076"/>
      <w:bookmarkStart w:id="1077" w:name="_Toc168399637"/>
      <w:bookmarkEnd w:id="1077"/>
      <w:bookmarkStart w:id="1078" w:name="_Toc168399598"/>
      <w:bookmarkEnd w:id="1078"/>
      <w:bookmarkStart w:id="1079" w:name="_Toc168402059"/>
      <w:bookmarkEnd w:id="1079"/>
      <w:bookmarkStart w:id="1080" w:name="_Toc168400115"/>
      <w:bookmarkEnd w:id="1080"/>
      <w:bookmarkStart w:id="1081" w:name="_Toc168400774"/>
      <w:bookmarkEnd w:id="1081"/>
      <w:bookmarkStart w:id="1082" w:name="_Toc168400174"/>
      <w:bookmarkEnd w:id="1082"/>
      <w:bookmarkStart w:id="1083" w:name="_Toc168399968"/>
      <w:bookmarkEnd w:id="1083"/>
      <w:bookmarkStart w:id="1084" w:name="_Toc168401560"/>
      <w:bookmarkEnd w:id="1084"/>
      <w:bookmarkStart w:id="1085" w:name="_Toc168399954"/>
      <w:bookmarkEnd w:id="1085"/>
      <w:bookmarkStart w:id="1086" w:name="_Toc168401933"/>
      <w:bookmarkEnd w:id="1086"/>
      <w:bookmarkStart w:id="1087" w:name="_Toc168400516"/>
      <w:bookmarkEnd w:id="1087"/>
      <w:bookmarkStart w:id="1088" w:name="_Toc168400769"/>
      <w:bookmarkEnd w:id="1088"/>
      <w:bookmarkStart w:id="1089" w:name="_Toc168400781"/>
      <w:bookmarkEnd w:id="1089"/>
      <w:bookmarkStart w:id="1090" w:name="_Toc168401954"/>
      <w:bookmarkEnd w:id="1090"/>
      <w:bookmarkStart w:id="1091" w:name="_Toc168399620"/>
      <w:bookmarkEnd w:id="1091"/>
      <w:bookmarkStart w:id="1092" w:name="_Toc168400861"/>
      <w:bookmarkEnd w:id="1092"/>
      <w:bookmarkStart w:id="1093" w:name="_Toc168399990"/>
      <w:bookmarkEnd w:id="1093"/>
      <w:bookmarkStart w:id="1094" w:name="_Toc168400064"/>
      <w:bookmarkEnd w:id="1094"/>
      <w:bookmarkStart w:id="1095" w:name="_Toc168401121"/>
      <w:bookmarkEnd w:id="1095"/>
      <w:bookmarkStart w:id="1096" w:name="_Toc168400982"/>
      <w:bookmarkEnd w:id="1096"/>
      <w:bookmarkStart w:id="1097" w:name="_Toc168401416"/>
      <w:bookmarkEnd w:id="1097"/>
      <w:bookmarkStart w:id="1098" w:name="_Toc168400889"/>
      <w:bookmarkEnd w:id="1098"/>
      <w:bookmarkStart w:id="1099" w:name="_Toc168400886"/>
      <w:bookmarkEnd w:id="1099"/>
      <w:bookmarkStart w:id="1100" w:name="_Toc168399957"/>
      <w:bookmarkEnd w:id="1100"/>
      <w:bookmarkStart w:id="1101" w:name="_Toc168400196"/>
      <w:bookmarkEnd w:id="1101"/>
      <w:bookmarkStart w:id="1102" w:name="_Toc168400828"/>
      <w:bookmarkEnd w:id="1102"/>
      <w:bookmarkStart w:id="1103" w:name="_Toc168400232"/>
      <w:bookmarkEnd w:id="1103"/>
      <w:bookmarkStart w:id="1104" w:name="_Toc168399537"/>
      <w:bookmarkEnd w:id="1104"/>
      <w:bookmarkStart w:id="1105" w:name="_Toc168400086"/>
      <w:bookmarkEnd w:id="1105"/>
      <w:bookmarkStart w:id="1106" w:name="_Toc168400106"/>
      <w:bookmarkEnd w:id="1106"/>
      <w:bookmarkStart w:id="1107" w:name="_Toc168400091"/>
      <w:bookmarkEnd w:id="1107"/>
      <w:bookmarkStart w:id="1108" w:name="_Toc168400401"/>
      <w:bookmarkEnd w:id="1108"/>
      <w:bookmarkStart w:id="1109" w:name="_Toc168402204"/>
      <w:bookmarkEnd w:id="1109"/>
      <w:bookmarkStart w:id="1110" w:name="_Toc168401387"/>
      <w:bookmarkEnd w:id="1110"/>
      <w:bookmarkStart w:id="1111" w:name="_Toc168401959"/>
      <w:bookmarkEnd w:id="1111"/>
      <w:bookmarkStart w:id="1112" w:name="_Toc168401371"/>
      <w:bookmarkEnd w:id="1112"/>
      <w:bookmarkStart w:id="1113" w:name="_Toc168400126"/>
      <w:bookmarkEnd w:id="1113"/>
      <w:bookmarkStart w:id="1114" w:name="_Toc168401866"/>
      <w:bookmarkEnd w:id="1114"/>
      <w:bookmarkStart w:id="1115" w:name="_Toc168400616"/>
      <w:bookmarkEnd w:id="1115"/>
      <w:bookmarkStart w:id="1116" w:name="_Toc168400810"/>
      <w:bookmarkEnd w:id="1116"/>
      <w:bookmarkStart w:id="1117" w:name="_Toc168399578"/>
      <w:bookmarkEnd w:id="1117"/>
      <w:bookmarkStart w:id="1118" w:name="_Toc168400550"/>
      <w:bookmarkEnd w:id="1118"/>
      <w:bookmarkStart w:id="1119" w:name="_Toc168400621"/>
      <w:bookmarkEnd w:id="1119"/>
      <w:bookmarkStart w:id="1120" w:name="_Toc168400408"/>
      <w:bookmarkEnd w:id="1120"/>
      <w:bookmarkStart w:id="1121" w:name="_Toc168400825"/>
      <w:bookmarkEnd w:id="1121"/>
      <w:bookmarkStart w:id="1122" w:name="_Toc168401828"/>
      <w:bookmarkEnd w:id="1122"/>
      <w:bookmarkStart w:id="1123" w:name="_Toc168401803"/>
      <w:bookmarkEnd w:id="1123"/>
      <w:bookmarkStart w:id="1124" w:name="_Toc168401445"/>
      <w:bookmarkEnd w:id="1124"/>
      <w:bookmarkStart w:id="1125" w:name="_Toc168400078"/>
      <w:bookmarkEnd w:id="1125"/>
      <w:bookmarkStart w:id="1126" w:name="_Toc168400425"/>
      <w:bookmarkEnd w:id="1126"/>
      <w:bookmarkStart w:id="1127" w:name="_Toc168399550"/>
      <w:bookmarkEnd w:id="1127"/>
      <w:bookmarkStart w:id="1128" w:name="_Toc168400609"/>
      <w:bookmarkEnd w:id="1128"/>
      <w:bookmarkStart w:id="1129" w:name="_Toc168401771"/>
      <w:bookmarkEnd w:id="1129"/>
      <w:bookmarkStart w:id="1130" w:name="_Toc168400045"/>
      <w:bookmarkEnd w:id="1130"/>
      <w:bookmarkStart w:id="1131" w:name="_Toc168400280"/>
      <w:bookmarkEnd w:id="1131"/>
      <w:bookmarkStart w:id="1132" w:name="_Toc168401520"/>
      <w:bookmarkEnd w:id="1132"/>
      <w:bookmarkStart w:id="1133" w:name="_Toc168401794"/>
      <w:bookmarkEnd w:id="1133"/>
      <w:bookmarkStart w:id="1134" w:name="_Toc168399701"/>
      <w:bookmarkEnd w:id="1134"/>
      <w:bookmarkStart w:id="1135" w:name="_Toc168400420"/>
      <w:bookmarkEnd w:id="1135"/>
      <w:bookmarkStart w:id="1136" w:name="_Toc168400581"/>
      <w:bookmarkEnd w:id="1136"/>
      <w:bookmarkStart w:id="1137" w:name="_Toc168401749"/>
      <w:bookmarkEnd w:id="1137"/>
      <w:bookmarkStart w:id="1138" w:name="_Toc168400449"/>
      <w:bookmarkEnd w:id="1138"/>
      <w:bookmarkStart w:id="1139" w:name="_Toc168400083"/>
      <w:bookmarkEnd w:id="1139"/>
      <w:bookmarkStart w:id="1140" w:name="_Toc168399883"/>
      <w:bookmarkEnd w:id="1140"/>
      <w:bookmarkStart w:id="1141" w:name="_Toc168401799"/>
      <w:bookmarkEnd w:id="1141"/>
      <w:bookmarkStart w:id="1142" w:name="_Toc168400344"/>
      <w:bookmarkEnd w:id="1142"/>
      <w:bookmarkStart w:id="1143" w:name="_Toc168401341"/>
      <w:bookmarkEnd w:id="1143"/>
      <w:bookmarkStart w:id="1144" w:name="_Toc168401980"/>
      <w:bookmarkEnd w:id="1144"/>
      <w:bookmarkStart w:id="1145" w:name="_Toc168401113"/>
      <w:bookmarkEnd w:id="1145"/>
      <w:bookmarkStart w:id="1146" w:name="_Toc168400984"/>
      <w:bookmarkEnd w:id="1146"/>
      <w:bookmarkStart w:id="1147" w:name="_Toc168402198"/>
      <w:bookmarkEnd w:id="1147"/>
      <w:bookmarkStart w:id="1148" w:name="_Toc168399609"/>
      <w:bookmarkEnd w:id="1148"/>
      <w:bookmarkStart w:id="1149" w:name="_Toc168400520"/>
      <w:bookmarkEnd w:id="1149"/>
      <w:bookmarkStart w:id="1150" w:name="_Toc168399671"/>
      <w:bookmarkEnd w:id="1150"/>
      <w:bookmarkStart w:id="1151" w:name="_Toc168400586"/>
      <w:bookmarkEnd w:id="1151"/>
      <w:bookmarkStart w:id="1152" w:name="_Toc168399867"/>
      <w:bookmarkEnd w:id="1152"/>
      <w:bookmarkStart w:id="1153" w:name="_Toc168399869"/>
      <w:bookmarkEnd w:id="1153"/>
      <w:bookmarkStart w:id="1154" w:name="_Toc168399897"/>
      <w:bookmarkEnd w:id="1154"/>
      <w:bookmarkStart w:id="1155" w:name="_Toc168401712"/>
      <w:bookmarkEnd w:id="1155"/>
      <w:bookmarkStart w:id="1156" w:name="_Toc168402239"/>
      <w:bookmarkEnd w:id="1156"/>
      <w:bookmarkStart w:id="1157" w:name="_Toc168400481"/>
      <w:bookmarkEnd w:id="1157"/>
      <w:bookmarkStart w:id="1158" w:name="_Toc168401036"/>
      <w:bookmarkEnd w:id="1158"/>
      <w:bookmarkStart w:id="1159" w:name="_Toc168401438"/>
      <w:bookmarkEnd w:id="1159"/>
      <w:bookmarkStart w:id="1160" w:name="_Toc168400955"/>
      <w:bookmarkEnd w:id="1160"/>
      <w:bookmarkStart w:id="1161" w:name="_Toc168401082"/>
      <w:bookmarkEnd w:id="1161"/>
      <w:bookmarkStart w:id="1162" w:name="_Toc168399904"/>
      <w:bookmarkEnd w:id="1162"/>
      <w:bookmarkStart w:id="1163" w:name="_Toc168400052"/>
      <w:bookmarkEnd w:id="1163"/>
      <w:bookmarkStart w:id="1164" w:name="_Toc168401066"/>
      <w:bookmarkEnd w:id="1164"/>
      <w:bookmarkStart w:id="1165" w:name="_Toc168402147"/>
      <w:bookmarkEnd w:id="1165"/>
      <w:bookmarkStart w:id="1166" w:name="_Toc168401761"/>
      <w:bookmarkEnd w:id="1166"/>
      <w:bookmarkStart w:id="1167" w:name="_Toc168400271"/>
      <w:bookmarkEnd w:id="1167"/>
      <w:bookmarkStart w:id="1168" w:name="_Toc168400434"/>
      <w:bookmarkEnd w:id="1168"/>
      <w:bookmarkStart w:id="1169" w:name="_Toc168400084"/>
      <w:bookmarkEnd w:id="1169"/>
      <w:bookmarkStart w:id="1170" w:name="_Toc168401139"/>
      <w:bookmarkEnd w:id="1170"/>
      <w:bookmarkStart w:id="1171" w:name="_Toc168400029"/>
      <w:bookmarkEnd w:id="1171"/>
      <w:bookmarkStart w:id="1172" w:name="_Toc168399748"/>
      <w:bookmarkEnd w:id="1172"/>
      <w:bookmarkStart w:id="1173" w:name="_Toc168399603"/>
      <w:bookmarkEnd w:id="1173"/>
      <w:bookmarkStart w:id="1174" w:name="_Toc168399890"/>
      <w:bookmarkEnd w:id="1174"/>
      <w:bookmarkStart w:id="1175" w:name="_Toc168400457"/>
      <w:bookmarkEnd w:id="1175"/>
      <w:bookmarkStart w:id="1176" w:name="_Toc168401224"/>
      <w:bookmarkEnd w:id="1176"/>
      <w:bookmarkStart w:id="1177" w:name="_Toc168401429"/>
      <w:bookmarkEnd w:id="1177"/>
      <w:bookmarkStart w:id="1178" w:name="_Toc168401968"/>
      <w:bookmarkEnd w:id="1178"/>
      <w:bookmarkStart w:id="1179" w:name="_Toc168399557"/>
      <w:bookmarkEnd w:id="1179"/>
      <w:bookmarkStart w:id="1180" w:name="_Toc168401787"/>
      <w:bookmarkEnd w:id="1180"/>
      <w:bookmarkStart w:id="1181" w:name="_Toc168401700"/>
      <w:bookmarkEnd w:id="1181"/>
      <w:bookmarkStart w:id="1182" w:name="_Toc168399847"/>
      <w:bookmarkEnd w:id="1182"/>
      <w:bookmarkStart w:id="1183" w:name="_Toc168400441"/>
      <w:bookmarkEnd w:id="1183"/>
      <w:bookmarkStart w:id="1184" w:name="_Toc168399690"/>
      <w:bookmarkEnd w:id="1184"/>
      <w:bookmarkStart w:id="1185" w:name="_Toc105144716"/>
      <w:bookmarkEnd w:id="1185"/>
      <w:bookmarkStart w:id="1186" w:name="_Toc168400286"/>
      <w:bookmarkEnd w:id="1186"/>
      <w:bookmarkStart w:id="1187" w:name="_Toc168401462"/>
      <w:bookmarkEnd w:id="1187"/>
      <w:bookmarkStart w:id="1188" w:name="_Toc168400761"/>
      <w:bookmarkEnd w:id="1188"/>
      <w:bookmarkStart w:id="1189" w:name="_Toc168400104"/>
      <w:bookmarkEnd w:id="1189"/>
      <w:bookmarkStart w:id="1190" w:name="_Toc168400019"/>
      <w:bookmarkEnd w:id="1190"/>
      <w:bookmarkStart w:id="1191" w:name="_Toc168402155"/>
      <w:bookmarkEnd w:id="1191"/>
      <w:bookmarkStart w:id="1192" w:name="_Toc168400374"/>
      <w:bookmarkEnd w:id="1192"/>
      <w:bookmarkStart w:id="1193" w:name="_Toc168400292"/>
      <w:bookmarkEnd w:id="1193"/>
      <w:bookmarkStart w:id="1194" w:name="_SATECPM130"/>
      <w:bookmarkEnd w:id="1194"/>
      <w:bookmarkStart w:id="1195" w:name="_Toc168401575"/>
      <w:bookmarkEnd w:id="1195"/>
      <w:bookmarkStart w:id="1196" w:name="_Toc168402192"/>
      <w:bookmarkEnd w:id="1196"/>
      <w:bookmarkStart w:id="1197" w:name="_Toc168400578"/>
      <w:bookmarkEnd w:id="1197"/>
      <w:bookmarkStart w:id="1198" w:name="_Toc168401426"/>
      <w:bookmarkEnd w:id="1198"/>
      <w:bookmarkStart w:id="1199" w:name="_Toc168402176"/>
      <w:bookmarkEnd w:id="1199"/>
      <w:bookmarkStart w:id="1200" w:name="_Toc168399519"/>
      <w:bookmarkEnd w:id="1200"/>
      <w:bookmarkStart w:id="1201" w:name="_Toc168401297"/>
      <w:bookmarkEnd w:id="1201"/>
      <w:bookmarkStart w:id="1202" w:name="_Toc168400423"/>
      <w:bookmarkEnd w:id="1202"/>
      <w:bookmarkStart w:id="1203" w:name="_Toc168399800"/>
      <w:bookmarkEnd w:id="1203"/>
      <w:bookmarkStart w:id="1204" w:name="_Toc168401044"/>
      <w:bookmarkEnd w:id="1204"/>
      <w:bookmarkStart w:id="1205" w:name="_Toc168401360"/>
      <w:bookmarkEnd w:id="1205"/>
      <w:bookmarkStart w:id="1206" w:name="_Toc168401183"/>
      <w:bookmarkEnd w:id="1206"/>
      <w:bookmarkStart w:id="1207" w:name="_Toc168401214"/>
      <w:bookmarkEnd w:id="1207"/>
      <w:bookmarkStart w:id="1208" w:name="_Toc168400317"/>
      <w:bookmarkEnd w:id="1208"/>
      <w:bookmarkStart w:id="1209" w:name="_Toc168400146"/>
      <w:bookmarkEnd w:id="1209"/>
      <w:bookmarkStart w:id="1210" w:name="_Toc168400692"/>
      <w:bookmarkEnd w:id="1210"/>
      <w:bookmarkStart w:id="1211" w:name="_Toc168400409"/>
      <w:bookmarkEnd w:id="1211"/>
      <w:bookmarkStart w:id="1212" w:name="_Toc168400039"/>
      <w:bookmarkEnd w:id="1212"/>
      <w:bookmarkStart w:id="1213" w:name="_Toc168400116"/>
      <w:bookmarkEnd w:id="1213"/>
      <w:bookmarkStart w:id="1214" w:name="_Toc168400122"/>
      <w:bookmarkEnd w:id="1214"/>
      <w:bookmarkStart w:id="1215" w:name="_Toc168400574"/>
      <w:bookmarkEnd w:id="1215"/>
      <w:bookmarkStart w:id="1216" w:name="_Toc168401779"/>
      <w:bookmarkEnd w:id="1216"/>
      <w:bookmarkStart w:id="1217" w:name="_Toc168400211"/>
      <w:bookmarkEnd w:id="1217"/>
      <w:bookmarkStart w:id="1218" w:name="_Toc168400637"/>
      <w:bookmarkEnd w:id="1218"/>
      <w:bookmarkStart w:id="1219" w:name="_Toc168401916"/>
      <w:bookmarkEnd w:id="1219"/>
      <w:bookmarkStart w:id="1220" w:name="_Toc168401074"/>
      <w:bookmarkEnd w:id="1220"/>
      <w:bookmarkStart w:id="1221" w:name="_Toc168399973"/>
      <w:bookmarkEnd w:id="1221"/>
      <w:bookmarkStart w:id="1222" w:name="_Toc168401004"/>
      <w:bookmarkEnd w:id="1222"/>
      <w:bookmarkStart w:id="1223" w:name="_Toc168401439"/>
      <w:bookmarkEnd w:id="1223"/>
      <w:bookmarkStart w:id="1224" w:name="_Toc168401376"/>
      <w:bookmarkEnd w:id="1224"/>
      <w:bookmarkStart w:id="1225" w:name="_Toc168401307"/>
      <w:bookmarkEnd w:id="1225"/>
      <w:bookmarkStart w:id="1226" w:name="_Toc168399977"/>
      <w:bookmarkEnd w:id="1226"/>
      <w:bookmarkStart w:id="1227" w:name="_Toc168401605"/>
      <w:bookmarkEnd w:id="1227"/>
      <w:bookmarkStart w:id="1228" w:name="_Toc168401396"/>
      <w:bookmarkEnd w:id="1228"/>
      <w:bookmarkStart w:id="1229" w:name="_Toc168400623"/>
      <w:bookmarkEnd w:id="1229"/>
      <w:bookmarkStart w:id="1230" w:name="_Toc168399777"/>
      <w:bookmarkEnd w:id="1230"/>
      <w:bookmarkStart w:id="1231" w:name="_Toc168401235"/>
      <w:bookmarkEnd w:id="1231"/>
      <w:bookmarkStart w:id="1232" w:name="_Toc168399765"/>
      <w:bookmarkEnd w:id="1232"/>
      <w:bookmarkStart w:id="1233" w:name="_Toc168400996"/>
      <w:bookmarkEnd w:id="1233"/>
      <w:bookmarkStart w:id="1234" w:name="_Toc168402098"/>
      <w:bookmarkEnd w:id="1234"/>
      <w:bookmarkStart w:id="1235" w:name="_Toc168399998"/>
      <w:bookmarkEnd w:id="1235"/>
      <w:bookmarkStart w:id="1236" w:name="_Toc168399606"/>
      <w:bookmarkEnd w:id="1236"/>
      <w:bookmarkStart w:id="1237" w:name="_Toc168401080"/>
      <w:bookmarkEnd w:id="1237"/>
      <w:bookmarkStart w:id="1238" w:name="_Toc168401512"/>
      <w:bookmarkEnd w:id="1238"/>
      <w:bookmarkStart w:id="1239" w:name="_Toc168399563"/>
      <w:bookmarkEnd w:id="1239"/>
      <w:bookmarkStart w:id="1240" w:name="_Toc168401786"/>
      <w:bookmarkEnd w:id="1240"/>
      <w:bookmarkStart w:id="1241" w:name="_Toc168401832"/>
      <w:bookmarkEnd w:id="1241"/>
      <w:bookmarkStart w:id="1242" w:name="_Toc168401958"/>
      <w:bookmarkEnd w:id="1242"/>
      <w:bookmarkStart w:id="1243" w:name="_Toc168401389"/>
      <w:bookmarkEnd w:id="1243"/>
      <w:bookmarkStart w:id="1244" w:name="_Toc168400217"/>
      <w:bookmarkEnd w:id="1244"/>
      <w:bookmarkStart w:id="1245" w:name="_Toc168400320"/>
      <w:bookmarkEnd w:id="1245"/>
      <w:bookmarkStart w:id="1246" w:name="_Toc168399824"/>
      <w:bookmarkEnd w:id="1246"/>
      <w:bookmarkStart w:id="1247" w:name="_Toc168399734"/>
      <w:bookmarkEnd w:id="1247"/>
      <w:bookmarkStart w:id="1248" w:name="_Toc168399663"/>
      <w:bookmarkEnd w:id="1248"/>
      <w:bookmarkStart w:id="1249" w:name="_Toc168399963"/>
      <w:bookmarkEnd w:id="1249"/>
      <w:bookmarkStart w:id="1250" w:name="_Toc168402203"/>
      <w:bookmarkEnd w:id="1250"/>
      <w:bookmarkStart w:id="1251" w:name="_Toc168399610"/>
      <w:bookmarkEnd w:id="1251"/>
      <w:bookmarkStart w:id="1252" w:name="_Toc168400514"/>
      <w:bookmarkEnd w:id="1252"/>
      <w:bookmarkStart w:id="1253" w:name="_Toc168401680"/>
      <w:bookmarkEnd w:id="1253"/>
      <w:bookmarkStart w:id="1254" w:name="_Toc168399887"/>
      <w:bookmarkEnd w:id="1254"/>
      <w:bookmarkStart w:id="1255" w:name="_Toc168400400"/>
      <w:bookmarkEnd w:id="1255"/>
      <w:bookmarkStart w:id="1256" w:name="_Toc168400540"/>
      <w:bookmarkEnd w:id="1256"/>
      <w:bookmarkStart w:id="1257" w:name="_Toc168402006"/>
      <w:bookmarkEnd w:id="1257"/>
      <w:bookmarkStart w:id="1258" w:name="_Toc168400647"/>
      <w:bookmarkEnd w:id="1258"/>
      <w:bookmarkStart w:id="1259" w:name="_Toc168399691"/>
      <w:bookmarkEnd w:id="1259"/>
      <w:bookmarkStart w:id="1260" w:name="_Toc168401809"/>
      <w:bookmarkEnd w:id="1260"/>
      <w:bookmarkStart w:id="1261" w:name="_Toc168401588"/>
      <w:bookmarkEnd w:id="1261"/>
      <w:bookmarkStart w:id="1262" w:name="_Toc168401417"/>
      <w:bookmarkEnd w:id="1262"/>
      <w:bookmarkStart w:id="1263" w:name="_Toc168400547"/>
      <w:bookmarkEnd w:id="1263"/>
      <w:bookmarkStart w:id="1264" w:name="_Toc168400201"/>
      <w:bookmarkEnd w:id="1264"/>
      <w:bookmarkStart w:id="1265" w:name="_Toc168401942"/>
      <w:bookmarkEnd w:id="1265"/>
      <w:bookmarkStart w:id="1266" w:name="_Toc168400847"/>
      <w:bookmarkEnd w:id="1266"/>
      <w:bookmarkStart w:id="1267" w:name="_Toc168399640"/>
      <w:bookmarkEnd w:id="1267"/>
      <w:bookmarkStart w:id="1268" w:name="_Toc168400218"/>
      <w:bookmarkEnd w:id="1268"/>
      <w:bookmarkStart w:id="1269" w:name="_Toc168399923"/>
      <w:bookmarkEnd w:id="1269"/>
      <w:bookmarkStart w:id="1270" w:name="_Toc168401264"/>
      <w:bookmarkEnd w:id="1270"/>
      <w:bookmarkStart w:id="1271" w:name="_Toc168400856"/>
      <w:bookmarkEnd w:id="1271"/>
      <w:bookmarkStart w:id="1272" w:name="_Toc168400770"/>
      <w:bookmarkEnd w:id="1272"/>
      <w:bookmarkStart w:id="1273" w:name="_Toc168399983"/>
      <w:bookmarkEnd w:id="1273"/>
      <w:bookmarkStart w:id="1274" w:name="_Toc168400924"/>
      <w:bookmarkEnd w:id="1274"/>
      <w:bookmarkStart w:id="1275" w:name="_Toc168400492"/>
      <w:bookmarkEnd w:id="1275"/>
      <w:bookmarkStart w:id="1276" w:name="_Toc168400281"/>
      <w:bookmarkEnd w:id="1276"/>
      <w:bookmarkStart w:id="1277" w:name="_Toc168401736"/>
      <w:bookmarkEnd w:id="1277"/>
      <w:bookmarkStart w:id="1278" w:name="_Toc168400933"/>
      <w:bookmarkEnd w:id="1278"/>
      <w:bookmarkStart w:id="1279" w:name="_Toc168401705"/>
      <w:bookmarkEnd w:id="1279"/>
      <w:bookmarkStart w:id="1280" w:name="_Toc168401350"/>
      <w:bookmarkEnd w:id="1280"/>
      <w:bookmarkStart w:id="1281" w:name="_Toc168400640"/>
      <w:bookmarkEnd w:id="1281"/>
      <w:bookmarkStart w:id="1282" w:name="_Toc168400787"/>
      <w:bookmarkEnd w:id="1282"/>
      <w:bookmarkStart w:id="1283" w:name="_Toc168401656"/>
      <w:bookmarkEnd w:id="1283"/>
      <w:bookmarkStart w:id="1284" w:name="_Toc168400493"/>
      <w:bookmarkEnd w:id="1284"/>
      <w:bookmarkStart w:id="1285" w:name="_Toc168399745"/>
      <w:bookmarkEnd w:id="1285"/>
      <w:bookmarkStart w:id="1286" w:name="_Toc168400892"/>
      <w:bookmarkEnd w:id="1286"/>
      <w:bookmarkStart w:id="1287" w:name="_Toc168399856"/>
      <w:bookmarkEnd w:id="1287"/>
      <w:bookmarkStart w:id="1288" w:name="_Toc168401442"/>
      <w:bookmarkEnd w:id="1288"/>
      <w:bookmarkStart w:id="1289" w:name="_Toc168399918"/>
      <w:bookmarkEnd w:id="1289"/>
      <w:bookmarkStart w:id="1290" w:name="_Toc168401663"/>
      <w:bookmarkEnd w:id="1290"/>
      <w:bookmarkStart w:id="1291" w:name="_Toc168402112"/>
      <w:bookmarkEnd w:id="1291"/>
      <w:bookmarkStart w:id="1292" w:name="_Toc168401260"/>
      <w:bookmarkEnd w:id="1292"/>
      <w:bookmarkStart w:id="1293" w:name="_Toc168400940"/>
      <w:bookmarkEnd w:id="1293"/>
      <w:bookmarkStart w:id="1294" w:name="_Toc168401930"/>
      <w:bookmarkEnd w:id="1294"/>
      <w:bookmarkStart w:id="1295" w:name="_Toc168399895"/>
      <w:bookmarkEnd w:id="1295"/>
      <w:bookmarkStart w:id="1296" w:name="_Toc168400203"/>
      <w:bookmarkEnd w:id="1296"/>
      <w:bookmarkStart w:id="1297" w:name="_Toc168400546"/>
      <w:bookmarkEnd w:id="1297"/>
      <w:bookmarkStart w:id="1298" w:name="_Toc168400561"/>
      <w:bookmarkEnd w:id="1298"/>
      <w:bookmarkStart w:id="1299" w:name="_Toc168400274"/>
      <w:bookmarkEnd w:id="1299"/>
      <w:bookmarkStart w:id="1300" w:name="_Toc168401055"/>
      <w:bookmarkEnd w:id="1300"/>
      <w:bookmarkStart w:id="1301" w:name="_Toc168400903"/>
      <w:bookmarkEnd w:id="1301"/>
      <w:bookmarkStart w:id="1302" w:name="_Toc168400117"/>
      <w:bookmarkEnd w:id="1302"/>
      <w:bookmarkStart w:id="1303" w:name="_Toc168399753"/>
      <w:bookmarkEnd w:id="1303"/>
      <w:bookmarkStart w:id="1304" w:name="_Toc168401989"/>
      <w:bookmarkEnd w:id="1304"/>
      <w:bookmarkStart w:id="1305" w:name="_Toc168400247"/>
      <w:bookmarkEnd w:id="1305"/>
      <w:bookmarkStart w:id="1306" w:name="_Toc168400097"/>
      <w:bookmarkEnd w:id="1306"/>
      <w:bookmarkStart w:id="1307" w:name="_Toc168400777"/>
      <w:bookmarkEnd w:id="1307"/>
      <w:bookmarkStart w:id="1308" w:name="_Toc168400375"/>
      <w:bookmarkEnd w:id="1308"/>
      <w:bookmarkStart w:id="1309" w:name="_Toc168401102"/>
      <w:bookmarkEnd w:id="1309"/>
      <w:bookmarkStart w:id="1310" w:name="_Toc168401041"/>
      <w:bookmarkEnd w:id="1310"/>
      <w:bookmarkStart w:id="1311" w:name="_Toc168400059"/>
      <w:bookmarkEnd w:id="1311"/>
      <w:bookmarkStart w:id="1312" w:name="_Toc168402233"/>
      <w:bookmarkEnd w:id="1312"/>
      <w:bookmarkStart w:id="1313" w:name="_Toc168400921"/>
      <w:bookmarkEnd w:id="1313"/>
      <w:bookmarkStart w:id="1314" w:name="_Toc168399551"/>
      <w:bookmarkEnd w:id="1314"/>
      <w:bookmarkStart w:id="1315" w:name="_Toc168400625"/>
      <w:bookmarkEnd w:id="1315"/>
      <w:bookmarkStart w:id="1316" w:name="_Toc168400414"/>
      <w:bookmarkEnd w:id="1316"/>
      <w:bookmarkStart w:id="1317" w:name="_Toc168399859"/>
      <w:bookmarkEnd w:id="1317"/>
      <w:bookmarkStart w:id="1318" w:name="_Toc168400399"/>
      <w:bookmarkEnd w:id="1318"/>
      <w:bookmarkStart w:id="1319" w:name="_Toc168402124"/>
      <w:bookmarkEnd w:id="1319"/>
      <w:bookmarkStart w:id="1320" w:name="_Toc168400649"/>
      <w:bookmarkEnd w:id="1320"/>
      <w:bookmarkStart w:id="1321" w:name="_Toc168399721"/>
      <w:bookmarkEnd w:id="1321"/>
      <w:bookmarkStart w:id="1322" w:name="_Toc168400088"/>
      <w:bookmarkEnd w:id="1322"/>
      <w:bookmarkStart w:id="1323" w:name="_Toc168401690"/>
      <w:bookmarkEnd w:id="1323"/>
      <w:bookmarkStart w:id="1324" w:name="_Toc168400114"/>
      <w:bookmarkEnd w:id="1324"/>
      <w:bookmarkStart w:id="1325" w:name="_Toc168400835"/>
      <w:bookmarkEnd w:id="1325"/>
      <w:bookmarkStart w:id="1326" w:name="_Toc168401457"/>
      <w:bookmarkEnd w:id="1326"/>
      <w:bookmarkStart w:id="1327" w:name="_Toc168399771"/>
      <w:bookmarkEnd w:id="1327"/>
      <w:bookmarkStart w:id="1328" w:name="_Toc168402219"/>
      <w:bookmarkEnd w:id="1328"/>
      <w:bookmarkStart w:id="1329" w:name="_Toc168402018"/>
      <w:bookmarkEnd w:id="1329"/>
      <w:bookmarkStart w:id="1330" w:name="_Toc168401148"/>
      <w:bookmarkEnd w:id="1330"/>
      <w:bookmarkStart w:id="1331" w:name="_Toc168401546"/>
      <w:bookmarkEnd w:id="1331"/>
      <w:bookmarkStart w:id="1332" w:name="_Toc168401441"/>
      <w:bookmarkEnd w:id="1332"/>
      <w:bookmarkStart w:id="1333" w:name="_Toc168399927"/>
      <w:bookmarkEnd w:id="1333"/>
      <w:bookmarkStart w:id="1334" w:name="_Toc168400380"/>
      <w:bookmarkEnd w:id="1334"/>
      <w:bookmarkStart w:id="1335" w:name="_Toc168399583"/>
      <w:bookmarkEnd w:id="1335"/>
      <w:bookmarkStart w:id="1336" w:name="_Toc168400208"/>
      <w:bookmarkEnd w:id="1336"/>
      <w:bookmarkStart w:id="1337" w:name="_Toc168399872"/>
      <w:bookmarkEnd w:id="1337"/>
      <w:bookmarkStart w:id="1338" w:name="_Toc168400864"/>
      <w:bookmarkEnd w:id="1338"/>
      <w:bookmarkStart w:id="1339" w:name="_Toc168400245"/>
      <w:bookmarkEnd w:id="1339"/>
      <w:bookmarkStart w:id="1340" w:name="_Toc168401338"/>
      <w:bookmarkEnd w:id="1340"/>
      <w:bookmarkStart w:id="1341" w:name="_Toc168400489"/>
      <w:bookmarkEnd w:id="1341"/>
      <w:bookmarkStart w:id="1342" w:name="_Toc168400202"/>
      <w:bookmarkEnd w:id="1342"/>
      <w:bookmarkStart w:id="1343" w:name="_Toc168400460"/>
      <w:bookmarkEnd w:id="1343"/>
      <w:bookmarkStart w:id="1344" w:name="_Toc168400288"/>
      <w:bookmarkEnd w:id="1344"/>
      <w:bookmarkStart w:id="1345" w:name="_Toc168400390"/>
      <w:bookmarkEnd w:id="1345"/>
      <w:bookmarkStart w:id="1346" w:name="_Toc168400597"/>
      <w:bookmarkEnd w:id="1346"/>
      <w:bookmarkStart w:id="1347" w:name="_Toc168400494"/>
      <w:bookmarkEnd w:id="1347"/>
      <w:bookmarkStart w:id="1348" w:name="_Toc168399972"/>
      <w:bookmarkEnd w:id="1348"/>
      <w:bookmarkStart w:id="1349" w:name="_Toc168399877"/>
      <w:bookmarkEnd w:id="1349"/>
      <w:bookmarkStart w:id="1350" w:name="_Toc168400927"/>
      <w:bookmarkEnd w:id="1350"/>
      <w:bookmarkStart w:id="1351" w:name="_Toc168400046"/>
      <w:bookmarkEnd w:id="1351"/>
      <w:bookmarkStart w:id="1352" w:name="_Toc168400456"/>
      <w:bookmarkEnd w:id="1352"/>
      <w:bookmarkStart w:id="1353" w:name="_Toc168400038"/>
      <w:bookmarkEnd w:id="1353"/>
      <w:bookmarkStart w:id="1354" w:name="_Toc168399948"/>
      <w:bookmarkEnd w:id="1354"/>
      <w:bookmarkStart w:id="1355" w:name="_Toc168400631"/>
      <w:bookmarkEnd w:id="1355"/>
      <w:bookmarkStart w:id="1356" w:name="_Toc168400200"/>
      <w:bookmarkEnd w:id="1356"/>
      <w:bookmarkStart w:id="1357" w:name="_Toc168401640"/>
      <w:bookmarkEnd w:id="1357"/>
      <w:bookmarkStart w:id="1358" w:name="_Toc168401850"/>
      <w:bookmarkEnd w:id="1358"/>
      <w:bookmarkStart w:id="1359" w:name="_Toc168399804"/>
      <w:bookmarkEnd w:id="1359"/>
      <w:bookmarkStart w:id="1360" w:name="_Toc168401109"/>
      <w:bookmarkEnd w:id="1360"/>
      <w:bookmarkStart w:id="1361" w:name="_Toc168400134"/>
      <w:bookmarkEnd w:id="1361"/>
      <w:bookmarkStart w:id="1362" w:name="_Toc168400986"/>
      <w:bookmarkEnd w:id="1362"/>
      <w:bookmarkStart w:id="1363" w:name="_Toc168400223"/>
      <w:bookmarkEnd w:id="1363"/>
      <w:bookmarkStart w:id="1364" w:name="_Toc168401913"/>
      <w:bookmarkEnd w:id="1364"/>
      <w:bookmarkStart w:id="1365" w:name="_Toc168399908"/>
      <w:bookmarkEnd w:id="1365"/>
      <w:bookmarkStart w:id="1366" w:name="_Toc168402142"/>
      <w:bookmarkEnd w:id="1366"/>
      <w:bookmarkStart w:id="1367" w:name="_Toc168399595"/>
      <w:bookmarkEnd w:id="1367"/>
      <w:bookmarkStart w:id="1368" w:name="_Toc168400923"/>
      <w:bookmarkEnd w:id="1368"/>
      <w:bookmarkStart w:id="1369" w:name="_Toc168401676"/>
      <w:bookmarkEnd w:id="1369"/>
      <w:bookmarkStart w:id="1370" w:name="_Toc168401998"/>
      <w:bookmarkEnd w:id="1370"/>
      <w:bookmarkStart w:id="1371" w:name="_Toc168401598"/>
      <w:bookmarkEnd w:id="1371"/>
      <w:bookmarkStart w:id="1372" w:name="_Toc168400048"/>
      <w:bookmarkEnd w:id="1372"/>
      <w:bookmarkStart w:id="1373" w:name="_Toc168401580"/>
      <w:bookmarkEnd w:id="1373"/>
      <w:bookmarkStart w:id="1374" w:name="_Toc168400991"/>
      <w:bookmarkEnd w:id="1374"/>
      <w:bookmarkStart w:id="1375" w:name="_Toc168399861"/>
      <w:bookmarkEnd w:id="1375"/>
      <w:bookmarkStart w:id="1376" w:name="_Toc168400347"/>
      <w:bookmarkEnd w:id="1376"/>
      <w:bookmarkStart w:id="1377" w:name="_Toc168401068"/>
      <w:bookmarkEnd w:id="1377"/>
      <w:bookmarkStart w:id="1378" w:name="_Toc168401028"/>
      <w:bookmarkEnd w:id="1378"/>
      <w:bookmarkStart w:id="1379" w:name="_Toc168400351"/>
      <w:bookmarkEnd w:id="1379"/>
      <w:bookmarkStart w:id="1380" w:name="_Toc168400669"/>
      <w:bookmarkEnd w:id="1380"/>
      <w:bookmarkStart w:id="1381" w:name="_Toc168399964"/>
      <w:bookmarkEnd w:id="1381"/>
      <w:bookmarkStart w:id="1382" w:name="_Toc168401572"/>
      <w:bookmarkEnd w:id="1382"/>
      <w:bookmarkStart w:id="1383" w:name="_Toc168401632"/>
      <w:bookmarkEnd w:id="1383"/>
      <w:bookmarkStart w:id="1384" w:name="_Toc168400388"/>
      <w:bookmarkEnd w:id="1384"/>
      <w:bookmarkStart w:id="1385" w:name="_Toc168401655"/>
      <w:bookmarkEnd w:id="1385"/>
      <w:bookmarkStart w:id="1386" w:name="_Toc168401584"/>
      <w:bookmarkEnd w:id="1386"/>
      <w:bookmarkStart w:id="1387" w:name="_Toc168399899"/>
      <w:bookmarkEnd w:id="1387"/>
      <w:bookmarkStart w:id="1388" w:name="_Toc168399873"/>
      <w:bookmarkEnd w:id="1388"/>
      <w:bookmarkStart w:id="1389" w:name="_Toc168401325"/>
      <w:bookmarkEnd w:id="1389"/>
      <w:bookmarkStart w:id="1390" w:name="_Toc168399516"/>
      <w:bookmarkEnd w:id="1390"/>
      <w:bookmarkStart w:id="1391" w:name="_Toc168400396"/>
      <w:bookmarkEnd w:id="1391"/>
      <w:bookmarkStart w:id="1392" w:name="_Toc168401824"/>
      <w:bookmarkEnd w:id="1392"/>
      <w:bookmarkStart w:id="1393" w:name="_Toc168399689"/>
      <w:bookmarkEnd w:id="1393"/>
      <w:bookmarkStart w:id="1394" w:name="_Toc168399704"/>
      <w:bookmarkEnd w:id="1394"/>
      <w:bookmarkStart w:id="1395" w:name="_Toc168401902"/>
      <w:bookmarkEnd w:id="1395"/>
      <w:bookmarkStart w:id="1396" w:name="_Toc168400265"/>
      <w:bookmarkEnd w:id="1396"/>
      <w:bookmarkStart w:id="1397" w:name="_Toc168401631"/>
      <w:bookmarkEnd w:id="1397"/>
      <w:bookmarkStart w:id="1398" w:name="_Toc168400016"/>
      <w:bookmarkEnd w:id="1398"/>
      <w:bookmarkStart w:id="1399" w:name="_Toc168401593"/>
      <w:bookmarkEnd w:id="1399"/>
      <w:bookmarkStart w:id="1400" w:name="_Toc168402207"/>
      <w:bookmarkEnd w:id="1400"/>
      <w:bookmarkStart w:id="1401" w:name="_Toc168401871"/>
      <w:bookmarkEnd w:id="1401"/>
      <w:bookmarkStart w:id="1402" w:name="_Toc168400970"/>
      <w:bookmarkEnd w:id="1402"/>
      <w:bookmarkStart w:id="1403" w:name="_Toc168402144"/>
      <w:bookmarkEnd w:id="1403"/>
      <w:bookmarkStart w:id="1404" w:name="_Toc168402069"/>
      <w:bookmarkEnd w:id="1404"/>
      <w:bookmarkStart w:id="1405" w:name="_Toc168399900"/>
      <w:bookmarkEnd w:id="1405"/>
      <w:bookmarkStart w:id="1406" w:name="_Toc168401157"/>
      <w:bookmarkEnd w:id="1406"/>
      <w:bookmarkStart w:id="1407" w:name="_Toc168401095"/>
      <w:bookmarkEnd w:id="1407"/>
      <w:bookmarkStart w:id="1408" w:name="_Toc168400957"/>
      <w:bookmarkEnd w:id="1408"/>
      <w:bookmarkStart w:id="1409" w:name="_Toc168400763"/>
      <w:bookmarkEnd w:id="1409"/>
      <w:bookmarkStart w:id="1410" w:name="_Toc168401549"/>
      <w:bookmarkEnd w:id="1410"/>
      <w:bookmarkStart w:id="1411" w:name="_Toc168400928"/>
      <w:bookmarkEnd w:id="1411"/>
      <w:bookmarkStart w:id="1412" w:name="_Toc168401606"/>
      <w:bookmarkEnd w:id="1412"/>
      <w:bookmarkStart w:id="1413" w:name="_Toc168400171"/>
      <w:bookmarkEnd w:id="1413"/>
      <w:bookmarkStart w:id="1414" w:name="_Toc168400931"/>
      <w:bookmarkEnd w:id="1414"/>
      <w:bookmarkStart w:id="1415" w:name="_Toc168401112"/>
      <w:bookmarkEnd w:id="1415"/>
      <w:bookmarkStart w:id="1416" w:name="_Toc168402083"/>
      <w:bookmarkEnd w:id="1416"/>
      <w:bookmarkStart w:id="1417" w:name="_Toc168401388"/>
      <w:bookmarkEnd w:id="1417"/>
      <w:bookmarkStart w:id="1418" w:name="_Toc168400484"/>
      <w:bookmarkEnd w:id="1418"/>
      <w:bookmarkStart w:id="1419" w:name="_Toc168399667"/>
      <w:bookmarkEnd w:id="1419"/>
      <w:bookmarkStart w:id="1420" w:name="_Toc168400785"/>
      <w:bookmarkEnd w:id="1420"/>
      <w:bookmarkStart w:id="1421" w:name="_Toc168399843"/>
      <w:bookmarkEnd w:id="1421"/>
      <w:bookmarkStart w:id="1422" w:name="_Toc168401456"/>
      <w:bookmarkEnd w:id="1422"/>
      <w:bookmarkStart w:id="1423" w:name="_Toc168400567"/>
      <w:bookmarkEnd w:id="1423"/>
      <w:bookmarkStart w:id="1424" w:name="_Toc168401077"/>
      <w:bookmarkEnd w:id="1424"/>
      <w:bookmarkStart w:id="1425" w:name="_Toc168400779"/>
      <w:bookmarkEnd w:id="1425"/>
      <w:bookmarkStart w:id="1426" w:name="_Toc168402141"/>
      <w:bookmarkEnd w:id="1426"/>
      <w:bookmarkStart w:id="1427" w:name="_Toc168401859"/>
      <w:bookmarkEnd w:id="1427"/>
      <w:bookmarkStart w:id="1428" w:name="_Toc168400239"/>
      <w:bookmarkEnd w:id="1428"/>
      <w:bookmarkStart w:id="1429" w:name="_Toc168401311"/>
      <w:bookmarkEnd w:id="1429"/>
      <w:bookmarkStart w:id="1430" w:name="_Toc168402146"/>
      <w:bookmarkEnd w:id="1430"/>
      <w:bookmarkStart w:id="1431" w:name="_Toc168400560"/>
      <w:bookmarkEnd w:id="1431"/>
      <w:bookmarkStart w:id="1432" w:name="_Toc168400544"/>
      <w:bookmarkEnd w:id="1432"/>
      <w:bookmarkStart w:id="1433" w:name="_Toc168402180"/>
      <w:bookmarkEnd w:id="1433"/>
      <w:bookmarkStart w:id="1434" w:name="_Toc168402208"/>
      <w:bookmarkEnd w:id="1434"/>
      <w:bookmarkStart w:id="1435" w:name="_Toc168400759"/>
      <w:bookmarkEnd w:id="1435"/>
      <w:bookmarkStart w:id="1436" w:name="_Toc168401428"/>
      <w:bookmarkEnd w:id="1436"/>
      <w:bookmarkStart w:id="1437" w:name="_Toc168400962"/>
      <w:bookmarkEnd w:id="1437"/>
      <w:bookmarkStart w:id="1438" w:name="_Toc168400593"/>
      <w:bookmarkEnd w:id="1438"/>
      <w:bookmarkStart w:id="1439" w:name="_Toc168401042"/>
      <w:bookmarkEnd w:id="1439"/>
      <w:bookmarkStart w:id="1440" w:name="_Toc168401797"/>
      <w:bookmarkEnd w:id="1440"/>
      <w:bookmarkStart w:id="1441" w:name="_Toc168401425"/>
      <w:bookmarkEnd w:id="1441"/>
      <w:bookmarkStart w:id="1442" w:name="_Toc168400214"/>
      <w:bookmarkEnd w:id="1442"/>
      <w:bookmarkStart w:id="1443" w:name="_Toc168400750"/>
      <w:bookmarkEnd w:id="1443"/>
      <w:bookmarkStart w:id="1444" w:name="_Toc168401070"/>
      <w:bookmarkEnd w:id="1444"/>
      <w:bookmarkStart w:id="1445" w:name="_Toc168402163"/>
      <w:bookmarkEnd w:id="1445"/>
      <w:bookmarkStart w:id="1446" w:name="_Toc168401975"/>
      <w:bookmarkEnd w:id="1446"/>
      <w:bookmarkStart w:id="1447" w:name="_Toc168400800"/>
      <w:bookmarkEnd w:id="1447"/>
      <w:bookmarkStart w:id="1448" w:name="_Toc168400618"/>
      <w:bookmarkEnd w:id="1448"/>
      <w:bookmarkStart w:id="1449" w:name="_Toc168400382"/>
      <w:bookmarkEnd w:id="1449"/>
      <w:bookmarkStart w:id="1450" w:name="_Toc168401956"/>
      <w:bookmarkEnd w:id="1450"/>
      <w:bookmarkStart w:id="1451" w:name="_Toc168401812"/>
      <w:bookmarkEnd w:id="1451"/>
      <w:bookmarkStart w:id="1452" w:name="_Toc168401582"/>
      <w:bookmarkEnd w:id="1452"/>
      <w:bookmarkStart w:id="1453" w:name="_Toc168401451"/>
      <w:bookmarkEnd w:id="1453"/>
      <w:bookmarkStart w:id="1454" w:name="_Toc168400620"/>
      <w:bookmarkEnd w:id="1454"/>
      <w:bookmarkStart w:id="1455" w:name="_Toc168401805"/>
      <w:bookmarkEnd w:id="1455"/>
      <w:bookmarkStart w:id="1456" w:name="_Toc168399705"/>
      <w:bookmarkEnd w:id="1456"/>
      <w:bookmarkStart w:id="1457" w:name="_Toc168400058"/>
      <w:bookmarkEnd w:id="1457"/>
      <w:bookmarkStart w:id="1458" w:name="_Toc168401412"/>
      <w:bookmarkEnd w:id="1458"/>
      <w:bookmarkStart w:id="1459" w:name="_Toc168400155"/>
      <w:bookmarkEnd w:id="1459"/>
      <w:bookmarkStart w:id="1460" w:name="_Toc168400076"/>
      <w:bookmarkEnd w:id="1460"/>
      <w:bookmarkStart w:id="1461" w:name="_Toc168399870"/>
      <w:bookmarkEnd w:id="1461"/>
      <w:bookmarkStart w:id="1462" w:name="_Toc168400998"/>
      <w:bookmarkEnd w:id="1462"/>
      <w:bookmarkStart w:id="1463" w:name="_Toc168399564"/>
      <w:bookmarkEnd w:id="1463"/>
      <w:bookmarkStart w:id="1464" w:name="_Toc168401594"/>
      <w:bookmarkEnd w:id="1464"/>
      <w:bookmarkStart w:id="1465" w:name="_Toc168401273"/>
      <w:bookmarkEnd w:id="1465"/>
      <w:bookmarkStart w:id="1466" w:name="_Toc168400098"/>
      <w:bookmarkEnd w:id="1466"/>
      <w:bookmarkStart w:id="1467" w:name="_Toc168401473"/>
      <w:bookmarkEnd w:id="1467"/>
      <w:bookmarkStart w:id="1468" w:name="_Toc168400437"/>
      <w:bookmarkEnd w:id="1468"/>
      <w:bookmarkStart w:id="1469" w:name="_Toc168399825"/>
      <w:bookmarkEnd w:id="1469"/>
      <w:bookmarkStart w:id="1470" w:name="_Toc168401138"/>
      <w:bookmarkEnd w:id="1470"/>
      <w:bookmarkStart w:id="1471" w:name="_Toc168400022"/>
      <w:bookmarkEnd w:id="1471"/>
      <w:bookmarkStart w:id="1472" w:name="_Toc168401436"/>
      <w:bookmarkEnd w:id="1472"/>
      <w:bookmarkStart w:id="1473" w:name="_Toc168401923"/>
      <w:bookmarkEnd w:id="1473"/>
      <w:bookmarkStart w:id="1474" w:name="_Toc168401971"/>
      <w:bookmarkEnd w:id="1474"/>
      <w:bookmarkStart w:id="1475" w:name="_Toc168401920"/>
      <w:bookmarkEnd w:id="1475"/>
      <w:bookmarkStart w:id="1476" w:name="_Toc168400144"/>
      <w:bookmarkEnd w:id="1476"/>
      <w:bookmarkStart w:id="1477" w:name="_Toc168402088"/>
      <w:bookmarkEnd w:id="1477"/>
      <w:bookmarkStart w:id="1478" w:name="_Toc168400898"/>
      <w:bookmarkEnd w:id="1478"/>
      <w:bookmarkStart w:id="1479" w:name="_Toc168399654"/>
      <w:bookmarkEnd w:id="1479"/>
      <w:bookmarkStart w:id="1480" w:name="_Toc168400092"/>
      <w:bookmarkEnd w:id="1480"/>
      <w:bookmarkStart w:id="1481" w:name="_Toc168401030"/>
      <w:bookmarkEnd w:id="1481"/>
      <w:bookmarkStart w:id="1482" w:name="_Toc168401448"/>
      <w:bookmarkEnd w:id="1482"/>
      <w:bookmarkStart w:id="1483" w:name="_Toc168401340"/>
      <w:bookmarkEnd w:id="1483"/>
      <w:bookmarkStart w:id="1484" w:name="_Toc168401775"/>
      <w:bookmarkEnd w:id="1484"/>
      <w:bookmarkStart w:id="1485" w:name="_Toc168400282"/>
      <w:bookmarkEnd w:id="1485"/>
      <w:bookmarkStart w:id="1486" w:name="_Toc168401312"/>
      <w:bookmarkEnd w:id="1486"/>
      <w:bookmarkStart w:id="1487" w:name="_Toc168400789"/>
      <w:bookmarkEnd w:id="1487"/>
      <w:bookmarkStart w:id="1488" w:name="_Toc168400138"/>
      <w:bookmarkEnd w:id="1488"/>
      <w:bookmarkStart w:id="1489" w:name="_Toc168400014"/>
      <w:bookmarkEnd w:id="1489"/>
      <w:bookmarkStart w:id="1490" w:name="_Toc168401293"/>
      <w:bookmarkEnd w:id="1490"/>
      <w:bookmarkStart w:id="1491" w:name="_Toc168400353"/>
      <w:bookmarkEnd w:id="1491"/>
      <w:bookmarkStart w:id="1492" w:name="_Toc168400748"/>
      <w:bookmarkEnd w:id="1492"/>
      <w:bookmarkStart w:id="1493" w:name="_Toc168401650"/>
      <w:bookmarkEnd w:id="1493"/>
      <w:bookmarkStart w:id="1494" w:name="_Toc168400352"/>
      <w:bookmarkEnd w:id="1494"/>
      <w:bookmarkStart w:id="1495" w:name="_Toc168400865"/>
      <w:bookmarkEnd w:id="1495"/>
      <w:bookmarkStart w:id="1496" w:name="_Toc168401994"/>
      <w:bookmarkEnd w:id="1496"/>
      <w:bookmarkStart w:id="1497" w:name="_Toc168400391"/>
      <w:bookmarkEnd w:id="1497"/>
      <w:bookmarkStart w:id="1498" w:name="_Toc168401935"/>
      <w:bookmarkEnd w:id="1498"/>
      <w:bookmarkStart w:id="1499" w:name="_Toc168400238"/>
      <w:bookmarkEnd w:id="1499"/>
      <w:bookmarkStart w:id="1500" w:name="_Toc168401126"/>
      <w:bookmarkEnd w:id="1500"/>
      <w:bookmarkStart w:id="1501" w:name="_Toc168400884"/>
      <w:bookmarkEnd w:id="1501"/>
      <w:bookmarkStart w:id="1502" w:name="_Toc168400119"/>
      <w:bookmarkEnd w:id="1502"/>
      <w:bookmarkStart w:id="1503" w:name="_Toc168402042"/>
      <w:bookmarkEnd w:id="1503"/>
      <w:bookmarkStart w:id="1504" w:name="_Toc168401628"/>
      <w:bookmarkEnd w:id="1504"/>
      <w:bookmarkStart w:id="1505" w:name="_Toc168399731"/>
      <w:bookmarkEnd w:id="1505"/>
      <w:bookmarkStart w:id="1506" w:name="_Toc168399723"/>
      <w:bookmarkEnd w:id="1506"/>
      <w:bookmarkStart w:id="1507" w:name="_Toc168399797"/>
      <w:bookmarkEnd w:id="1507"/>
      <w:bookmarkStart w:id="1508" w:name="_Toc168399555"/>
      <w:bookmarkEnd w:id="1508"/>
      <w:bookmarkStart w:id="1509" w:name="_Toc168401905"/>
      <w:bookmarkEnd w:id="1509"/>
      <w:bookmarkStart w:id="1510" w:name="_Toc168399840"/>
      <w:bookmarkEnd w:id="1510"/>
      <w:bookmarkStart w:id="1511" w:name="_Toc168400902"/>
      <w:bookmarkEnd w:id="1511"/>
      <w:bookmarkStart w:id="1512" w:name="_Toc168400613"/>
      <w:bookmarkEnd w:id="1512"/>
      <w:bookmarkStart w:id="1513" w:name="_Toc168401035"/>
      <w:bookmarkEnd w:id="1513"/>
      <w:bookmarkStart w:id="1514" w:name="_Toc168401856"/>
      <w:bookmarkEnd w:id="1514"/>
      <w:bookmarkStart w:id="1515" w:name="_Toc105144586"/>
      <w:bookmarkEnd w:id="1515"/>
      <w:bookmarkStart w:id="1516" w:name="_Toc168400925"/>
      <w:bookmarkEnd w:id="1516"/>
      <w:bookmarkStart w:id="1517" w:name="_Toc168401780"/>
      <w:bookmarkEnd w:id="1517"/>
      <w:bookmarkStart w:id="1518" w:name="_Toc168400482"/>
      <w:bookmarkEnd w:id="1518"/>
      <w:bookmarkStart w:id="1519" w:name="_Toc168399579"/>
      <w:bookmarkEnd w:id="1519"/>
      <w:bookmarkStart w:id="1520" w:name="_Toc168401537"/>
      <w:bookmarkEnd w:id="1520"/>
      <w:bookmarkStart w:id="1521" w:name="_Toc168399540"/>
      <w:bookmarkEnd w:id="1521"/>
      <w:bookmarkStart w:id="1522" w:name="_Toc168399513"/>
      <w:bookmarkEnd w:id="1522"/>
      <w:bookmarkStart w:id="1523" w:name="_Toc168401545"/>
      <w:bookmarkEnd w:id="1523"/>
      <w:bookmarkStart w:id="1524" w:name="_Toc105144582"/>
      <w:bookmarkEnd w:id="1524"/>
      <w:bookmarkStart w:id="1525" w:name="_Toc168400249"/>
      <w:bookmarkEnd w:id="1525"/>
      <w:bookmarkStart w:id="1526" w:name="_Toc168399892"/>
      <w:bookmarkEnd w:id="1526"/>
      <w:bookmarkStart w:id="1527" w:name="_Toc168399599"/>
      <w:bookmarkEnd w:id="1527"/>
      <w:bookmarkStart w:id="1528" w:name="_Toc168401566"/>
      <w:bookmarkEnd w:id="1528"/>
      <w:bookmarkStart w:id="1529" w:name="_Toc168400379"/>
      <w:bookmarkEnd w:id="1529"/>
      <w:bookmarkStart w:id="1530" w:name="_Toc168402036"/>
      <w:bookmarkEnd w:id="1530"/>
      <w:bookmarkStart w:id="1531" w:name="_Toc168399601"/>
      <w:bookmarkEnd w:id="1531"/>
      <w:bookmarkStart w:id="1532" w:name="_Toc168401763"/>
      <w:bookmarkEnd w:id="1532"/>
      <w:bookmarkStart w:id="1533" w:name="_Toc168399965"/>
      <w:bookmarkEnd w:id="1533"/>
      <w:bookmarkStart w:id="1534" w:name="_Toc168400432"/>
      <w:bookmarkEnd w:id="1534"/>
      <w:bookmarkStart w:id="1535" w:name="_Toc168400548"/>
      <w:bookmarkEnd w:id="1535"/>
      <w:bookmarkStart w:id="1536" w:name="_Toc168401310"/>
      <w:bookmarkEnd w:id="1536"/>
      <w:bookmarkStart w:id="1537" w:name="_Toc168400166"/>
      <w:bookmarkEnd w:id="1537"/>
      <w:bookmarkStart w:id="1538" w:name="_Toc168401024"/>
      <w:bookmarkEnd w:id="1538"/>
      <w:bookmarkStart w:id="1539" w:name="_Toc168401745"/>
      <w:bookmarkEnd w:id="1539"/>
      <w:bookmarkStart w:id="1540" w:name="_Toc168399947"/>
      <w:bookmarkEnd w:id="1540"/>
      <w:bookmarkStart w:id="1541" w:name="_Toc168402029"/>
      <w:bookmarkEnd w:id="1541"/>
      <w:bookmarkStart w:id="1542" w:name="_Toc168401723"/>
      <w:bookmarkEnd w:id="1542"/>
      <w:bookmarkStart w:id="1543" w:name="_Toc168399714"/>
      <w:bookmarkEnd w:id="1543"/>
      <w:bookmarkStart w:id="1544" w:name="_Toc168401740"/>
      <w:bookmarkEnd w:id="1544"/>
      <w:bookmarkStart w:id="1545" w:name="_Toc168400467"/>
      <w:bookmarkEnd w:id="1545"/>
      <w:bookmarkStart w:id="1546" w:name="_Toc168401893"/>
      <w:bookmarkEnd w:id="1546"/>
      <w:bookmarkStart w:id="1547" w:name="_Toc168400204"/>
      <w:bookmarkEnd w:id="1547"/>
      <w:bookmarkStart w:id="1548" w:name="_Toc168402130"/>
      <w:bookmarkEnd w:id="1548"/>
      <w:bookmarkStart w:id="1549" w:name="_Toc168400082"/>
      <w:bookmarkEnd w:id="1549"/>
      <w:bookmarkStart w:id="1550" w:name="_Toc168401768"/>
      <w:bookmarkEnd w:id="1550"/>
      <w:bookmarkStart w:id="1551" w:name="_Toc168400079"/>
      <w:bookmarkEnd w:id="1551"/>
      <w:bookmarkStart w:id="1552" w:name="_Toc168401421"/>
      <w:bookmarkEnd w:id="1552"/>
      <w:bookmarkStart w:id="1553" w:name="_Toc168399737"/>
      <w:bookmarkEnd w:id="1553"/>
      <w:bookmarkStart w:id="1554" w:name="_Toc168400566"/>
      <w:bookmarkEnd w:id="1554"/>
      <w:bookmarkStart w:id="1555" w:name="_Toc168401875"/>
      <w:bookmarkEnd w:id="1555"/>
      <w:bookmarkStart w:id="1556" w:name="_Toc168401931"/>
      <w:bookmarkEnd w:id="1556"/>
      <w:bookmarkStart w:id="1557" w:name="_Toc168400263"/>
      <w:bookmarkEnd w:id="1557"/>
      <w:bookmarkStart w:id="1558" w:name="_Toc168401304"/>
      <w:bookmarkEnd w:id="1558"/>
      <w:bookmarkStart w:id="1559" w:name="_Toc168401242"/>
      <w:bookmarkEnd w:id="1559"/>
      <w:bookmarkStart w:id="1560" w:name="_Toc168399515"/>
      <w:bookmarkEnd w:id="1560"/>
      <w:bookmarkStart w:id="1561" w:name="_Toc168401185"/>
      <w:bookmarkEnd w:id="1561"/>
      <w:bookmarkStart w:id="1562" w:name="_Toc168399989"/>
      <w:bookmarkEnd w:id="1562"/>
      <w:bookmarkStart w:id="1563" w:name="_Toc168399893"/>
      <w:bookmarkEnd w:id="1563"/>
      <w:bookmarkStart w:id="1564" w:name="_Toc168400216"/>
      <w:bookmarkEnd w:id="1564"/>
      <w:bookmarkStart w:id="1565" w:name="_Toc168400491"/>
      <w:bookmarkEnd w:id="1565"/>
      <w:bookmarkStart w:id="1566" w:name="_Toc168401621"/>
      <w:bookmarkEnd w:id="1566"/>
      <w:bookmarkStart w:id="1567" w:name="_Toc168399581"/>
      <w:bookmarkEnd w:id="1567"/>
      <w:bookmarkStart w:id="1568" w:name="_Toc168400439"/>
      <w:bookmarkEnd w:id="1568"/>
      <w:bookmarkStart w:id="1569" w:name="_Toc168399814"/>
      <w:bookmarkEnd w:id="1569"/>
      <w:bookmarkStart w:id="1570" w:name="_Toc168401679"/>
      <w:bookmarkEnd w:id="1570"/>
      <w:bookmarkStart w:id="1571" w:name="_Toc168401668"/>
      <w:bookmarkEnd w:id="1571"/>
      <w:bookmarkStart w:id="1572" w:name="_Toc168400328"/>
      <w:bookmarkEnd w:id="1572"/>
      <w:bookmarkStart w:id="1573" w:name="_Toc168402090"/>
      <w:bookmarkEnd w:id="1573"/>
      <w:bookmarkStart w:id="1574" w:name="_Toc168399686"/>
      <w:bookmarkEnd w:id="1574"/>
      <w:bookmarkStart w:id="1575" w:name="_Toc168400255"/>
      <w:bookmarkEnd w:id="1575"/>
      <w:bookmarkStart w:id="1576" w:name="_Toc168401829"/>
      <w:bookmarkEnd w:id="1576"/>
      <w:bookmarkStart w:id="1577" w:name="_Toc168400667"/>
      <w:bookmarkEnd w:id="1577"/>
      <w:bookmarkStart w:id="1578" w:name="_Toc168400325"/>
      <w:bookmarkEnd w:id="1578"/>
      <w:bookmarkStart w:id="1579" w:name="_Toc168400151"/>
      <w:bookmarkEnd w:id="1579"/>
      <w:bookmarkStart w:id="1580" w:name="_Toc168400918"/>
      <w:bookmarkEnd w:id="1580"/>
      <w:bookmarkStart w:id="1581" w:name="_Toc168400367"/>
      <w:bookmarkEnd w:id="1581"/>
      <w:bookmarkStart w:id="1582" w:name="_Toc168401246"/>
      <w:bookmarkEnd w:id="1582"/>
      <w:bookmarkStart w:id="1583" w:name="_Toc168400834"/>
      <w:bookmarkEnd w:id="1583"/>
      <w:bookmarkStart w:id="1584" w:name="_Toc168401449"/>
      <w:bookmarkEnd w:id="1584"/>
      <w:bookmarkStart w:id="1585" w:name="_Toc168399733"/>
      <w:bookmarkEnd w:id="1585"/>
      <w:bookmarkStart w:id="1586" w:name="_Toc168401688"/>
      <w:bookmarkEnd w:id="1586"/>
      <w:bookmarkStart w:id="1587" w:name="_Toc168399853"/>
      <w:bookmarkEnd w:id="1587"/>
      <w:bookmarkStart w:id="1588" w:name="_Toc168401125"/>
      <w:bookmarkEnd w:id="1588"/>
      <w:bookmarkStart w:id="1589" w:name="_Toc168400198"/>
      <w:bookmarkEnd w:id="1589"/>
      <w:bookmarkStart w:id="1590" w:name="_Toc168400283"/>
      <w:bookmarkEnd w:id="1590"/>
      <w:bookmarkStart w:id="1591" w:name="_Toc168401385"/>
      <w:bookmarkEnd w:id="1591"/>
      <w:bookmarkStart w:id="1592" w:name="_Toc168401008"/>
      <w:bookmarkEnd w:id="1592"/>
      <w:bookmarkStart w:id="1593" w:name="_Toc168402100"/>
      <w:bookmarkEnd w:id="1593"/>
      <w:bookmarkStart w:id="1594" w:name="_Toc168401432"/>
      <w:bookmarkEnd w:id="1594"/>
      <w:bookmarkStart w:id="1595" w:name="_Toc168400499"/>
      <w:bookmarkEnd w:id="1595"/>
      <w:bookmarkStart w:id="1596" w:name="_Toc168400350"/>
      <w:bookmarkEnd w:id="1596"/>
      <w:bookmarkStart w:id="1597" w:name="_Toc168400891"/>
      <w:bookmarkEnd w:id="1597"/>
      <w:bookmarkStart w:id="1598" w:name="_Toc168400764"/>
      <w:bookmarkEnd w:id="1598"/>
      <w:bookmarkStart w:id="1599" w:name="_Toc168400596"/>
      <w:bookmarkEnd w:id="1599"/>
      <w:bookmarkStart w:id="1600" w:name="_Toc168400665"/>
      <w:bookmarkEnd w:id="1600"/>
      <w:bookmarkStart w:id="1601" w:name="_Toc168399730"/>
      <w:bookmarkEnd w:id="1601"/>
      <w:bookmarkStart w:id="1602" w:name="_Toc168401609"/>
      <w:bookmarkEnd w:id="1602"/>
      <w:bookmarkStart w:id="1603" w:name="_Toc168399675"/>
      <w:bookmarkEnd w:id="1603"/>
      <w:bookmarkStart w:id="1604" w:name="_Toc168399538"/>
      <w:bookmarkEnd w:id="1604"/>
      <w:bookmarkStart w:id="1605" w:name="_Toc168399794"/>
      <w:bookmarkEnd w:id="1605"/>
      <w:bookmarkStart w:id="1606" w:name="_Toc168400406"/>
      <w:bookmarkEnd w:id="1606"/>
      <w:bookmarkStart w:id="1607" w:name="_Toc168400160"/>
      <w:bookmarkEnd w:id="1607"/>
      <w:bookmarkStart w:id="1608" w:name="_Toc168399799"/>
      <w:bookmarkEnd w:id="1608"/>
      <w:bookmarkStart w:id="1609" w:name="_Toc168401141"/>
      <w:bookmarkEnd w:id="1609"/>
      <w:bookmarkStart w:id="1610" w:name="_Toc168402004"/>
      <w:bookmarkEnd w:id="1610"/>
      <w:bookmarkStart w:id="1611" w:name="_Toc168399642"/>
      <w:bookmarkEnd w:id="1611"/>
      <w:bookmarkStart w:id="1612" w:name="_Toc168399932"/>
      <w:bookmarkEnd w:id="1612"/>
      <w:bookmarkStart w:id="1613" w:name="_Toc168399657"/>
      <w:bookmarkEnd w:id="1613"/>
      <w:bookmarkStart w:id="1614" w:name="_Toc168401999"/>
      <w:bookmarkEnd w:id="1614"/>
      <w:bookmarkStart w:id="1615" w:name="_Toc168399958"/>
      <w:bookmarkEnd w:id="1615"/>
      <w:bookmarkStart w:id="1616" w:name="_Toc168400096"/>
      <w:bookmarkEnd w:id="1616"/>
      <w:bookmarkStart w:id="1617" w:name="_Toc168401857"/>
      <w:bookmarkEnd w:id="1617"/>
      <w:bookmarkStart w:id="1618" w:name="_Toc168400403"/>
      <w:bookmarkEnd w:id="1618"/>
      <w:bookmarkStart w:id="1619" w:name="_Toc168400077"/>
      <w:bookmarkEnd w:id="1619"/>
      <w:bookmarkStart w:id="1620" w:name="_Toc168399633"/>
      <w:bookmarkEnd w:id="1620"/>
      <w:bookmarkStart w:id="1621" w:name="_Toc168402131"/>
      <w:bookmarkEnd w:id="1621"/>
      <w:bookmarkStart w:id="1622" w:name="_Toc168399915"/>
      <w:bookmarkEnd w:id="1622"/>
      <w:bookmarkStart w:id="1623" w:name="_Toc168400129"/>
      <w:bookmarkEnd w:id="1623"/>
      <w:bookmarkStart w:id="1624" w:name="_Toc168400318"/>
      <w:bookmarkEnd w:id="1624"/>
      <w:bookmarkStart w:id="1625" w:name="_Toc168402229"/>
      <w:bookmarkEnd w:id="1625"/>
      <w:bookmarkStart w:id="1626" w:name="_Toc168401936"/>
      <w:bookmarkEnd w:id="1626"/>
      <w:bookmarkStart w:id="1627" w:name="_Toc168399828"/>
      <w:bookmarkEnd w:id="1627"/>
      <w:bookmarkStart w:id="1628" w:name="_Toc168400760"/>
      <w:bookmarkEnd w:id="1628"/>
      <w:bookmarkStart w:id="1629" w:name="_Toc168399811"/>
      <w:bookmarkEnd w:id="1629"/>
      <w:bookmarkStart w:id="1630" w:name="_Toc168401472"/>
      <w:bookmarkEnd w:id="1630"/>
      <w:bookmarkStart w:id="1631" w:name="_Toc168399625"/>
      <w:bookmarkEnd w:id="1631"/>
      <w:bookmarkStart w:id="1632" w:name="_Toc168399544"/>
      <w:bookmarkEnd w:id="1632"/>
      <w:bookmarkStart w:id="1633" w:name="_Toc168400267"/>
      <w:bookmarkEnd w:id="1633"/>
      <w:bookmarkStart w:id="1634" w:name="_Toc168400868"/>
      <w:bookmarkEnd w:id="1634"/>
      <w:bookmarkStart w:id="1635" w:name="_Toc168400906"/>
      <w:bookmarkEnd w:id="1635"/>
      <w:bookmarkStart w:id="1636" w:name="_Toc168401375"/>
      <w:bookmarkEnd w:id="1636"/>
      <w:bookmarkStart w:id="1637" w:name="_Toc168401599"/>
      <w:bookmarkEnd w:id="1637"/>
      <w:bookmarkStart w:id="1638" w:name="_Toc168399903"/>
      <w:bookmarkEnd w:id="1638"/>
      <w:bookmarkStart w:id="1639" w:name="_Toc168402043"/>
      <w:bookmarkEnd w:id="1639"/>
      <w:bookmarkStart w:id="1640" w:name="_Toc168399936"/>
      <w:bookmarkEnd w:id="1640"/>
      <w:bookmarkStart w:id="1641" w:name="_Toc168399649"/>
      <w:bookmarkEnd w:id="1641"/>
      <w:bookmarkStart w:id="1642" w:name="_Toc168400322"/>
      <w:bookmarkEnd w:id="1642"/>
      <w:bookmarkStart w:id="1643" w:name="_Toc168400385"/>
      <w:bookmarkEnd w:id="1643"/>
      <w:bookmarkStart w:id="1644" w:name="_Toc168399980"/>
      <w:bookmarkEnd w:id="1644"/>
      <w:bookmarkStart w:id="1645" w:name="_Toc168401314"/>
      <w:bookmarkEnd w:id="1645"/>
      <w:bookmarkStart w:id="1646" w:name="_Toc168400299"/>
      <w:bookmarkEnd w:id="1646"/>
      <w:bookmarkStart w:id="1647" w:name="_Toc168400175"/>
      <w:bookmarkEnd w:id="1647"/>
      <w:bookmarkStart w:id="1648" w:name="_Toc168400386"/>
      <w:bookmarkEnd w:id="1648"/>
      <w:bookmarkStart w:id="1649" w:name="_Toc168400644"/>
      <w:bookmarkEnd w:id="1649"/>
      <w:bookmarkStart w:id="1650" w:name="_Toc168402234"/>
      <w:bookmarkEnd w:id="1650"/>
      <w:bookmarkStart w:id="1651" w:name="_Toc168401528"/>
      <w:bookmarkEnd w:id="1651"/>
      <w:bookmarkStart w:id="1652" w:name="_Toc168401210"/>
      <w:bookmarkEnd w:id="1652"/>
      <w:bookmarkStart w:id="1653" w:name="_Toc168400562"/>
      <w:bookmarkEnd w:id="1653"/>
      <w:bookmarkStart w:id="1654" w:name="_Toc168401127"/>
      <w:bookmarkEnd w:id="1654"/>
      <w:bookmarkStart w:id="1655" w:name="_Toc168401986"/>
      <w:bookmarkEnd w:id="1655"/>
      <w:bookmarkStart w:id="1656" w:name="_Toc168399860"/>
      <w:bookmarkEnd w:id="1656"/>
      <w:bookmarkStart w:id="1657" w:name="_Toc168400289"/>
      <w:bookmarkEnd w:id="1657"/>
      <w:bookmarkStart w:id="1658" w:name="_Toc168402162"/>
      <w:bookmarkEnd w:id="1658"/>
      <w:bookmarkStart w:id="1659" w:name="_Toc168401252"/>
      <w:bookmarkEnd w:id="1659"/>
      <w:bookmarkStart w:id="1660" w:name="_Toc168401433"/>
      <w:bookmarkEnd w:id="1660"/>
      <w:bookmarkStart w:id="1661" w:name="_Toc168400035"/>
      <w:bookmarkEnd w:id="1661"/>
      <w:bookmarkStart w:id="1662" w:name="_Toc168400687"/>
      <w:bookmarkEnd w:id="1662"/>
      <w:bookmarkStart w:id="1663" w:name="_Toc168402240"/>
      <w:bookmarkEnd w:id="1663"/>
      <w:bookmarkStart w:id="1664" w:name="_Toc168401790"/>
      <w:bookmarkEnd w:id="1664"/>
      <w:bookmarkStart w:id="1665" w:name="_Toc168400444"/>
      <w:bookmarkEnd w:id="1665"/>
      <w:bookmarkStart w:id="1666" w:name="_Toc168400150"/>
      <w:bookmarkEnd w:id="1666"/>
      <w:bookmarkStart w:id="1667" w:name="_Toc168399949"/>
      <w:bookmarkEnd w:id="1667"/>
      <w:bookmarkStart w:id="1668" w:name="_Toc168399665"/>
      <w:bookmarkEnd w:id="1668"/>
      <w:bookmarkStart w:id="1669" w:name="_Toc168399757"/>
      <w:bookmarkEnd w:id="1669"/>
      <w:bookmarkStart w:id="1670" w:name="_Toc168400591"/>
      <w:bookmarkEnd w:id="1670"/>
      <w:bookmarkStart w:id="1671" w:name="_Toc168400162"/>
      <w:bookmarkEnd w:id="1671"/>
      <w:bookmarkStart w:id="1672" w:name="_Toc168401734"/>
      <w:bookmarkEnd w:id="1672"/>
      <w:bookmarkStart w:id="1673" w:name="_Toc168399658"/>
      <w:bookmarkEnd w:id="1673"/>
      <w:bookmarkStart w:id="1674" w:name="_Toc168400855"/>
      <w:bookmarkEnd w:id="1674"/>
      <w:bookmarkStart w:id="1675" w:name="_Toc168401146"/>
      <w:bookmarkEnd w:id="1675"/>
      <w:bookmarkStart w:id="1676" w:name="_Toc168399589"/>
      <w:bookmarkEnd w:id="1676"/>
      <w:bookmarkStart w:id="1677" w:name="_Toc168399533"/>
      <w:bookmarkEnd w:id="1677"/>
      <w:bookmarkStart w:id="1678" w:name="_Toc168399666"/>
      <w:bookmarkEnd w:id="1678"/>
      <w:bookmarkStart w:id="1679" w:name="_Toc168399993"/>
      <w:bookmarkEnd w:id="1679"/>
      <w:bookmarkStart w:id="1680" w:name="_Toc168402243"/>
      <w:bookmarkEnd w:id="1680"/>
      <w:bookmarkStart w:id="1681" w:name="_Toc168400663"/>
      <w:bookmarkEnd w:id="1681"/>
      <w:bookmarkStart w:id="1682" w:name="_Toc168401003"/>
      <w:bookmarkEnd w:id="1682"/>
      <w:bookmarkStart w:id="1683" w:name="_Toc168400132"/>
      <w:bookmarkEnd w:id="1683"/>
      <w:bookmarkStart w:id="1684" w:name="_Toc168401033"/>
      <w:bookmarkEnd w:id="1684"/>
      <w:bookmarkStart w:id="1685" w:name="_Toc168402153"/>
      <w:bookmarkEnd w:id="1685"/>
      <w:bookmarkStart w:id="1686" w:name="_Toc168399759"/>
      <w:bookmarkEnd w:id="1686"/>
      <w:bookmarkStart w:id="1687" w:name="_Toc168399959"/>
      <w:bookmarkEnd w:id="1687"/>
      <w:bookmarkStart w:id="1688" w:name="_Toc168399580"/>
      <w:bookmarkEnd w:id="1688"/>
      <w:bookmarkStart w:id="1689" w:name="_Toc168399622"/>
      <w:bookmarkEnd w:id="1689"/>
      <w:bookmarkStart w:id="1690" w:name="_Toc168400331"/>
      <w:bookmarkEnd w:id="1690"/>
      <w:bookmarkStart w:id="1691" w:name="_Toc168402099"/>
      <w:bookmarkEnd w:id="1691"/>
      <w:bookmarkStart w:id="1692" w:name="_Toc168401855"/>
      <w:bookmarkEnd w:id="1692"/>
      <w:bookmarkStart w:id="1693" w:name="_Toc168400294"/>
      <w:bookmarkEnd w:id="1693"/>
      <w:bookmarkStart w:id="1694" w:name="_Toc168400176"/>
      <w:bookmarkEnd w:id="1694"/>
      <w:bookmarkStart w:id="1695" w:name="_Toc168400668"/>
      <w:bookmarkEnd w:id="1695"/>
      <w:bookmarkStart w:id="1696" w:name="_Toc168402084"/>
      <w:bookmarkEnd w:id="1696"/>
      <w:bookmarkStart w:id="1697" w:name="_Toc168401081"/>
      <w:bookmarkEnd w:id="1697"/>
      <w:bookmarkStart w:id="1698" w:name="_Toc168401941"/>
      <w:bookmarkEnd w:id="1698"/>
      <w:bookmarkStart w:id="1699" w:name="_Toc168400316"/>
      <w:bookmarkEnd w:id="1699"/>
      <w:bookmarkStart w:id="1700" w:name="_Toc168402174"/>
      <w:bookmarkEnd w:id="1700"/>
      <w:bookmarkStart w:id="1701" w:name="_Toc168400563"/>
      <w:bookmarkEnd w:id="1701"/>
      <w:bookmarkStart w:id="1702" w:name="_Toc168401104"/>
      <w:bookmarkEnd w:id="1702"/>
      <w:bookmarkStart w:id="1703" w:name="_Toc168399976"/>
      <w:bookmarkEnd w:id="1703"/>
      <w:bookmarkStart w:id="1704" w:name="_Toc168402113"/>
      <w:bookmarkEnd w:id="1704"/>
      <w:bookmarkStart w:id="1705" w:name="_Toc168400849"/>
      <w:bookmarkEnd w:id="1705"/>
      <w:bookmarkStart w:id="1706" w:name="_Toc168400110"/>
      <w:bookmarkEnd w:id="1706"/>
      <w:bookmarkStart w:id="1707" w:name="_Toc168400447"/>
      <w:bookmarkEnd w:id="1707"/>
      <w:bookmarkStart w:id="1708" w:name="_Toc168400580"/>
      <w:bookmarkEnd w:id="1708"/>
      <w:bookmarkStart w:id="1709" w:name="_Toc168402116"/>
      <w:bookmarkEnd w:id="1709"/>
      <w:bookmarkStart w:id="1710" w:name="_Toc168402169"/>
      <w:bookmarkEnd w:id="1710"/>
      <w:bookmarkStart w:id="1711" w:name="_Toc168399991"/>
      <w:bookmarkEnd w:id="1711"/>
      <w:bookmarkStart w:id="1712" w:name="_Toc168399940"/>
      <w:bookmarkEnd w:id="1712"/>
      <w:bookmarkStart w:id="1713" w:name="_Toc168401770"/>
      <w:bookmarkEnd w:id="1713"/>
      <w:bookmarkStart w:id="1714" w:name="_Toc168400015"/>
      <w:bookmarkEnd w:id="1714"/>
      <w:bookmarkStart w:id="1715" w:name="_Toc168400642"/>
      <w:bookmarkEnd w:id="1715"/>
      <w:bookmarkStart w:id="1716" w:name="_Toc168400308"/>
      <w:bookmarkEnd w:id="1716"/>
      <w:bookmarkStart w:id="1717" w:name="_Toc168401064"/>
      <w:bookmarkEnd w:id="1717"/>
      <w:bookmarkStart w:id="1718" w:name="_Toc168400246"/>
      <w:bookmarkEnd w:id="1718"/>
      <w:bookmarkStart w:id="1719" w:name="_Toc168399807"/>
      <w:bookmarkEnd w:id="1719"/>
      <w:bookmarkStart w:id="1720" w:name="_Toc168400392"/>
      <w:bookmarkEnd w:id="1720"/>
      <w:bookmarkStart w:id="1721" w:name="_Toc168399833"/>
      <w:bookmarkEnd w:id="1721"/>
      <w:bookmarkStart w:id="1722" w:name="_Toc168400021"/>
      <w:bookmarkEnd w:id="1722"/>
      <w:bookmarkStart w:id="1723" w:name="_Toc168401280"/>
      <w:bookmarkEnd w:id="1723"/>
      <w:bookmarkStart w:id="1724" w:name="_Toc168399881"/>
      <w:bookmarkEnd w:id="1724"/>
      <w:bookmarkStart w:id="1725" w:name="_Toc168401525"/>
      <w:bookmarkEnd w:id="1725"/>
      <w:bookmarkStart w:id="1726" w:name="_Toc168401962"/>
      <w:bookmarkEnd w:id="1726"/>
      <w:bookmarkStart w:id="1727" w:name="_Toc168402012"/>
      <w:bookmarkEnd w:id="1727"/>
      <w:bookmarkStart w:id="1728" w:name="_Toc168401238"/>
      <w:bookmarkEnd w:id="1728"/>
      <w:bookmarkStart w:id="1729" w:name="_Toc168401687"/>
      <w:bookmarkEnd w:id="1729"/>
      <w:bookmarkStart w:id="1730" w:name="_Toc168401993"/>
      <w:bookmarkEnd w:id="1730"/>
      <w:bookmarkStart w:id="1731" w:name="_Toc168402145"/>
      <w:bookmarkEnd w:id="1731"/>
      <w:bookmarkStart w:id="1732" w:name="_Toc168399763"/>
      <w:bookmarkEnd w:id="1732"/>
      <w:bookmarkStart w:id="1733" w:name="_Toc168401040"/>
      <w:bookmarkEnd w:id="1733"/>
      <w:bookmarkStart w:id="1734" w:name="_Toc168401009"/>
      <w:bookmarkEnd w:id="1734"/>
      <w:bookmarkStart w:id="1735" w:name="_Toc168401981"/>
      <w:bookmarkEnd w:id="1735"/>
      <w:bookmarkStart w:id="1736" w:name="_Toc168399631"/>
      <w:bookmarkEnd w:id="1736"/>
      <w:bookmarkStart w:id="1737" w:name="_Toc168400009"/>
      <w:bookmarkEnd w:id="1737"/>
      <w:bookmarkStart w:id="1738" w:name="_Toc168400926"/>
      <w:bookmarkEnd w:id="1738"/>
      <w:bookmarkStart w:id="1739" w:name="_Toc168402115"/>
      <w:bookmarkEnd w:id="1739"/>
      <w:bookmarkStart w:id="1740" w:name="_Toc168401644"/>
      <w:bookmarkEnd w:id="1740"/>
      <w:bookmarkStart w:id="1741" w:name="_Toc168400042"/>
      <w:bookmarkEnd w:id="1741"/>
      <w:bookmarkStart w:id="1742" w:name="_Toc168399852"/>
      <w:bookmarkEnd w:id="1742"/>
      <w:bookmarkStart w:id="1743" w:name="_Toc168401431"/>
      <w:bookmarkEnd w:id="1743"/>
      <w:bookmarkStart w:id="1744" w:name="_Toc168402201"/>
      <w:bookmarkEnd w:id="1744"/>
      <w:bookmarkStart w:id="1745" w:name="_Toc168401603"/>
      <w:bookmarkEnd w:id="1745"/>
      <w:bookmarkStart w:id="1746" w:name="_Toc168400976"/>
      <w:bookmarkEnd w:id="1746"/>
      <w:bookmarkStart w:id="1747" w:name="_Toc168400754"/>
      <w:bookmarkEnd w:id="1747"/>
      <w:bookmarkStart w:id="1748" w:name="_Toc168401031"/>
      <w:bookmarkEnd w:id="1748"/>
      <w:bookmarkStart w:id="1749" w:name="_Toc168401595"/>
      <w:bookmarkEnd w:id="1749"/>
      <w:bookmarkStart w:id="1750" w:name="_Toc168400121"/>
      <w:bookmarkEnd w:id="1750"/>
      <w:bookmarkStart w:id="1751" w:name="_Toc168401879"/>
      <w:bookmarkEnd w:id="1751"/>
      <w:bookmarkStart w:id="1752" w:name="_Toc168400814"/>
      <w:bookmarkEnd w:id="1752"/>
      <w:bookmarkStart w:id="1753" w:name="_Toc168400664"/>
      <w:bookmarkEnd w:id="1753"/>
      <w:bookmarkStart w:id="1754" w:name="_Toc168400762"/>
      <w:bookmarkEnd w:id="1754"/>
      <w:bookmarkStart w:id="1755" w:name="_Toc168400133"/>
      <w:bookmarkEnd w:id="1755"/>
      <w:bookmarkStart w:id="1756" w:name="_Toc168402126"/>
      <w:bookmarkEnd w:id="1756"/>
      <w:bookmarkStart w:id="1757" w:name="_Toc168399594"/>
      <w:bookmarkEnd w:id="1757"/>
      <w:bookmarkStart w:id="1758" w:name="_Toc168401536"/>
      <w:bookmarkEnd w:id="1758"/>
      <w:bookmarkStart w:id="1759" w:name="_Toc168400867"/>
      <w:bookmarkEnd w:id="1759"/>
      <w:bookmarkStart w:id="1760" w:name="_Toc168401111"/>
      <w:bookmarkEnd w:id="1760"/>
      <w:bookmarkStart w:id="1761" w:name="_Toc168400001"/>
      <w:bookmarkEnd w:id="1761"/>
      <w:bookmarkStart w:id="1762" w:name="_Toc168400178"/>
      <w:bookmarkEnd w:id="1762"/>
      <w:bookmarkStart w:id="1763" w:name="_Toc168399788"/>
      <w:bookmarkEnd w:id="1763"/>
      <w:bookmarkStart w:id="1764" w:name="_Toc168400610"/>
      <w:bookmarkEnd w:id="1764"/>
      <w:bookmarkStart w:id="1765" w:name="_Toc168399643"/>
      <w:bookmarkEnd w:id="1765"/>
      <w:bookmarkStart w:id="1766" w:name="_Toc168401019"/>
      <w:bookmarkEnd w:id="1766"/>
      <w:bookmarkStart w:id="1767" w:name="_Toc168400298"/>
      <w:bookmarkEnd w:id="1767"/>
      <w:bookmarkStart w:id="1768" w:name="_Toc168400966"/>
      <w:bookmarkEnd w:id="1768"/>
      <w:bookmarkStart w:id="1769" w:name="_Toc168400956"/>
      <w:bookmarkEnd w:id="1769"/>
      <w:bookmarkStart w:id="1770" w:name="_Toc168402127"/>
      <w:bookmarkEnd w:id="1770"/>
      <w:bookmarkStart w:id="1771" w:name="_Toc168400225"/>
      <w:bookmarkEnd w:id="1771"/>
      <w:bookmarkStart w:id="1772" w:name="_Toc168401976"/>
      <w:bookmarkEnd w:id="1772"/>
      <w:bookmarkStart w:id="1773" w:name="_Toc168400054"/>
      <w:bookmarkEnd w:id="1773"/>
      <w:bookmarkStart w:id="1774" w:name="_Toc168401399"/>
      <w:bookmarkEnd w:id="1774"/>
      <w:bookmarkStart w:id="1775" w:name="_Toc168401356"/>
      <w:bookmarkEnd w:id="1775"/>
      <w:bookmarkStart w:id="1776" w:name="_Toc168400453"/>
      <w:bookmarkEnd w:id="1776"/>
      <w:bookmarkStart w:id="1777" w:name="_Toc168401570"/>
      <w:bookmarkEnd w:id="1777"/>
      <w:bookmarkStart w:id="1778" w:name="_Toc168402194"/>
      <w:bookmarkEnd w:id="1778"/>
      <w:bookmarkStart w:id="1779" w:name="_Toc168400954"/>
      <w:bookmarkEnd w:id="1779"/>
      <w:bookmarkStart w:id="1780" w:name="_Toc168400783"/>
      <w:bookmarkEnd w:id="1780"/>
      <w:bookmarkStart w:id="1781" w:name="_Toc168400234"/>
      <w:bookmarkEnd w:id="1781"/>
      <w:bookmarkStart w:id="1782" w:name="_Toc168400654"/>
      <w:bookmarkEnd w:id="1782"/>
      <w:bookmarkStart w:id="1783" w:name="_Toc168402223"/>
      <w:bookmarkEnd w:id="1783"/>
      <w:bookmarkStart w:id="1784" w:name="_Toc168401100"/>
      <w:bookmarkEnd w:id="1784"/>
      <w:bookmarkStart w:id="1785" w:name="_Toc168400032"/>
      <w:bookmarkEnd w:id="1785"/>
      <w:bookmarkStart w:id="1786" w:name="_Toc168400645"/>
      <w:bookmarkEnd w:id="1786"/>
      <w:bookmarkStart w:id="1787" w:name="_Toc168399683"/>
      <w:bookmarkEnd w:id="1787"/>
      <w:bookmarkStart w:id="1788" w:name="_Toc168401197"/>
      <w:bookmarkEnd w:id="1788"/>
      <w:bookmarkStart w:id="1789" w:name="_Toc168399773"/>
      <w:bookmarkEnd w:id="1789"/>
      <w:bookmarkStart w:id="1790" w:name="_Toc168399909"/>
      <w:bookmarkEnd w:id="1790"/>
      <w:bookmarkStart w:id="1791" w:name="_Toc168401987"/>
      <w:bookmarkEnd w:id="1791"/>
      <w:bookmarkStart w:id="1792" w:name="_Toc168401084"/>
      <w:bookmarkEnd w:id="1792"/>
      <w:bookmarkStart w:id="1793" w:name="_Toc168400988"/>
      <w:bookmarkEnd w:id="1793"/>
      <w:bookmarkStart w:id="1794" w:name="_Toc168401513"/>
      <w:bookmarkEnd w:id="1794"/>
      <w:bookmarkStart w:id="1795" w:name="_Toc168400934"/>
      <w:bookmarkEnd w:id="1795"/>
      <w:bookmarkStart w:id="1796" w:name="_Toc168401418"/>
      <w:bookmarkEnd w:id="1796"/>
      <w:bookmarkStart w:id="1797" w:name="_Toc168400839"/>
      <w:bookmarkEnd w:id="1797"/>
      <w:bookmarkStart w:id="1798" w:name="_Toc168401552"/>
      <w:bookmarkEnd w:id="1798"/>
      <w:bookmarkStart w:id="1799" w:name="_Toc168401845"/>
      <w:bookmarkEnd w:id="1799"/>
      <w:bookmarkStart w:id="1800" w:name="_Toc168399815"/>
      <w:bookmarkEnd w:id="1800"/>
      <w:bookmarkStart w:id="1801" w:name="_Toc168402117"/>
      <w:bookmarkEnd w:id="1801"/>
      <w:bookmarkStart w:id="1802" w:name="_Toc168401170"/>
      <w:bookmarkEnd w:id="1802"/>
      <w:bookmarkStart w:id="1803" w:name="_Toc168401037"/>
      <w:bookmarkEnd w:id="1803"/>
      <w:bookmarkStart w:id="1804" w:name="_Toc168401673"/>
      <w:bookmarkEnd w:id="1804"/>
      <w:bookmarkStart w:id="1805" w:name="_Toc168401530"/>
      <w:bookmarkEnd w:id="1805"/>
      <w:bookmarkStart w:id="1806" w:name="_Toc168400756"/>
      <w:bookmarkEnd w:id="1806"/>
      <w:bookmarkStart w:id="1807" w:name="_Toc168401116"/>
      <w:bookmarkEnd w:id="1807"/>
      <w:bookmarkStart w:id="1808" w:name="_Toc168402172"/>
      <w:bookmarkEnd w:id="1808"/>
      <w:bookmarkStart w:id="1809" w:name="_Toc168400466"/>
      <w:bookmarkEnd w:id="1809"/>
      <w:bookmarkStart w:id="1810" w:name="_Toc168401672"/>
      <w:bookmarkEnd w:id="1810"/>
      <w:bookmarkStart w:id="1811" w:name="_Toc168401478"/>
      <w:bookmarkEnd w:id="1811"/>
      <w:bookmarkStart w:id="1812" w:name="_Toc168401653"/>
      <w:bookmarkEnd w:id="1812"/>
      <w:bookmarkStart w:id="1813" w:name="_Toc168401269"/>
      <w:bookmarkEnd w:id="1813"/>
      <w:bookmarkStart w:id="1814" w:name="_Toc168401811"/>
      <w:bookmarkEnd w:id="1814"/>
      <w:bookmarkStart w:id="1815" w:name="_Toc168402210"/>
      <w:bookmarkEnd w:id="1815"/>
      <w:bookmarkStart w:id="1816" w:name="_Toc168402138"/>
      <w:bookmarkEnd w:id="1816"/>
      <w:bookmarkStart w:id="1817" w:name="_Toc168399543"/>
      <w:bookmarkEnd w:id="1817"/>
      <w:bookmarkStart w:id="1818" w:name="_Toc168399880"/>
      <w:bookmarkEnd w:id="1818"/>
      <w:bookmarkStart w:id="1819" w:name="_Toc168400622"/>
      <w:bookmarkEnd w:id="1819"/>
      <w:bookmarkStart w:id="1820" w:name="_Toc168400472"/>
      <w:bookmarkEnd w:id="1820"/>
      <w:bookmarkStart w:id="1821" w:name="_Toc168400495"/>
      <w:bookmarkEnd w:id="1821"/>
      <w:bookmarkStart w:id="1822" w:name="_Toc168401050"/>
      <w:bookmarkEnd w:id="1822"/>
      <w:bookmarkStart w:id="1823" w:name="_Toc168401471"/>
      <w:bookmarkEnd w:id="1823"/>
      <w:bookmarkStart w:id="1824" w:name="_Toc168401917"/>
      <w:bookmarkEnd w:id="1824"/>
      <w:bookmarkStart w:id="1825" w:name="_Toc168399967"/>
      <w:bookmarkEnd w:id="1825"/>
      <w:bookmarkStart w:id="1826" w:name="_Toc168401711"/>
      <w:bookmarkEnd w:id="1826"/>
      <w:bookmarkStart w:id="1827" w:name="_Toc168401949"/>
      <w:bookmarkEnd w:id="1827"/>
      <w:bookmarkStart w:id="1828" w:name="_Toc168400994"/>
      <w:bookmarkEnd w:id="1828"/>
      <w:bookmarkStart w:id="1829" w:name="_Toc168401906"/>
      <w:bookmarkEnd w:id="1829"/>
      <w:bookmarkStart w:id="1830" w:name="_Toc168400056"/>
      <w:bookmarkEnd w:id="1830"/>
      <w:bookmarkStart w:id="1831" w:name="_Toc168400960"/>
      <w:bookmarkEnd w:id="1831"/>
      <w:bookmarkStart w:id="1832" w:name="_Toc168401822"/>
      <w:bookmarkEnd w:id="1832"/>
      <w:bookmarkStart w:id="1833" w:name="_Toc168401706"/>
      <w:bookmarkEnd w:id="1833"/>
      <w:bookmarkStart w:id="1834" w:name="_Toc168400866"/>
      <w:bookmarkEnd w:id="1834"/>
      <w:bookmarkStart w:id="1835" w:name="_Toc168399532"/>
      <w:bookmarkEnd w:id="1835"/>
      <w:bookmarkStart w:id="1836" w:name="_Toc168401119"/>
      <w:bookmarkEnd w:id="1836"/>
      <w:bookmarkStart w:id="1837" w:name="_Toc168399808"/>
      <w:bookmarkEnd w:id="1837"/>
      <w:bookmarkStart w:id="1838" w:name="_Toc168402135"/>
      <w:bookmarkEnd w:id="1838"/>
      <w:bookmarkStart w:id="1839" w:name="_Toc168401029"/>
      <w:bookmarkEnd w:id="1839"/>
      <w:bookmarkStart w:id="1840" w:name="_Toc168401093"/>
      <w:bookmarkEnd w:id="1840"/>
      <w:bookmarkStart w:id="1841" w:name="_Toc168401708"/>
      <w:bookmarkEnd w:id="1841"/>
      <w:bookmarkStart w:id="1842" w:name="_Toc168402076"/>
      <w:bookmarkEnd w:id="1842"/>
      <w:bookmarkStart w:id="1843" w:name="_Toc168401674"/>
      <w:bookmarkEnd w:id="1843"/>
      <w:bookmarkStart w:id="1844" w:name="_Toc168401355"/>
      <w:bookmarkEnd w:id="1844"/>
      <w:bookmarkStart w:id="1845" w:name="_Toc168400938"/>
      <w:bookmarkEnd w:id="1845"/>
      <w:bookmarkStart w:id="1846" w:name="_Toc168402164"/>
      <w:bookmarkEnd w:id="1846"/>
      <w:bookmarkStart w:id="1847" w:name="_Toc168401782"/>
      <w:bookmarkEnd w:id="1847"/>
      <w:bookmarkStart w:id="1848" w:name="_Toc168400464"/>
      <w:bookmarkEnd w:id="1848"/>
      <w:bookmarkStart w:id="1849" w:name="_配电(电量仪)"/>
      <w:bookmarkEnd w:id="1849"/>
      <w:bookmarkStart w:id="1850" w:name="_Toc168401279"/>
      <w:bookmarkEnd w:id="1850"/>
      <w:bookmarkStart w:id="1851" w:name="_Toc168402007"/>
      <w:bookmarkEnd w:id="1851"/>
      <w:bookmarkStart w:id="1852" w:name="_Toc168401716"/>
      <w:bookmarkEnd w:id="1852"/>
      <w:bookmarkStart w:id="1853" w:name="_Toc168401561"/>
      <w:bookmarkEnd w:id="1853"/>
      <w:bookmarkStart w:id="1854" w:name="_Toc168399791"/>
      <w:bookmarkEnd w:id="1854"/>
      <w:bookmarkStart w:id="1855" w:name="_Toc168401096"/>
      <w:bookmarkEnd w:id="1855"/>
      <w:bookmarkStart w:id="1856" w:name="_Toc168400775"/>
      <w:bookmarkEnd w:id="1856"/>
      <w:bookmarkStart w:id="1857" w:name="_Toc168399592"/>
      <w:bookmarkEnd w:id="1857"/>
      <w:bookmarkStart w:id="1858" w:name="_Toc168401106"/>
      <w:bookmarkEnd w:id="1858"/>
      <w:bookmarkStart w:id="1859" w:name="_Toc168400843"/>
      <w:bookmarkEnd w:id="1859"/>
      <w:bookmarkStart w:id="1860" w:name="_Toc168401806"/>
      <w:bookmarkEnd w:id="1860"/>
      <w:bookmarkStart w:id="1861" w:name="_Toc168401602"/>
      <w:bookmarkEnd w:id="1861"/>
      <w:bookmarkStart w:id="1862" w:name="_Toc168401681"/>
      <w:bookmarkEnd w:id="1862"/>
      <w:bookmarkStart w:id="1863" w:name="_Toc168400638"/>
      <w:bookmarkEnd w:id="1863"/>
      <w:bookmarkStart w:id="1864" w:name="_Toc168401910"/>
      <w:bookmarkEnd w:id="1864"/>
      <w:bookmarkStart w:id="1865" w:name="_Toc168400688"/>
      <w:bookmarkEnd w:id="1865"/>
      <w:bookmarkStart w:id="1866" w:name="_Toc168400875"/>
      <w:bookmarkEnd w:id="1866"/>
      <w:bookmarkStart w:id="1867" w:name="_Toc168400533"/>
      <w:bookmarkEnd w:id="1867"/>
      <w:bookmarkStart w:id="1868" w:name="_Toc168401869"/>
      <w:bookmarkEnd w:id="1868"/>
      <w:bookmarkStart w:id="1869" w:name="_Toc168401291"/>
      <w:bookmarkEnd w:id="1869"/>
      <w:bookmarkStart w:id="1870" w:name="_Toc168401565"/>
      <w:bookmarkEnd w:id="1870"/>
      <w:bookmarkStart w:id="1871" w:name="_Toc168400279"/>
      <w:bookmarkEnd w:id="1871"/>
      <w:bookmarkStart w:id="1872" w:name="_Toc168402020"/>
      <w:bookmarkEnd w:id="1872"/>
      <w:bookmarkStart w:id="1873" w:name="_Toc168401957"/>
      <w:bookmarkEnd w:id="1873"/>
      <w:bookmarkStart w:id="1874" w:name="_Toc168401707"/>
      <w:bookmarkEnd w:id="1874"/>
      <w:bookmarkStart w:id="1875" w:name="_Toc168401276"/>
      <w:bookmarkEnd w:id="1875"/>
      <w:bookmarkStart w:id="1876" w:name="_Toc168400555"/>
      <w:bookmarkEnd w:id="1876"/>
      <w:bookmarkStart w:id="1877" w:name="_Toc168401136"/>
      <w:bookmarkEnd w:id="1877"/>
      <w:bookmarkStart w:id="1878" w:name="_Toc168401868"/>
      <w:bookmarkEnd w:id="1878"/>
      <w:bookmarkStart w:id="1879" w:name="_Toc168401739"/>
      <w:bookmarkEnd w:id="1879"/>
      <w:bookmarkStart w:id="1880" w:name="_Toc168401886"/>
      <w:bookmarkEnd w:id="1880"/>
      <w:bookmarkStart w:id="1881" w:name="_Toc168401023"/>
      <w:bookmarkEnd w:id="1881"/>
      <w:bookmarkStart w:id="1882" w:name="_Toc168401306"/>
      <w:bookmarkEnd w:id="1882"/>
      <w:bookmarkStart w:id="1883" w:name="_Toc168400809"/>
      <w:bookmarkEnd w:id="1883"/>
      <w:bookmarkStart w:id="1884" w:name="_Toc168401400"/>
      <w:bookmarkEnd w:id="1884"/>
      <w:bookmarkStart w:id="1885" w:name="_Toc168401977"/>
      <w:bookmarkEnd w:id="1885"/>
      <w:bookmarkStart w:id="1886" w:name="_Toc168400680"/>
      <w:bookmarkEnd w:id="1886"/>
      <w:bookmarkStart w:id="1887" w:name="_Toc168401422"/>
      <w:bookmarkEnd w:id="1887"/>
      <w:bookmarkStart w:id="1888" w:name="_Toc168400636"/>
      <w:bookmarkEnd w:id="1888"/>
      <w:bookmarkStart w:id="1889" w:name="_Toc168401176"/>
      <w:bookmarkEnd w:id="1889"/>
      <w:bookmarkStart w:id="1890" w:name="_Toc168400790"/>
      <w:bookmarkEnd w:id="1890"/>
      <w:bookmarkStart w:id="1891" w:name="_Toc168400062"/>
      <w:bookmarkEnd w:id="1891"/>
      <w:bookmarkStart w:id="1892" w:name="_Toc168401911"/>
      <w:bookmarkEnd w:id="1892"/>
      <w:bookmarkStart w:id="1893" w:name="_Toc168400815"/>
      <w:bookmarkEnd w:id="1893"/>
      <w:bookmarkStart w:id="1894" w:name="_Toc168401568"/>
      <w:bookmarkEnd w:id="1894"/>
      <w:bookmarkStart w:id="1895" w:name="_Toc168400100"/>
      <w:bookmarkEnd w:id="1895"/>
      <w:bookmarkStart w:id="1896" w:name="_Toc168401657"/>
      <w:bookmarkEnd w:id="1896"/>
      <w:bookmarkStart w:id="1897" w:name="_Toc168402038"/>
      <w:bookmarkEnd w:id="1897"/>
      <w:bookmarkStart w:id="1898" w:name="_Toc168401078"/>
      <w:bookmarkEnd w:id="1898"/>
      <w:bookmarkStart w:id="1899" w:name="_Toc168401250"/>
      <w:bookmarkEnd w:id="1899"/>
      <w:bookmarkStart w:id="1900" w:name="_Toc168402152"/>
      <w:bookmarkEnd w:id="1900"/>
      <w:bookmarkStart w:id="1901" w:name="_Toc168401466"/>
      <w:bookmarkEnd w:id="1901"/>
      <w:bookmarkStart w:id="1902" w:name="_Toc168399781"/>
      <w:bookmarkEnd w:id="1902"/>
      <w:bookmarkStart w:id="1903" w:name="_Toc168400559"/>
      <w:bookmarkEnd w:id="1903"/>
      <w:bookmarkStart w:id="1904" w:name="_Toc168401283"/>
      <w:bookmarkEnd w:id="1904"/>
      <w:bookmarkStart w:id="1905" w:name="_Toc168400684"/>
      <w:bookmarkEnd w:id="1905"/>
      <w:bookmarkStart w:id="1906" w:name="_Toc168399669"/>
      <w:bookmarkEnd w:id="1906"/>
      <w:bookmarkStart w:id="1907" w:name="_Toc168400528"/>
      <w:bookmarkEnd w:id="1907"/>
      <w:bookmarkStart w:id="1908" w:name="_Toc168401562"/>
      <w:bookmarkEnd w:id="1908"/>
      <w:bookmarkStart w:id="1909" w:name="_Toc168399821"/>
      <w:bookmarkEnd w:id="1909"/>
      <w:bookmarkStart w:id="1910" w:name="_Toc168401766"/>
      <w:bookmarkEnd w:id="1910"/>
      <w:bookmarkStart w:id="1911" w:name="_Toc168400309"/>
      <w:bookmarkEnd w:id="1911"/>
      <w:bookmarkStart w:id="1912" w:name="_Toc168401374"/>
      <w:bookmarkEnd w:id="1912"/>
      <w:bookmarkStart w:id="1913" w:name="_Toc168402212"/>
      <w:bookmarkEnd w:id="1913"/>
      <w:bookmarkStart w:id="1914" w:name="_Toc168400822"/>
      <w:bookmarkEnd w:id="1914"/>
      <w:bookmarkStart w:id="1915" w:name="_Toc168401932"/>
      <w:bookmarkEnd w:id="1915"/>
      <w:bookmarkStart w:id="1916" w:name="_Toc168399819"/>
      <w:bookmarkEnd w:id="1916"/>
      <w:bookmarkStart w:id="1917" w:name="_Toc168399718"/>
      <w:bookmarkEnd w:id="1917"/>
      <w:bookmarkStart w:id="1918" w:name="_Toc168402050"/>
      <w:bookmarkEnd w:id="1918"/>
      <w:bookmarkStart w:id="1919" w:name="_Toc168400893"/>
      <w:bookmarkEnd w:id="1919"/>
      <w:bookmarkStart w:id="1920" w:name="_Toc168400269"/>
      <w:bookmarkEnd w:id="1920"/>
      <w:bookmarkStart w:id="1921" w:name="_Toc168401698"/>
      <w:bookmarkEnd w:id="1921"/>
      <w:bookmarkStart w:id="1922" w:name="_Toc168402205"/>
      <w:bookmarkEnd w:id="1922"/>
      <w:bookmarkStart w:id="1923" w:name="_Toc168399528"/>
      <w:bookmarkEnd w:id="1923"/>
      <w:bookmarkStart w:id="1924" w:name="_Toc168401733"/>
      <w:bookmarkEnd w:id="1924"/>
      <w:bookmarkStart w:id="1925" w:name="_Toc168401348"/>
      <w:bookmarkEnd w:id="1925"/>
      <w:bookmarkStart w:id="1926" w:name="_Toc168400689"/>
      <w:bookmarkEnd w:id="1926"/>
      <w:bookmarkStart w:id="1927" w:name="_Toc168401896"/>
      <w:bookmarkEnd w:id="1927"/>
      <w:bookmarkStart w:id="1928" w:name="_Toc168401289"/>
      <w:bookmarkEnd w:id="1928"/>
      <w:bookmarkStart w:id="1929" w:name="_Toc168399600"/>
      <w:bookmarkEnd w:id="1929"/>
      <w:bookmarkStart w:id="1930" w:name="_Toc168399545"/>
      <w:bookmarkEnd w:id="1930"/>
      <w:bookmarkStart w:id="1931" w:name="_Toc168401308"/>
      <w:bookmarkEnd w:id="1931"/>
      <w:bookmarkStart w:id="1932" w:name="_Toc168400673"/>
      <w:bookmarkEnd w:id="1932"/>
      <w:bookmarkStart w:id="1933" w:name="_Toc168400428"/>
      <w:bookmarkEnd w:id="1933"/>
      <w:bookmarkStart w:id="1934" w:name="_Toc168401262"/>
      <w:bookmarkEnd w:id="1934"/>
      <w:bookmarkStart w:id="1935" w:name="_Toc168400164"/>
      <w:bookmarkEnd w:id="1935"/>
      <w:bookmarkStart w:id="1936" w:name="_Toc168402058"/>
      <w:bookmarkEnd w:id="1936"/>
      <w:bookmarkStart w:id="1937" w:name="_Toc168401397"/>
      <w:bookmarkEnd w:id="1937"/>
      <w:bookmarkStart w:id="1938" w:name="_Toc168400614"/>
      <w:bookmarkEnd w:id="1938"/>
      <w:bookmarkStart w:id="1939" w:name="_Toc168401474"/>
      <w:bookmarkEnd w:id="1939"/>
      <w:bookmarkStart w:id="1940" w:name="_Toc168401907"/>
      <w:bookmarkEnd w:id="1940"/>
      <w:bookmarkStart w:id="1941" w:name="_Toc168401951"/>
      <w:bookmarkEnd w:id="1941"/>
      <w:bookmarkStart w:id="1942" w:name="_Toc168399786"/>
      <w:bookmarkEnd w:id="1942"/>
      <w:bookmarkStart w:id="1943" w:name="_Toc168400500"/>
      <w:bookmarkEnd w:id="1943"/>
      <w:bookmarkStart w:id="1944" w:name="_Toc168401821"/>
      <w:bookmarkEnd w:id="1944"/>
      <w:bookmarkStart w:id="1945" w:name="_Toc168401364"/>
      <w:bookmarkEnd w:id="1945"/>
      <w:bookmarkStart w:id="1946" w:name="_Toc168401827"/>
      <w:bookmarkEnd w:id="1946"/>
      <w:bookmarkStart w:id="1947" w:name="_Toc168399854"/>
      <w:bookmarkEnd w:id="1947"/>
      <w:bookmarkStart w:id="1948" w:name="_Toc168400334"/>
      <w:bookmarkEnd w:id="1948"/>
      <w:bookmarkStart w:id="1949" w:name="_Toc168402044"/>
      <w:bookmarkEnd w:id="1949"/>
      <w:bookmarkStart w:id="1950" w:name="_Toc168401181"/>
      <w:bookmarkEnd w:id="1950"/>
      <w:bookmarkStart w:id="1951" w:name="_Toc168402080"/>
      <w:bookmarkEnd w:id="1951"/>
      <w:bookmarkStart w:id="1952" w:name="_Toc105144714"/>
      <w:bookmarkEnd w:id="1952"/>
      <w:bookmarkStart w:id="1953" w:name="_Toc168401529"/>
      <w:bookmarkEnd w:id="1953"/>
      <w:bookmarkStart w:id="1954" w:name="_Toc168401234"/>
      <w:bookmarkEnd w:id="1954"/>
      <w:bookmarkStart w:id="1955" w:name="_Toc168401479"/>
      <w:bookmarkEnd w:id="1955"/>
      <w:bookmarkStart w:id="1956" w:name="_Toc168401534"/>
      <w:bookmarkEnd w:id="1956"/>
      <w:bookmarkStart w:id="1957" w:name="_Toc168400535"/>
      <w:bookmarkEnd w:id="1957"/>
      <w:bookmarkStart w:id="1958" w:name="_Toc168400313"/>
      <w:bookmarkEnd w:id="1958"/>
      <w:bookmarkStart w:id="1959" w:name="_Toc168399822"/>
      <w:bookmarkEnd w:id="1959"/>
      <w:bookmarkStart w:id="1960" w:name="_Toc168401555"/>
      <w:bookmarkEnd w:id="1960"/>
      <w:bookmarkStart w:id="1961" w:name="_Toc168401089"/>
      <w:bookmarkEnd w:id="1961"/>
      <w:bookmarkStart w:id="1962" w:name="_Toc168401743"/>
      <w:bookmarkEnd w:id="1962"/>
      <w:bookmarkStart w:id="1963" w:name="_Toc168400837"/>
      <w:bookmarkEnd w:id="1963"/>
      <w:bookmarkStart w:id="1964" w:name="_Toc168401271"/>
      <w:bookmarkEnd w:id="1964"/>
      <w:bookmarkStart w:id="1965" w:name="_Toc168399647"/>
      <w:bookmarkEnd w:id="1965"/>
      <w:bookmarkStart w:id="1966" w:name="_Toc168400545"/>
      <w:bookmarkEnd w:id="1966"/>
      <w:bookmarkStart w:id="1967" w:name="_Toc168402068"/>
      <w:bookmarkEnd w:id="1967"/>
      <w:bookmarkStart w:id="1968" w:name="_Toc168399712"/>
      <w:bookmarkEnd w:id="1968"/>
      <w:bookmarkStart w:id="1969" w:name="_Toc168400655"/>
      <w:bookmarkEnd w:id="1969"/>
      <w:bookmarkStart w:id="1970" w:name="_Toc168400675"/>
      <w:bookmarkEnd w:id="1970"/>
      <w:bookmarkStart w:id="1971" w:name="_Toc168401120"/>
      <w:bookmarkEnd w:id="1971"/>
      <w:bookmarkStart w:id="1972" w:name="_Toc168401591"/>
      <w:bookmarkEnd w:id="1972"/>
      <w:bookmarkStart w:id="1973" w:name="_Toc168400935"/>
      <w:bookmarkEnd w:id="1973"/>
      <w:bookmarkStart w:id="1974" w:name="_Toc168399784"/>
      <w:bookmarkEnd w:id="1974"/>
      <w:bookmarkStart w:id="1975" w:name="_Toc168400913"/>
      <w:bookmarkEnd w:id="1975"/>
      <w:bookmarkStart w:id="1976" w:name="_Toc168401901"/>
      <w:bookmarkEnd w:id="1976"/>
      <w:bookmarkStart w:id="1977" w:name="_Toc168401424"/>
      <w:bookmarkEnd w:id="1977"/>
      <w:bookmarkStart w:id="1978" w:name="_Toc168400087"/>
      <w:bookmarkEnd w:id="1978"/>
      <w:bookmarkStart w:id="1979" w:name="_Toc168401953"/>
      <w:bookmarkEnd w:id="1979"/>
      <w:bookmarkStart w:id="1980" w:name="_Toc168399694"/>
      <w:bookmarkEnd w:id="1980"/>
      <w:bookmarkStart w:id="1981" w:name="_Toc168400801"/>
      <w:bookmarkEnd w:id="1981"/>
      <w:bookmarkStart w:id="1982" w:name="_Toc168400338"/>
      <w:bookmarkEnd w:id="1982"/>
      <w:bookmarkStart w:id="1983" w:name="_Toc168399535"/>
      <w:bookmarkEnd w:id="1983"/>
      <w:bookmarkStart w:id="1984" w:name="_Toc168401345"/>
      <w:bookmarkEnd w:id="1984"/>
      <w:bookmarkStart w:id="1985" w:name="_Toc168400256"/>
      <w:bookmarkEnd w:id="1985"/>
      <w:bookmarkStart w:id="1986" w:name="_Toc168400366"/>
      <w:bookmarkEnd w:id="1986"/>
      <w:bookmarkStart w:id="1987" w:name="_Toc168401401"/>
      <w:bookmarkEnd w:id="1987"/>
      <w:bookmarkStart w:id="1988" w:name="_Toc168402179"/>
      <w:bookmarkEnd w:id="1988"/>
      <w:bookmarkStart w:id="1989" w:name="_Toc168402028"/>
      <w:bookmarkEnd w:id="1989"/>
      <w:bookmarkStart w:id="1990" w:name="_Toc168401778"/>
      <w:bookmarkEnd w:id="1990"/>
      <w:bookmarkStart w:id="1991" w:name="_Toc168399933"/>
      <w:bookmarkEnd w:id="1991"/>
      <w:bookmarkStart w:id="1992" w:name="_Toc168401714"/>
      <w:bookmarkEnd w:id="1992"/>
      <w:bookmarkStart w:id="1993" w:name="_Toc168399901"/>
      <w:bookmarkEnd w:id="1993"/>
      <w:bookmarkStart w:id="1994" w:name="_Toc168400421"/>
      <w:bookmarkEnd w:id="1994"/>
      <w:bookmarkStart w:id="1995" w:name="_Toc168402178"/>
      <w:bookmarkEnd w:id="1995"/>
      <w:bookmarkStart w:id="1996" w:name="_Toc168400569"/>
      <w:bookmarkEnd w:id="1996"/>
      <w:bookmarkStart w:id="1997" w:name="_Toc168400041"/>
      <w:bookmarkEnd w:id="1997"/>
      <w:bookmarkStart w:id="1998" w:name="_Toc168400942"/>
      <w:bookmarkEnd w:id="1998"/>
      <w:bookmarkStart w:id="1999" w:name="_Toc168402104"/>
      <w:bookmarkEnd w:id="1999"/>
      <w:bookmarkStart w:id="2000" w:name="_Toc168400496"/>
      <w:bookmarkEnd w:id="2000"/>
      <w:bookmarkStart w:id="2001" w:name="_Toc168401147"/>
      <w:bookmarkEnd w:id="2001"/>
      <w:bookmarkStart w:id="2002" w:name="_Toc168401049"/>
      <w:bookmarkEnd w:id="2002"/>
      <w:bookmarkStart w:id="2003" w:name="_Toc168399562"/>
      <w:bookmarkEnd w:id="2003"/>
      <w:bookmarkStart w:id="2004" w:name="_Toc168402047"/>
      <w:bookmarkEnd w:id="2004"/>
      <w:bookmarkStart w:id="2005" w:name="_Toc168401841"/>
      <w:bookmarkEnd w:id="2005"/>
      <w:bookmarkStart w:id="2006" w:name="_Toc168402134"/>
      <w:bookmarkEnd w:id="2006"/>
      <w:bookmarkStart w:id="2007" w:name="_Toc168402021"/>
      <w:bookmarkEnd w:id="2007"/>
      <w:bookmarkStart w:id="2008" w:name="_Toc168401196"/>
      <w:bookmarkEnd w:id="2008"/>
      <w:bookmarkStart w:id="2009" w:name="_Toc168399736"/>
      <w:bookmarkEnd w:id="2009"/>
      <w:bookmarkStart w:id="2010" w:name="_Toc168401796"/>
      <w:bookmarkEnd w:id="2010"/>
      <w:bookmarkStart w:id="2011" w:name="_Toc168399582"/>
      <w:bookmarkEnd w:id="2011"/>
      <w:bookmarkStart w:id="2012" w:name="_Toc168401746"/>
      <w:bookmarkEnd w:id="2012"/>
      <w:bookmarkStart w:id="2013" w:name="_Toc168400349"/>
      <w:bookmarkEnd w:id="2013"/>
      <w:bookmarkStart w:id="2014" w:name="_Toc168401407"/>
      <w:bookmarkEnd w:id="2014"/>
      <w:bookmarkStart w:id="2015" w:name="_Toc168400429"/>
      <w:bookmarkEnd w:id="2015"/>
      <w:bookmarkStart w:id="2016" w:name="_Toc168400888"/>
      <w:bookmarkEnd w:id="2016"/>
      <w:bookmarkStart w:id="2017" w:name="_Toc168400451"/>
      <w:bookmarkEnd w:id="2017"/>
      <w:bookmarkStart w:id="2018" w:name="_Toc168400660"/>
      <w:bookmarkEnd w:id="2018"/>
      <w:bookmarkStart w:id="2019" w:name="_Toc168400044"/>
      <w:bookmarkEnd w:id="2019"/>
      <w:bookmarkStart w:id="2020" w:name="_Toc168400222"/>
      <w:bookmarkEnd w:id="2020"/>
      <w:bookmarkStart w:id="2021" w:name="_Toc168399805"/>
      <w:bookmarkEnd w:id="2021"/>
      <w:bookmarkStart w:id="2022" w:name="_Toc168400946"/>
      <w:bookmarkEnd w:id="2022"/>
      <w:bookmarkStart w:id="2023" w:name="_Toc168401547"/>
      <w:bookmarkEnd w:id="2023"/>
      <w:bookmarkStart w:id="2024" w:name="_Toc168401710"/>
      <w:bookmarkEnd w:id="2024"/>
      <w:bookmarkStart w:id="2025" w:name="_Toc168401769"/>
      <w:bookmarkEnd w:id="2025"/>
      <w:bookmarkStart w:id="2026" w:name="_Toc168401261"/>
      <w:bookmarkEnd w:id="2026"/>
      <w:bookmarkStart w:id="2027" w:name="_Toc168401518"/>
      <w:bookmarkEnd w:id="2027"/>
      <w:bookmarkStart w:id="2028" w:name="_Toc168400210"/>
      <w:bookmarkEnd w:id="2028"/>
      <w:bookmarkStart w:id="2029" w:name="_Toc168400152"/>
      <w:bookmarkEnd w:id="2029"/>
      <w:bookmarkStart w:id="2030" w:name="_Toc168400626"/>
      <w:bookmarkEnd w:id="2030"/>
      <w:bookmarkStart w:id="2031" w:name="_Toc168400070"/>
      <w:bookmarkEnd w:id="2031"/>
      <w:bookmarkStart w:id="2032" w:name="_Toc168401352"/>
      <w:bookmarkEnd w:id="2032"/>
      <w:bookmarkStart w:id="2033" w:name="_Toc168402220"/>
      <w:bookmarkEnd w:id="2033"/>
      <w:bookmarkStart w:id="2034" w:name="_Toc168400136"/>
      <w:bookmarkEnd w:id="2034"/>
      <w:bookmarkStart w:id="2035" w:name="_Toc168400228"/>
      <w:bookmarkEnd w:id="2035"/>
      <w:bookmarkStart w:id="2036" w:name="_Toc168400629"/>
      <w:bookmarkEnd w:id="2036"/>
      <w:bookmarkStart w:id="2037" w:name="_Toc168400433"/>
      <w:bookmarkEnd w:id="2037"/>
      <w:bookmarkStart w:id="2038" w:name="_Toc168400990"/>
      <w:bookmarkEnd w:id="2038"/>
      <w:bookmarkStart w:id="2039" w:name="_Toc168400551"/>
      <w:bookmarkEnd w:id="2039"/>
      <w:bookmarkStart w:id="2040" w:name="_Toc168399898"/>
      <w:bookmarkEnd w:id="2040"/>
      <w:bookmarkStart w:id="2041" w:name="_Toc168401330"/>
      <w:bookmarkEnd w:id="2041"/>
      <w:bookmarkStart w:id="2042" w:name="_Toc168401946"/>
      <w:bookmarkEnd w:id="2042"/>
      <w:bookmarkStart w:id="2043" w:name="_Toc168399752"/>
      <w:bookmarkEnd w:id="2043"/>
      <w:bookmarkStart w:id="2044" w:name="_Toc168401208"/>
      <w:bookmarkEnd w:id="2044"/>
      <w:bookmarkStart w:id="2045" w:name="_Toc168401701"/>
      <w:bookmarkEnd w:id="2045"/>
      <w:bookmarkStart w:id="2046" w:name="_Toc168399534"/>
      <w:bookmarkEnd w:id="2046"/>
      <w:bookmarkStart w:id="2047" w:name="_Toc168399920"/>
      <w:bookmarkEnd w:id="2047"/>
      <w:bookmarkStart w:id="2048" w:name="_Toc168399577"/>
      <w:bookmarkEnd w:id="2048"/>
      <w:bookmarkStart w:id="2049" w:name="_Toc168399789"/>
      <w:bookmarkEnd w:id="2049"/>
      <w:bookmarkStart w:id="2050" w:name="_Toc168402133"/>
      <w:bookmarkEnd w:id="2050"/>
      <w:bookmarkStart w:id="2051" w:name="_Toc168399651"/>
      <w:bookmarkEnd w:id="2051"/>
      <w:bookmarkStart w:id="2052" w:name="_Toc168401455"/>
      <w:bookmarkEnd w:id="2052"/>
      <w:bookmarkStart w:id="2053" w:name="_Toc168399994"/>
      <w:bookmarkEnd w:id="2053"/>
      <w:bookmarkStart w:id="2054" w:name="_Toc168400932"/>
      <w:bookmarkEnd w:id="2054"/>
      <w:bookmarkStart w:id="2055" w:name="_Toc168400797"/>
      <w:bookmarkEnd w:id="2055"/>
      <w:bookmarkStart w:id="2056" w:name="_Toc168401038"/>
      <w:bookmarkEnd w:id="2056"/>
      <w:bookmarkStart w:id="2057" w:name="_Toc168401604"/>
      <w:bookmarkEnd w:id="2057"/>
      <w:bookmarkStart w:id="2058" w:name="_Toc168401437"/>
      <w:bookmarkEnd w:id="2058"/>
      <w:bookmarkStart w:id="2059" w:name="_Toc168399866"/>
      <w:bookmarkEnd w:id="2059"/>
      <w:bookmarkStart w:id="2060" w:name="_Toc168400291"/>
      <w:bookmarkEnd w:id="2060"/>
      <w:bookmarkStart w:id="2061" w:name="_Toc168401612"/>
      <w:bookmarkEnd w:id="2061"/>
      <w:bookmarkStart w:id="2062" w:name="_Toc168401459"/>
      <w:bookmarkEnd w:id="2062"/>
      <w:bookmarkStart w:id="2063" w:name="_Toc168402158"/>
      <w:bookmarkEnd w:id="2063"/>
      <w:bookmarkStart w:id="2064" w:name="_Toc168400972"/>
      <w:bookmarkEnd w:id="2064"/>
      <w:bookmarkStart w:id="2065" w:name="_Toc168400235"/>
      <w:bookmarkEnd w:id="2065"/>
      <w:bookmarkStart w:id="2066" w:name="_Toc168401634"/>
      <w:bookmarkEnd w:id="2066"/>
      <w:bookmarkStart w:id="2067" w:name="_Toc168399695"/>
      <w:bookmarkEnd w:id="2067"/>
      <w:bookmarkStart w:id="2068" w:name="_Toc168401574"/>
      <w:bookmarkEnd w:id="2068"/>
      <w:bookmarkStart w:id="2069" w:name="_Toc168402085"/>
      <w:bookmarkEnd w:id="2069"/>
      <w:bookmarkStart w:id="2070" w:name="_Toc168401678"/>
      <w:bookmarkEnd w:id="2070"/>
      <w:bookmarkStart w:id="2071" w:name="_Toc168401292"/>
      <w:bookmarkEnd w:id="2071"/>
      <w:bookmarkStart w:id="2072" w:name="_Toc168401853"/>
      <w:bookmarkEnd w:id="2072"/>
      <w:bookmarkStart w:id="2073" w:name="_Toc168401201"/>
      <w:bookmarkEnd w:id="2073"/>
      <w:bookmarkStart w:id="2074" w:name="_Toc168402040"/>
      <w:bookmarkEnd w:id="2074"/>
      <w:bookmarkStart w:id="2075" w:name="_Toc168401756"/>
      <w:bookmarkEnd w:id="2075"/>
      <w:bookmarkStart w:id="2076" w:name="_Toc168401652"/>
      <w:bookmarkEnd w:id="2076"/>
      <w:bookmarkStart w:id="2077" w:name="_Toc168399653"/>
      <w:bookmarkEnd w:id="2077"/>
      <w:bookmarkStart w:id="2078" w:name="_Toc168400118"/>
      <w:bookmarkEnd w:id="2078"/>
      <w:bookmarkStart w:id="2079" w:name="_Toc168402221"/>
      <w:bookmarkEnd w:id="2079"/>
      <w:bookmarkStart w:id="2080" w:name="_Toc168400049"/>
      <w:bookmarkEnd w:id="2080"/>
      <w:bookmarkStart w:id="2081" w:name="_Toc168400480"/>
      <w:bookmarkEnd w:id="2081"/>
      <w:bookmarkStart w:id="2082" w:name="_Toc168399827"/>
      <w:bookmarkEnd w:id="2082"/>
      <w:bookmarkStart w:id="2083" w:name="_Toc168400008"/>
      <w:bookmarkEnd w:id="2083"/>
      <w:bookmarkStart w:id="2084" w:name="_Toc168400859"/>
      <w:bookmarkEnd w:id="2084"/>
      <w:bookmarkStart w:id="2085" w:name="_Toc168400949"/>
      <w:bookmarkEnd w:id="2085"/>
      <w:bookmarkStart w:id="2086" w:name="_Toc168401852"/>
      <w:bookmarkEnd w:id="2086"/>
      <w:bookmarkStart w:id="2087" w:name="_Toc168401649"/>
      <w:bookmarkEnd w:id="2087"/>
      <w:bookmarkStart w:id="2088" w:name="_Toc168400773"/>
      <w:bookmarkEnd w:id="2088"/>
      <w:bookmarkStart w:id="2089" w:name="_Toc168399910"/>
      <w:bookmarkEnd w:id="2089"/>
      <w:bookmarkStart w:id="2090" w:name="_Toc168400102"/>
      <w:bookmarkEnd w:id="2090"/>
      <w:bookmarkStart w:id="2091" w:name="_Toc168401012"/>
      <w:bookmarkEnd w:id="2091"/>
      <w:bookmarkStart w:id="2092" w:name="_Toc168401718"/>
      <w:bookmarkEnd w:id="2092"/>
      <w:bookmarkStart w:id="2093" w:name="_Toc168400802"/>
      <w:bookmarkEnd w:id="2093"/>
      <w:bookmarkStart w:id="2094" w:name="_Toc168401533"/>
      <w:bookmarkEnd w:id="2094"/>
      <w:bookmarkStart w:id="2095" w:name="_Toc168401784"/>
      <w:bookmarkEnd w:id="2095"/>
      <w:bookmarkStart w:id="2096" w:name="_Toc168399987"/>
      <w:bookmarkEnd w:id="2096"/>
      <w:bookmarkStart w:id="2097" w:name="_Toc168401939"/>
      <w:bookmarkEnd w:id="2097"/>
      <w:bookmarkStart w:id="2098" w:name="_Toc168400248"/>
      <w:bookmarkEnd w:id="2098"/>
      <w:bookmarkStart w:id="2099" w:name="_Toc168401863"/>
      <w:bookmarkEnd w:id="2099"/>
      <w:bookmarkStart w:id="2100" w:name="_Toc168400501"/>
      <w:bookmarkEnd w:id="2100"/>
      <w:bookmarkStart w:id="2101" w:name="_Toc168401257"/>
      <w:bookmarkEnd w:id="2101"/>
      <w:bookmarkStart w:id="2102" w:name="_Toc168401873"/>
      <w:bookmarkEnd w:id="2102"/>
      <w:bookmarkStart w:id="2103" w:name="_Toc168399727"/>
      <w:bookmarkEnd w:id="2103"/>
      <w:bookmarkStart w:id="2104" w:name="_Toc168400916"/>
      <w:bookmarkEnd w:id="2104"/>
      <w:bookmarkStart w:id="2105" w:name="_Toc168399919"/>
      <w:bookmarkEnd w:id="2105"/>
      <w:bookmarkStart w:id="2106" w:name="_Toc168400459"/>
      <w:bookmarkEnd w:id="2106"/>
      <w:bookmarkStart w:id="2107" w:name="_Toc168400911"/>
      <w:bookmarkEnd w:id="2107"/>
      <w:bookmarkStart w:id="2108" w:name="_Toc168401393"/>
      <w:bookmarkEnd w:id="2108"/>
      <w:bookmarkStart w:id="2109" w:name="_Toc168402106"/>
      <w:bookmarkEnd w:id="2109"/>
      <w:bookmarkStart w:id="2110" w:name="_Toc168399764"/>
      <w:bookmarkEnd w:id="2110"/>
      <w:bookmarkStart w:id="2111" w:name="_Toc168402030"/>
      <w:bookmarkEnd w:id="2111"/>
      <w:bookmarkStart w:id="2112" w:name="_Toc168401094"/>
      <w:bookmarkEnd w:id="2112"/>
      <w:bookmarkStart w:id="2113" w:name="_Toc168401781"/>
      <w:bookmarkEnd w:id="2113"/>
      <w:bookmarkStart w:id="2114" w:name="_Toc168400659"/>
      <w:bookmarkEnd w:id="2114"/>
      <w:bookmarkStart w:id="2115" w:name="_Toc168401825"/>
      <w:bookmarkEnd w:id="2115"/>
      <w:bookmarkStart w:id="2116" w:name="_Toc168401249"/>
      <w:bookmarkEnd w:id="2116"/>
      <w:bookmarkStart w:id="2117" w:name="_Toc168401247"/>
      <w:bookmarkEnd w:id="2117"/>
      <w:bookmarkStart w:id="2118" w:name="_Toc168400053"/>
      <w:bookmarkEnd w:id="2118"/>
      <w:bookmarkStart w:id="2119" w:name="_Toc168400678"/>
      <w:bookmarkEnd w:id="2119"/>
      <w:bookmarkStart w:id="2120" w:name="_Toc168401200"/>
      <w:bookmarkEnd w:id="2120"/>
      <w:bookmarkStart w:id="2121" w:name="_Toc168400377"/>
      <w:bookmarkEnd w:id="2121"/>
      <w:bookmarkStart w:id="2122" w:name="_Toc168401880"/>
      <w:bookmarkEnd w:id="2122"/>
      <w:bookmarkStart w:id="2123" w:name="_Toc168401220"/>
      <w:bookmarkEnd w:id="2123"/>
      <w:bookmarkStart w:id="2124" w:name="_Toc168401211"/>
      <w:bookmarkEnd w:id="2124"/>
      <w:bookmarkStart w:id="2125" w:name="_Toc168401130"/>
      <w:bookmarkEnd w:id="2125"/>
      <w:bookmarkStart w:id="2126" w:name="_Toc168399816"/>
      <w:bookmarkEnd w:id="2126"/>
      <w:bookmarkStart w:id="2127" w:name="_Toc168400251"/>
      <w:bookmarkEnd w:id="2127"/>
      <w:bookmarkStart w:id="2128" w:name="_Toc168400413"/>
      <w:bookmarkEnd w:id="2128"/>
      <w:bookmarkStart w:id="2129" w:name="_Toc168399996"/>
      <w:bookmarkEnd w:id="2129"/>
      <w:bookmarkStart w:id="2130" w:name="_Toc168401467"/>
      <w:bookmarkEnd w:id="2130"/>
      <w:bookmarkStart w:id="2131" w:name="_Toc168400857"/>
      <w:bookmarkEnd w:id="2131"/>
      <w:bookmarkStart w:id="2132" w:name="_Toc168401140"/>
      <w:bookmarkEnd w:id="2132"/>
      <w:bookmarkStart w:id="2133" w:name="_Toc168400143"/>
      <w:bookmarkEnd w:id="2133"/>
      <w:bookmarkStart w:id="2134" w:name="_Toc168401380"/>
      <w:bookmarkEnd w:id="2134"/>
      <w:bookmarkStart w:id="2135" w:name="_Toc168402109"/>
      <w:bookmarkEnd w:id="2135"/>
      <w:bookmarkStart w:id="2136" w:name="_Toc168401054"/>
      <w:bookmarkEnd w:id="2136"/>
      <w:bookmarkStart w:id="2137" w:name="_Toc168399549"/>
      <w:bookmarkEnd w:id="2137"/>
      <w:bookmarkStart w:id="2138" w:name="_Toc168401217"/>
      <w:bookmarkEnd w:id="2138"/>
      <w:bookmarkStart w:id="2139" w:name="_Toc168400792"/>
      <w:bookmarkEnd w:id="2139"/>
      <w:bookmarkStart w:id="2140" w:name="_Toc168399844"/>
      <w:bookmarkEnd w:id="2140"/>
      <w:bookmarkStart w:id="2141" w:name="_Toc168401270"/>
      <w:bookmarkEnd w:id="2141"/>
      <w:bookmarkStart w:id="2142" w:name="_Toc168399970"/>
      <w:bookmarkEnd w:id="2142"/>
      <w:bookmarkStart w:id="2143" w:name="_Toc168401511"/>
      <w:bookmarkEnd w:id="2143"/>
      <w:bookmarkStart w:id="2144" w:name="_Toc168401753"/>
      <w:bookmarkEnd w:id="2144"/>
      <w:bookmarkStart w:id="2145" w:name="_Toc168400335"/>
      <w:bookmarkEnd w:id="2145"/>
      <w:bookmarkStart w:id="2146" w:name="_Toc168401944"/>
      <w:bookmarkEnd w:id="2146"/>
      <w:bookmarkStart w:id="2147" w:name="_Toc168400807"/>
      <w:bookmarkEnd w:id="2147"/>
      <w:bookmarkStart w:id="2148" w:name="_Toc168399906"/>
      <w:bookmarkEnd w:id="2148"/>
      <w:bookmarkStart w:id="2149" w:name="_Toc168399809"/>
      <w:bookmarkEnd w:id="2149"/>
      <w:bookmarkStart w:id="2150" w:name="_Toc168401232"/>
      <w:bookmarkEnd w:id="2150"/>
      <w:bookmarkStart w:id="2151" w:name="_Toc168401727"/>
      <w:bookmarkEnd w:id="2151"/>
      <w:bookmarkStart w:id="2152" w:name="_Toc168400565"/>
      <w:bookmarkEnd w:id="2152"/>
      <w:bookmarkStart w:id="2153" w:name="_Toc168400442"/>
      <w:bookmarkEnd w:id="2153"/>
      <w:bookmarkStart w:id="2154" w:name="_Toc168400947"/>
      <w:bookmarkEnd w:id="2154"/>
      <w:bookmarkStart w:id="2155" w:name="_Toc168400125"/>
      <w:bookmarkEnd w:id="2155"/>
      <w:bookmarkStart w:id="2156" w:name="_Toc168400831"/>
      <w:bookmarkEnd w:id="2156"/>
      <w:bookmarkStart w:id="2157" w:name="_Toc168400229"/>
      <w:bookmarkEnd w:id="2157"/>
      <w:bookmarkStart w:id="2158" w:name="_Toc168401296"/>
      <w:bookmarkEnd w:id="2158"/>
      <w:bookmarkStart w:id="2159" w:name="_Toc168400635"/>
      <w:bookmarkEnd w:id="2159"/>
      <w:bookmarkStart w:id="2160" w:name="_Toc168401860"/>
      <w:bookmarkEnd w:id="2160"/>
      <w:bookmarkStart w:id="2161" w:name="_Toc168401846"/>
      <w:bookmarkEnd w:id="2161"/>
      <w:bookmarkStart w:id="2162" w:name="_Toc168401817"/>
      <w:bookmarkEnd w:id="2162"/>
      <w:bookmarkStart w:id="2163" w:name="_Toc168400652"/>
      <w:bookmarkEnd w:id="2163"/>
      <w:bookmarkStart w:id="2164" w:name="_Toc168399795"/>
      <w:bookmarkEnd w:id="2164"/>
      <w:bookmarkStart w:id="2165" w:name="_Toc168400897"/>
      <w:bookmarkEnd w:id="2165"/>
      <w:bookmarkStart w:id="2166" w:name="_Toc168400584"/>
      <w:bookmarkEnd w:id="2166"/>
      <w:bookmarkStart w:id="2167" w:name="_Toc168399925"/>
      <w:bookmarkEnd w:id="2167"/>
      <w:bookmarkStart w:id="2168" w:name="_Toc168401613"/>
      <w:bookmarkEnd w:id="2168"/>
      <w:bookmarkStart w:id="2169" w:name="_Toc168401550"/>
      <w:bookmarkEnd w:id="2169"/>
      <w:bookmarkStart w:id="2170" w:name="_Toc168399604"/>
      <w:bookmarkEnd w:id="2170"/>
      <w:bookmarkStart w:id="2171" w:name="_Toc168401713"/>
      <w:bookmarkEnd w:id="2171"/>
      <w:bookmarkStart w:id="2172" w:name="_Toc168400094"/>
      <w:bookmarkEnd w:id="2172"/>
      <w:bookmarkStart w:id="2173" w:name="_Toc168400676"/>
      <w:bookmarkEnd w:id="2173"/>
      <w:bookmarkStart w:id="2174" w:name="_Toc168401163"/>
      <w:bookmarkEnd w:id="2174"/>
      <w:bookmarkStart w:id="2175" w:name="_Toc168401225"/>
      <w:bookmarkEnd w:id="2175"/>
      <w:bookmarkStart w:id="2176" w:name="_Toc168402128"/>
      <w:bookmarkEnd w:id="2176"/>
      <w:bookmarkStart w:id="2177" w:name="_Toc168402019"/>
      <w:bookmarkEnd w:id="2177"/>
      <w:bookmarkStart w:id="2178" w:name="_Toc168399769"/>
      <w:bookmarkEnd w:id="2178"/>
      <w:bookmarkStart w:id="2179" w:name="_Toc168399850"/>
      <w:bookmarkEnd w:id="2179"/>
      <w:bookmarkStart w:id="2180" w:name="_Toc168401996"/>
      <w:bookmarkEnd w:id="2180"/>
      <w:bookmarkStart w:id="2181" w:name="_Toc168400945"/>
      <w:bookmarkEnd w:id="2181"/>
      <w:bookmarkStart w:id="2182" w:name="_Toc168399953"/>
      <w:bookmarkEnd w:id="2182"/>
      <w:bookmarkStart w:id="2183" w:name="_Toc168401937"/>
      <w:bookmarkEnd w:id="2183"/>
      <w:bookmarkStart w:id="2184" w:name="_Toc168401836"/>
      <w:bookmarkEnd w:id="2184"/>
      <w:bookmarkStart w:id="2185" w:name="_Toc168401874"/>
      <w:bookmarkEnd w:id="2185"/>
      <w:bookmarkStart w:id="2186" w:name="_Toc168401142"/>
      <w:bookmarkEnd w:id="2186"/>
      <w:bookmarkStart w:id="2187" w:name="_Toc168399849"/>
      <w:bookmarkEnd w:id="2187"/>
      <w:bookmarkStart w:id="2188" w:name="_Toc168399944"/>
      <w:bookmarkEnd w:id="2188"/>
      <w:bookmarkStart w:id="2189" w:name="_Toc168401610"/>
      <w:bookmarkEnd w:id="2189"/>
      <w:bookmarkStart w:id="2190" w:name="_Toc168401553"/>
      <w:bookmarkEnd w:id="2190"/>
      <w:bookmarkStart w:id="2191" w:name="_Toc168400751"/>
      <w:bookmarkEnd w:id="2191"/>
      <w:bookmarkStart w:id="2192" w:name="_Toc168400168"/>
      <w:bookmarkEnd w:id="2192"/>
      <w:bookmarkStart w:id="2193" w:name="_Toc168401001"/>
      <w:bookmarkEnd w:id="2193"/>
      <w:bookmarkStart w:id="2194" w:name="_Toc168401274"/>
      <w:bookmarkEnd w:id="2194"/>
      <w:bookmarkStart w:id="2195" w:name="_Toc168401802"/>
      <w:bookmarkEnd w:id="2195"/>
      <w:bookmarkStart w:id="2196" w:name="_Toc168400823"/>
      <w:bookmarkEnd w:id="2196"/>
      <w:bookmarkStart w:id="2197" w:name="_Toc168399826"/>
      <w:bookmarkEnd w:id="2197"/>
      <w:bookmarkStart w:id="2198" w:name="_Toc168401470"/>
      <w:bookmarkEnd w:id="2198"/>
      <w:bookmarkStart w:id="2199" w:name="_Toc168401527"/>
      <w:bookmarkEnd w:id="2199"/>
      <w:bookmarkStart w:id="2200" w:name="_Toc168399576"/>
      <w:bookmarkEnd w:id="2200"/>
      <w:bookmarkStart w:id="2201" w:name="_Toc168400337"/>
      <w:bookmarkEnd w:id="2201"/>
      <w:bookmarkStart w:id="2202" w:name="_Toc168400194"/>
      <w:bookmarkEnd w:id="2202"/>
      <w:bookmarkStart w:id="2203" w:name="_Toc168401548"/>
      <w:bookmarkEnd w:id="2203"/>
      <w:bookmarkStart w:id="2204" w:name="_Toc168400920"/>
      <w:bookmarkEnd w:id="2204"/>
      <w:bookmarkStart w:id="2205" w:name="_Toc168401792"/>
      <w:bookmarkEnd w:id="2205"/>
      <w:bookmarkStart w:id="2206" w:name="_Toc168399946"/>
      <w:bookmarkEnd w:id="2206"/>
      <w:bookmarkStart w:id="2207" w:name="_Toc168401281"/>
      <w:bookmarkEnd w:id="2207"/>
      <w:bookmarkStart w:id="2208" w:name="_Toc168401395"/>
      <w:bookmarkEnd w:id="2208"/>
      <w:bookmarkStart w:id="2209" w:name="_Toc168400696"/>
      <w:bookmarkEnd w:id="2209"/>
      <w:bookmarkStart w:id="2210" w:name="_Toc168401222"/>
      <w:bookmarkEnd w:id="2210"/>
      <w:bookmarkStart w:id="2211" w:name="_Toc168400992"/>
      <w:bookmarkEnd w:id="2211"/>
      <w:bookmarkStart w:id="2212" w:name="_Toc168401726"/>
      <w:bookmarkEnd w:id="2212"/>
      <w:bookmarkStart w:id="2213" w:name="_Toc168399992"/>
      <w:bookmarkEnd w:id="2213"/>
      <w:bookmarkStart w:id="2214" w:name="_Toc168400838"/>
      <w:bookmarkEnd w:id="2214"/>
      <w:bookmarkStart w:id="2215" w:name="_Toc168400826"/>
      <w:bookmarkEnd w:id="2215"/>
      <w:bookmarkStart w:id="2216" w:name="_Toc168400537"/>
      <w:bookmarkEnd w:id="2216"/>
      <w:bookmarkStart w:id="2217" w:name="_Toc168401017"/>
      <w:bookmarkEnd w:id="2217"/>
      <w:bookmarkStart w:id="2218" w:name="_Toc168399875"/>
      <w:bookmarkEnd w:id="2218"/>
      <w:bookmarkStart w:id="2219" w:name="_Toc168402053"/>
      <w:bookmarkEnd w:id="2219"/>
      <w:bookmarkStart w:id="2220" w:name="_Toc168402066"/>
      <w:bookmarkEnd w:id="2220"/>
      <w:bookmarkStart w:id="2221" w:name="_Toc168400876"/>
      <w:bookmarkEnd w:id="2221"/>
      <w:bookmarkStart w:id="2222" w:name="_Toc168399699"/>
      <w:bookmarkEnd w:id="2222"/>
      <w:bookmarkStart w:id="2223" w:name="_Toc168400340"/>
      <w:bookmarkEnd w:id="2223"/>
      <w:bookmarkStart w:id="2224" w:name="_Toc168400095"/>
      <w:bookmarkEnd w:id="2224"/>
      <w:bookmarkStart w:id="2225" w:name="_Toc168401587"/>
      <w:bookmarkEnd w:id="2225"/>
      <w:bookmarkStart w:id="2226" w:name="_Toc168401515"/>
      <w:bookmarkEnd w:id="2226"/>
      <w:bookmarkStart w:id="2227" w:name="_Toc168402045"/>
      <w:bookmarkEnd w:id="2227"/>
      <w:bookmarkStart w:id="2228" w:name="_Toc168400242"/>
      <w:bookmarkEnd w:id="2228"/>
      <w:bookmarkStart w:id="2229" w:name="_Toc168400937"/>
      <w:bookmarkEnd w:id="2229"/>
      <w:bookmarkStart w:id="2230" w:name="_Toc168402149"/>
      <w:bookmarkEnd w:id="2230"/>
      <w:bookmarkStart w:id="2231" w:name="_Toc168402023"/>
      <w:bookmarkEnd w:id="2231"/>
      <w:bookmarkStart w:id="2232" w:name="_Toc168401316"/>
      <w:bookmarkEnd w:id="2232"/>
      <w:bookmarkStart w:id="2233" w:name="_Toc168400190"/>
      <w:bookmarkEnd w:id="2233"/>
      <w:bookmarkStart w:id="2234" w:name="_Toc168401695"/>
      <w:bookmarkEnd w:id="2234"/>
      <w:bookmarkStart w:id="2235" w:name="_Toc168400881"/>
      <w:bookmarkEnd w:id="2235"/>
      <w:bookmarkStart w:id="2236" w:name="_Toc168401097"/>
      <w:bookmarkEnd w:id="2236"/>
      <w:bookmarkStart w:id="2237" w:name="_Toc168400981"/>
      <w:bookmarkEnd w:id="2237"/>
      <w:bookmarkStart w:id="2238" w:name="_Toc168402087"/>
      <w:bookmarkEnd w:id="2238"/>
      <w:bookmarkStart w:id="2239" w:name="_Toc168401021"/>
      <w:bookmarkEnd w:id="2239"/>
      <w:bookmarkStart w:id="2240" w:name="_Toc168399547"/>
      <w:bookmarkEnd w:id="2240"/>
      <w:bookmarkStart w:id="2241" w:name="_Toc168401151"/>
      <w:bookmarkEnd w:id="2241"/>
      <w:bookmarkStart w:id="2242" w:name="_Toc168401861"/>
      <w:bookmarkEnd w:id="2242"/>
      <w:bookmarkStart w:id="2243" w:name="_Toc168400793"/>
      <w:bookmarkEnd w:id="2243"/>
      <w:bookmarkStart w:id="2244" w:name="_Toc168401624"/>
      <w:bookmarkEnd w:id="2244"/>
      <w:bookmarkStart w:id="2245" w:name="_Toc168400461"/>
      <w:bookmarkEnd w:id="2245"/>
      <w:bookmarkStart w:id="2246" w:name="_Toc168399889"/>
      <w:bookmarkEnd w:id="2246"/>
      <w:bookmarkStart w:id="2247" w:name="_Toc168401894"/>
      <w:bookmarkEnd w:id="2247"/>
      <w:bookmarkStart w:id="2248" w:name="_Toc168401358"/>
      <w:bookmarkEnd w:id="2248"/>
      <w:bookmarkStart w:id="2249" w:name="_Toc168401772"/>
      <w:bookmarkEnd w:id="2249"/>
      <w:bookmarkStart w:id="2250" w:name="_Toc168401899"/>
      <w:bookmarkEnd w:id="2250"/>
      <w:bookmarkStart w:id="2251" w:name="_Toc168402121"/>
      <w:bookmarkEnd w:id="2251"/>
      <w:bookmarkStart w:id="2252" w:name="_Toc168400360"/>
      <w:bookmarkEnd w:id="2252"/>
      <w:bookmarkStart w:id="2253" w:name="_Toc168401564"/>
      <w:bookmarkEnd w:id="2253"/>
      <w:bookmarkStart w:id="2254" w:name="_Toc168400552"/>
      <w:bookmarkEnd w:id="2254"/>
      <w:bookmarkStart w:id="2255" w:name="_Toc168401110"/>
      <w:bookmarkEnd w:id="2255"/>
      <w:bookmarkStart w:id="2256" w:name="_Toc168401144"/>
      <w:bookmarkEnd w:id="2256"/>
      <w:bookmarkStart w:id="2257" w:name="_Toc168401420"/>
      <w:bookmarkEnd w:id="2257"/>
      <w:bookmarkStart w:id="2258" w:name="_Toc168400850"/>
      <w:bookmarkEnd w:id="2258"/>
      <w:bookmarkStart w:id="2259" w:name="_Toc168402077"/>
      <w:bookmarkEnd w:id="2259"/>
      <w:bookmarkStart w:id="2260" w:name="_Toc168399679"/>
      <w:bookmarkEnd w:id="2260"/>
      <w:bookmarkStart w:id="2261" w:name="_Toc168401114"/>
      <w:bookmarkEnd w:id="2261"/>
      <w:bookmarkStart w:id="2262" w:name="_Toc168401839"/>
      <w:bookmarkEnd w:id="2262"/>
      <w:bookmarkStart w:id="2263" w:name="_Toc168402001"/>
      <w:bookmarkEnd w:id="2263"/>
      <w:bookmarkStart w:id="2264" w:name="_Toc168401752"/>
      <w:bookmarkEnd w:id="2264"/>
      <w:bookmarkStart w:id="2265" w:name="_Toc168400633"/>
      <w:bookmarkEnd w:id="2265"/>
      <w:bookmarkStart w:id="2266" w:name="_Toc168401323"/>
      <w:bookmarkEnd w:id="2266"/>
      <w:bookmarkStart w:id="2267" w:name="_Toc168400148"/>
      <w:bookmarkEnd w:id="2267"/>
      <w:bookmarkStart w:id="2268" w:name="_Toc168400987"/>
      <w:bookmarkEnd w:id="2268"/>
      <w:bookmarkStart w:id="2269" w:name="_Toc168402119"/>
      <w:bookmarkEnd w:id="2269"/>
      <w:bookmarkStart w:id="2270" w:name="_Toc168402032"/>
      <w:bookmarkEnd w:id="2270"/>
      <w:bookmarkStart w:id="2271" w:name="_Toc168399772"/>
      <w:bookmarkEnd w:id="2271"/>
      <w:bookmarkStart w:id="2272" w:name="_Toc168401590"/>
      <w:bookmarkEnd w:id="2272"/>
      <w:bookmarkStart w:id="2273" w:name="_Toc168399565"/>
      <w:bookmarkEnd w:id="2273"/>
      <w:bookmarkStart w:id="2274" w:name="_Toc168399785"/>
      <w:bookmarkEnd w:id="2274"/>
      <w:bookmarkStart w:id="2275" w:name="_Toc168400997"/>
      <w:bookmarkEnd w:id="2275"/>
      <w:bookmarkStart w:id="2276" w:name="_Toc168400832"/>
      <w:bookmarkEnd w:id="2276"/>
      <w:bookmarkStart w:id="2277" w:name="_Toc168401567"/>
      <w:bookmarkEnd w:id="2277"/>
      <w:bookmarkStart w:id="2278" w:name="_Toc168402074"/>
      <w:bookmarkEnd w:id="2278"/>
      <w:bookmarkStart w:id="2279" w:name="_Toc168401227"/>
      <w:bookmarkEnd w:id="2279"/>
      <w:bookmarkStart w:id="2280" w:name="_Toc168401642"/>
      <w:bookmarkEnd w:id="2280"/>
      <w:bookmarkStart w:id="2281" w:name="_Toc168400968"/>
      <w:bookmarkEnd w:id="2281"/>
      <w:bookmarkStart w:id="2282" w:name="_Toc168401685"/>
      <w:bookmarkEnd w:id="2282"/>
      <w:bookmarkStart w:id="2283" w:name="_Toc168402078"/>
      <w:bookmarkEnd w:id="2283"/>
      <w:bookmarkStart w:id="2284" w:name="_Toc168399623"/>
      <w:bookmarkEnd w:id="2284"/>
      <w:bookmarkStart w:id="2285" w:name="_Toc168401063"/>
      <w:bookmarkEnd w:id="2285"/>
      <w:bookmarkStart w:id="2286" w:name="_Toc168400745"/>
      <w:bookmarkEnd w:id="2286"/>
      <w:bookmarkStart w:id="2287" w:name="_Toc168399728"/>
      <w:bookmarkEnd w:id="2287"/>
      <w:bookmarkStart w:id="2288" w:name="_Toc168400628"/>
      <w:bookmarkEnd w:id="2288"/>
      <w:bookmarkStart w:id="2289" w:name="_Toc168401895"/>
      <w:bookmarkEnd w:id="2289"/>
      <w:bookmarkStart w:id="2290" w:name="_Toc168400128"/>
      <w:bookmarkEnd w:id="2290"/>
      <w:bookmarkStart w:id="2291" w:name="_Toc168399997"/>
      <w:bookmarkEnd w:id="2291"/>
      <w:bookmarkStart w:id="2292" w:name="_Toc168401559"/>
      <w:bookmarkEnd w:id="2292"/>
      <w:bookmarkStart w:id="2293" w:name="_Toc168401150"/>
      <w:bookmarkEnd w:id="2293"/>
      <w:bookmarkStart w:id="2294" w:name="_Toc168401943"/>
      <w:bookmarkEnd w:id="2294"/>
      <w:bookmarkStart w:id="2295" w:name="_Toc168400215"/>
      <w:bookmarkEnd w:id="2295"/>
      <w:bookmarkStart w:id="2296" w:name="_Toc168401362"/>
      <w:bookmarkEnd w:id="2296"/>
      <w:bookmarkStart w:id="2297" w:name="_Toc168401302"/>
      <w:bookmarkEnd w:id="2297"/>
      <w:bookmarkStart w:id="2298" w:name="_Toc168401627"/>
      <w:bookmarkEnd w:id="2298"/>
      <w:bookmarkStart w:id="2299" w:name="_Toc168400224"/>
      <w:bookmarkEnd w:id="2299"/>
      <w:bookmarkStart w:id="2300" w:name="_Toc168401419"/>
      <w:bookmarkEnd w:id="2300"/>
      <w:bookmarkStart w:id="2301" w:name="_Toc168402161"/>
      <w:bookmarkEnd w:id="2301"/>
      <w:bookmarkStart w:id="2302" w:name="_Toc168401608"/>
      <w:bookmarkEnd w:id="2302"/>
      <w:bookmarkStart w:id="2303" w:name="_Toc168399863"/>
      <w:bookmarkEnd w:id="2303"/>
      <w:bookmarkStart w:id="2304" w:name="_Toc168400936"/>
      <w:bookmarkEnd w:id="2304"/>
      <w:bookmarkStart w:id="2305" w:name="_Toc168400416"/>
      <w:bookmarkEnd w:id="2305"/>
      <w:bookmarkStart w:id="2306" w:name="_Toc168402052"/>
      <w:bookmarkEnd w:id="2306"/>
      <w:bookmarkStart w:id="2307" w:name="_Toc168400846"/>
      <w:bookmarkEnd w:id="2307"/>
      <w:bookmarkStart w:id="2308" w:name="_Toc168401189"/>
      <w:bookmarkEnd w:id="2308"/>
      <w:bookmarkStart w:id="2309" w:name="_Toc168401521"/>
      <w:bookmarkEnd w:id="2309"/>
      <w:bookmarkStart w:id="2310" w:name="_Toc168400869"/>
      <w:bookmarkEnd w:id="2310"/>
      <w:bookmarkStart w:id="2311" w:name="_Toc168401557"/>
      <w:bookmarkEnd w:id="2311"/>
      <w:bookmarkStart w:id="2312" w:name="_Toc168401410"/>
      <w:bookmarkEnd w:id="2312"/>
      <w:bookmarkStart w:id="2313" w:name="_Toc168401132"/>
      <w:bookmarkEnd w:id="2313"/>
      <w:bookmarkStart w:id="2314" w:name="_Toc168401086"/>
      <w:bookmarkEnd w:id="2314"/>
      <w:bookmarkStart w:id="2315" w:name="_Toc168402086"/>
      <w:bookmarkEnd w:id="2315"/>
      <w:bookmarkStart w:id="2316" w:name="_Toc168400260"/>
      <w:bookmarkEnd w:id="2316"/>
      <w:bookmarkStart w:id="2317" w:name="_Toc168400818"/>
      <w:bookmarkEnd w:id="2317"/>
      <w:bookmarkStart w:id="2318" w:name="_Toc168400627"/>
      <w:bookmarkEnd w:id="2318"/>
      <w:bookmarkStart w:id="2319" w:name="_Toc168401789"/>
      <w:bookmarkEnd w:id="2319"/>
      <w:bookmarkStart w:id="2320" w:name="_Toc168401251"/>
      <w:bookmarkEnd w:id="2320"/>
      <w:bookmarkStart w:id="2321" w:name="_Toc168401858"/>
      <w:bookmarkEnd w:id="2321"/>
      <w:bookmarkStart w:id="2322" w:name="_Toc168401152"/>
      <w:bookmarkEnd w:id="2322"/>
      <w:bookmarkStart w:id="2323" w:name="_Toc168399975"/>
      <w:bookmarkEnd w:id="2323"/>
      <w:bookmarkStart w:id="2324" w:name="_Toc168400213"/>
      <w:bookmarkEnd w:id="2324"/>
      <w:bookmarkStart w:id="2325" w:name="_Toc168400296"/>
      <w:bookmarkEnd w:id="2325"/>
      <w:bookmarkStart w:id="2326" w:name="_Toc168400771"/>
      <w:bookmarkEnd w:id="2326"/>
      <w:bookmarkStart w:id="2327" w:name="_Toc168401872"/>
      <w:bookmarkEnd w:id="2327"/>
      <w:bookmarkStart w:id="2328" w:name="_Toc168401105"/>
      <w:bookmarkEnd w:id="2328"/>
      <w:bookmarkStart w:id="2329" w:name="_Toc168401046"/>
      <w:bookmarkEnd w:id="2329"/>
      <w:bookmarkStart w:id="2330" w:name="_Toc168401353"/>
      <w:bookmarkEnd w:id="2330"/>
      <w:bookmarkStart w:id="2331" w:name="_Toc168401218"/>
      <w:bookmarkEnd w:id="2331"/>
      <w:bookmarkStart w:id="2332" w:name="_Toc168400018"/>
      <w:bookmarkEnd w:id="2332"/>
      <w:bookmarkStart w:id="2333" w:name="_Toc168400895"/>
      <w:bookmarkEnd w:id="2333"/>
      <w:bookmarkStart w:id="2334" w:name="_Toc168401755"/>
      <w:bookmarkEnd w:id="2334"/>
      <w:bookmarkStart w:id="2335" w:name="_Toc168401840"/>
      <w:bookmarkEnd w:id="2335"/>
      <w:bookmarkStart w:id="2336" w:name="_Toc168401244"/>
      <w:bookmarkEnd w:id="2336"/>
      <w:bookmarkStart w:id="2337" w:name="_Toc168400686"/>
      <w:bookmarkEnd w:id="2337"/>
      <w:bookmarkStart w:id="2338" w:name="_Toc168400904"/>
      <w:bookmarkEnd w:id="2338"/>
      <w:bookmarkStart w:id="2339" w:name="_Toc168401365"/>
      <w:bookmarkEnd w:id="2339"/>
      <w:bookmarkStart w:id="2340" w:name="_Toc168401819"/>
      <w:bookmarkEnd w:id="2340"/>
      <w:bookmarkStart w:id="2341" w:name="_Toc168401826"/>
      <w:bookmarkEnd w:id="2341"/>
      <w:bookmarkStart w:id="2342" w:name="_Toc168401137"/>
      <w:bookmarkEnd w:id="2342"/>
      <w:bookmarkStart w:id="2343" w:name="_Toc168401167"/>
      <w:bookmarkEnd w:id="2343"/>
      <w:bookmarkStart w:id="2344" w:name="_Toc168401982"/>
      <w:bookmarkEnd w:id="2344"/>
      <w:bookmarkStart w:id="2345" w:name="_Toc168400519"/>
      <w:bookmarkEnd w:id="2345"/>
      <w:bookmarkStart w:id="2346" w:name="_Toc168400364"/>
      <w:bookmarkEnd w:id="2346"/>
      <w:bookmarkStart w:id="2347" w:name="_Toc168402063"/>
      <w:bookmarkEnd w:id="2347"/>
      <w:bookmarkStart w:id="2348" w:name="_Toc168401844"/>
      <w:bookmarkEnd w:id="2348"/>
      <w:bookmarkStart w:id="2349" w:name="_Toc168400858"/>
      <w:bookmarkEnd w:id="2349"/>
      <w:bookmarkStart w:id="2350" w:name="_Toc168402139"/>
      <w:bookmarkEnd w:id="2350"/>
      <w:bookmarkStart w:id="2351" w:name="_Toc168401027"/>
      <w:bookmarkEnd w:id="2351"/>
      <w:bookmarkStart w:id="2352" w:name="_Toc168399558"/>
      <w:bookmarkEnd w:id="2352"/>
      <w:bookmarkStart w:id="2353" w:name="_Toc168400468"/>
      <w:bookmarkEnd w:id="2353"/>
      <w:bookmarkStart w:id="2354" w:name="_Toc168401883"/>
      <w:bookmarkEnd w:id="2354"/>
      <w:bookmarkStart w:id="2355" w:name="_Toc168401361"/>
      <w:bookmarkEnd w:id="2355"/>
      <w:bookmarkStart w:id="2356" w:name="_Toc168402108"/>
      <w:bookmarkEnd w:id="2356"/>
      <w:bookmarkStart w:id="2357" w:name="_Toc168401823"/>
      <w:bookmarkEnd w:id="2357"/>
      <w:bookmarkStart w:id="2358" w:name="_Toc168401616"/>
      <w:bookmarkEnd w:id="2358"/>
      <w:bookmarkStart w:id="2359" w:name="_Toc168402037"/>
      <w:bookmarkEnd w:id="2359"/>
      <w:bookmarkStart w:id="2360" w:name="_Toc168401193"/>
      <w:bookmarkEnd w:id="2360"/>
      <w:bookmarkStart w:id="2361" w:name="_Toc168402129"/>
      <w:bookmarkEnd w:id="2361"/>
      <w:bookmarkStart w:id="2362" w:name="_Toc168400782"/>
      <w:bookmarkEnd w:id="2362"/>
      <w:bookmarkStart w:id="2363" w:name="_Toc168400943"/>
      <w:bookmarkEnd w:id="2363"/>
      <w:bookmarkStart w:id="2364" w:name="_Toc168402064"/>
      <w:bookmarkEnd w:id="2364"/>
      <w:bookmarkStart w:id="2365" w:name="_Toc168401926"/>
      <w:bookmarkEnd w:id="2365"/>
      <w:bookmarkStart w:id="2366" w:name="_Toc168400819"/>
      <w:bookmarkEnd w:id="2366"/>
      <w:bookmarkStart w:id="2367" w:name="_Toc168402017"/>
      <w:bookmarkEnd w:id="2367"/>
      <w:bookmarkStart w:id="2368" w:name="_Toc168399613"/>
      <w:bookmarkEnd w:id="2368"/>
      <w:bookmarkStart w:id="2369" w:name="_Toc168399697"/>
      <w:bookmarkEnd w:id="2369"/>
      <w:bookmarkStart w:id="2370" w:name="_Toc168400836"/>
      <w:bookmarkEnd w:id="2370"/>
      <w:bookmarkStart w:id="2371" w:name="_Toc168401443"/>
      <w:bookmarkEnd w:id="2371"/>
      <w:bookmarkStart w:id="2372" w:name="_Toc168401413"/>
      <w:bookmarkEnd w:id="2372"/>
      <w:bookmarkStart w:id="2373" w:name="_Toc168400803"/>
      <w:bookmarkEnd w:id="2373"/>
      <w:bookmarkStart w:id="2374" w:name="_Toc168400474"/>
      <w:bookmarkEnd w:id="2374"/>
      <w:bookmarkStart w:id="2375" w:name="_Toc168401236"/>
      <w:bookmarkEnd w:id="2375"/>
      <w:bookmarkStart w:id="2376" w:name="_Toc168400575"/>
      <w:bookmarkEnd w:id="2376"/>
      <w:bookmarkStart w:id="2377" w:name="_Toc168400691"/>
      <w:bookmarkEnd w:id="2377"/>
      <w:bookmarkStart w:id="2378" w:name="_Toc168400231"/>
      <w:bookmarkEnd w:id="2378"/>
      <w:bookmarkStart w:id="2379" w:name="_Toc168400909"/>
      <w:bookmarkEnd w:id="2379"/>
      <w:bookmarkStart w:id="2380" w:name="_Toc168399798"/>
      <w:bookmarkEnd w:id="2380"/>
      <w:bookmarkStart w:id="2381" w:name="_Toc168401228"/>
      <w:bookmarkEnd w:id="2381"/>
      <w:bookmarkStart w:id="2382" w:name="_Toc168400755"/>
      <w:bookmarkEnd w:id="2382"/>
      <w:bookmarkStart w:id="2383" w:name="_Toc168402197"/>
      <w:bookmarkEnd w:id="2383"/>
      <w:bookmarkStart w:id="2384" w:name="_Toc168401579"/>
      <w:bookmarkEnd w:id="2384"/>
      <w:bookmarkStart w:id="2385" w:name="_Toc168401377"/>
      <w:bookmarkEnd w:id="2385"/>
      <w:bookmarkStart w:id="2386" w:name="_Toc168400188"/>
      <w:bookmarkEnd w:id="2386"/>
      <w:bookmarkStart w:id="2387" w:name="_Toc168400430"/>
      <w:bookmarkEnd w:id="2387"/>
      <w:bookmarkStart w:id="2388" w:name="_Toc168399756"/>
      <w:bookmarkEnd w:id="2388"/>
      <w:bookmarkStart w:id="2389" w:name="_Toc168401862"/>
      <w:bookmarkEnd w:id="2389"/>
      <w:bookmarkStart w:id="2390" w:name="_Toc168400137"/>
      <w:bookmarkEnd w:id="2390"/>
      <w:bookmarkStart w:id="2391" w:name="_Toc168401135"/>
      <w:bookmarkEnd w:id="2391"/>
      <w:bookmarkStart w:id="2392" w:name="_Toc168399955"/>
      <w:bookmarkEnd w:id="2392"/>
      <w:bookmarkStart w:id="2393" w:name="_Toc168402222"/>
      <w:bookmarkEnd w:id="2393"/>
      <w:bookmarkStart w:id="2394" w:name="_Toc168400507"/>
      <w:bookmarkEnd w:id="2394"/>
      <w:bookmarkStart w:id="2395" w:name="_Toc168400900"/>
      <w:bookmarkEnd w:id="2395"/>
      <w:bookmarkStart w:id="2396" w:name="_Toc168401285"/>
      <w:bookmarkEnd w:id="2396"/>
      <w:bookmarkStart w:id="2397" w:name="_Toc168400295"/>
      <w:bookmarkEnd w:id="2397"/>
      <w:bookmarkStart w:id="2398" w:name="_Toc168401929"/>
      <w:bookmarkEnd w:id="2398"/>
      <w:bookmarkStart w:id="2399" w:name="_Toc168400910"/>
      <w:bookmarkEnd w:id="2399"/>
      <w:bookmarkStart w:id="2400" w:name="_Toc168401625"/>
      <w:bookmarkEnd w:id="2400"/>
      <w:bookmarkStart w:id="2401" w:name="_Toc168400536"/>
      <w:bookmarkEnd w:id="2401"/>
      <w:bookmarkStart w:id="2402" w:name="_Toc168401213"/>
      <w:bookmarkEnd w:id="2402"/>
      <w:bookmarkStart w:id="2403" w:name="_Toc168401230"/>
      <w:bookmarkEnd w:id="2403"/>
      <w:bookmarkStart w:id="2404" w:name="_Toc168402046"/>
      <w:bookmarkEnd w:id="2404"/>
      <w:bookmarkStart w:id="2405" w:name="_Toc168400878"/>
      <w:bookmarkEnd w:id="2405"/>
      <w:bookmarkStart w:id="2406" w:name="_Toc168401411"/>
      <w:bookmarkEnd w:id="2406"/>
      <w:bookmarkStart w:id="2407" w:name="_Toc168401814"/>
      <w:bookmarkEnd w:id="2407"/>
      <w:bookmarkStart w:id="2408" w:name="_Toc168401083"/>
      <w:bookmarkEnd w:id="2408"/>
      <w:bookmarkStart w:id="2409" w:name="_Toc168401777"/>
      <w:bookmarkEnd w:id="2409"/>
      <w:bookmarkStart w:id="2410" w:name="_Toc168401427"/>
      <w:bookmarkEnd w:id="2410"/>
      <w:bookmarkStart w:id="2411" w:name="_Toc168400577"/>
      <w:bookmarkEnd w:id="2411"/>
      <w:bookmarkStart w:id="2412" w:name="_Toc168401589"/>
      <w:bookmarkEnd w:id="2412"/>
      <w:bookmarkStart w:id="2413" w:name="_Toc168401950"/>
      <w:bookmarkEnd w:id="2413"/>
      <w:bookmarkStart w:id="2414" w:name="_Toc105145027"/>
      <w:bookmarkEnd w:id="2414"/>
      <w:bookmarkStart w:id="2415" w:name="_Toc168401099"/>
      <w:bookmarkEnd w:id="2415"/>
      <w:bookmarkStart w:id="2416" w:name="_Toc168399744"/>
      <w:bookmarkEnd w:id="2416"/>
      <w:bookmarkStart w:id="2417" w:name="_Toc168401922"/>
      <w:bookmarkEnd w:id="2417"/>
      <w:bookmarkStart w:id="2418" w:name="_Toc168401808"/>
      <w:bookmarkEnd w:id="2418"/>
      <w:bookmarkStart w:id="2419" w:name="_Toc168400323"/>
      <w:bookmarkEnd w:id="2419"/>
      <w:bookmarkStart w:id="2420" w:name="_Toc168401188"/>
      <w:bookmarkEnd w:id="2420"/>
      <w:bookmarkStart w:id="2421" w:name="_Toc168399656"/>
      <w:bookmarkEnd w:id="2421"/>
      <w:bookmarkStart w:id="2422" w:name="_Toc168401887"/>
      <w:bookmarkEnd w:id="2422"/>
      <w:bookmarkStart w:id="2423" w:name="_Toc168401619"/>
      <w:bookmarkEnd w:id="2423"/>
      <w:bookmarkStart w:id="2424" w:name="_Toc168400167"/>
      <w:bookmarkEnd w:id="2424"/>
      <w:bookmarkStart w:id="2425" w:name="_Toc168400376"/>
      <w:bookmarkEnd w:id="2425"/>
      <w:bookmarkStart w:id="2426" w:name="_Toc168400105"/>
      <w:bookmarkEnd w:id="2426"/>
      <w:bookmarkStart w:id="2427" w:name="_Toc168401759"/>
      <w:bookmarkEnd w:id="2427"/>
      <w:bookmarkStart w:id="2428" w:name="_Toc168401275"/>
      <w:bookmarkEnd w:id="2428"/>
      <w:bookmarkStart w:id="2429" w:name="_Toc168401667"/>
      <w:bookmarkEnd w:id="2429"/>
      <w:bookmarkStart w:id="2430" w:name="_Toc168401837"/>
      <w:bookmarkEnd w:id="2430"/>
      <w:bookmarkStart w:id="2431" w:name="_Toc168401460"/>
      <w:bookmarkEnd w:id="2431"/>
      <w:bookmarkStart w:id="2432" w:name="_Toc168401813"/>
      <w:bookmarkEnd w:id="2432"/>
      <w:bookmarkStart w:id="2433" w:name="_Toc168400071"/>
      <w:bookmarkEnd w:id="2433"/>
      <w:bookmarkStart w:id="2434" w:name="_Toc168399518"/>
      <w:bookmarkEnd w:id="2434"/>
      <w:bookmarkStart w:id="2435" w:name="_Toc168399526"/>
      <w:bookmarkEnd w:id="2435"/>
      <w:bookmarkStart w:id="2436" w:name="_Toc168401758"/>
      <w:bookmarkEnd w:id="2436"/>
      <w:bookmarkStart w:id="2437" w:name="_Toc168400342"/>
      <w:bookmarkEnd w:id="2437"/>
      <w:bookmarkStart w:id="2438" w:name="_Toc168400542"/>
      <w:bookmarkEnd w:id="2438"/>
      <w:bookmarkStart w:id="2439" w:name="_Toc168400324"/>
      <w:bookmarkEnd w:id="2439"/>
      <w:bookmarkStart w:id="2440" w:name="_Toc168400443"/>
      <w:bookmarkEnd w:id="2440"/>
      <w:bookmarkStart w:id="2441" w:name="_Toc168399905"/>
      <w:bookmarkEnd w:id="2441"/>
      <w:bookmarkStart w:id="2442" w:name="_Toc168399886"/>
      <w:bookmarkEnd w:id="2442"/>
      <w:bookmarkStart w:id="2443" w:name="_Toc168401757"/>
      <w:bookmarkEnd w:id="2443"/>
      <w:bookmarkStart w:id="2444" w:name="_Toc168401795"/>
      <w:bookmarkEnd w:id="2444"/>
      <w:bookmarkStart w:id="2445" w:name="_Toc168401007"/>
      <w:bookmarkEnd w:id="2445"/>
      <w:bookmarkStart w:id="2446" w:name="_Toc168401884"/>
      <w:bookmarkEnd w:id="2446"/>
      <w:bookmarkStart w:id="2447" w:name="_Toc168401194"/>
      <w:bookmarkEnd w:id="2447"/>
      <w:bookmarkStart w:id="2448" w:name="_Toc168400531"/>
      <w:bookmarkEnd w:id="2448"/>
      <w:bookmarkStart w:id="2449" w:name="_Toc168399560"/>
      <w:bookmarkEnd w:id="2449"/>
      <w:bookmarkStart w:id="2450" w:name="_Toc168401596"/>
      <w:bookmarkEnd w:id="2450"/>
      <w:bookmarkStart w:id="2451" w:name="_Toc168401970"/>
      <w:bookmarkEnd w:id="2451"/>
      <w:bookmarkStart w:id="2452" w:name="_Toc168400330"/>
      <w:bookmarkEnd w:id="2452"/>
      <w:bookmarkStart w:id="2453" w:name="_Toc168401153"/>
      <w:bookmarkEnd w:id="2453"/>
      <w:bookmarkStart w:id="2454" w:name="_Toc168401032"/>
      <w:bookmarkEnd w:id="2454"/>
      <w:bookmarkStart w:id="2455" w:name="_Toc168401475"/>
      <w:bookmarkEnd w:id="2455"/>
      <w:bookmarkStart w:id="2456" w:name="_Toc168399820"/>
      <w:bookmarkEnd w:id="2456"/>
      <w:bookmarkStart w:id="2457" w:name="_Toc168400634"/>
      <w:bookmarkEnd w:id="2457"/>
      <w:bookmarkStart w:id="2458" w:name="_Toc168401660"/>
      <w:bookmarkEnd w:id="2458"/>
      <w:bookmarkStart w:id="2459" w:name="_Toc168400744"/>
      <w:bookmarkEnd w:id="2459"/>
      <w:bookmarkStart w:id="2460" w:name="_Toc168401026"/>
      <w:bookmarkEnd w:id="2460"/>
      <w:bookmarkStart w:id="2461" w:name="_Toc168401838"/>
      <w:bookmarkEnd w:id="2461"/>
      <w:bookmarkStart w:id="2462" w:name="_Toc168402123"/>
      <w:bookmarkEnd w:id="2462"/>
      <w:bookmarkStart w:id="2463" w:name="_Toc168399572"/>
      <w:bookmarkEnd w:id="2463"/>
      <w:bookmarkStart w:id="2464" w:name="_Toc168399836"/>
      <w:bookmarkEnd w:id="2464"/>
      <w:bookmarkStart w:id="2465" w:name="_Toc168401675"/>
      <w:bookmarkEnd w:id="2465"/>
      <w:bookmarkStart w:id="2466" w:name="_Toc168400939"/>
      <w:bookmarkEnd w:id="2466"/>
      <w:bookmarkStart w:id="2467" w:name="_Toc168401327"/>
      <w:bookmarkEnd w:id="2467"/>
      <w:bookmarkStart w:id="2468" w:name="_Toc168401161"/>
      <w:bookmarkEnd w:id="2468"/>
      <w:bookmarkStart w:id="2469" w:name="_Toc168401892"/>
      <w:bookmarkEnd w:id="2469"/>
      <w:bookmarkStart w:id="2470" w:name="_Toc168399810"/>
      <w:bookmarkEnd w:id="2470"/>
      <w:bookmarkStart w:id="2471" w:name="_Toc168399837"/>
      <w:bookmarkEnd w:id="2471"/>
      <w:bookmarkStart w:id="2472" w:name="_Toc168401240"/>
      <w:bookmarkEnd w:id="2472"/>
      <w:bookmarkStart w:id="2473" w:name="_Toc168401303"/>
      <w:bookmarkEnd w:id="2473"/>
      <w:bookmarkStart w:id="2474" w:name="_Toc168400085"/>
      <w:bookmarkEnd w:id="2474"/>
      <w:bookmarkStart w:id="2475" w:name="_Toc168400365"/>
      <w:bookmarkEnd w:id="2475"/>
      <w:bookmarkStart w:id="2476" w:name="_Toc168401535"/>
      <w:bookmarkEnd w:id="2476"/>
      <w:bookmarkStart w:id="2477" w:name="_Toc168399742"/>
      <w:bookmarkEnd w:id="2477"/>
      <w:bookmarkStart w:id="2478" w:name="_Toc168400948"/>
      <w:bookmarkEnd w:id="2478"/>
      <w:bookmarkStart w:id="2479" w:name="_Toc168401833"/>
      <w:bookmarkEnd w:id="2479"/>
      <w:bookmarkStart w:id="2480" w:name="_Toc168401903"/>
      <w:bookmarkEnd w:id="2480"/>
      <w:bookmarkStart w:id="2481" w:name="_Toc168401576"/>
      <w:bookmarkEnd w:id="2481"/>
      <w:bookmarkStart w:id="2482" w:name="_Toc168400036"/>
      <w:bookmarkEnd w:id="2482"/>
      <w:bookmarkStart w:id="2483" w:name="_Toc168401379"/>
      <w:bookmarkEnd w:id="2483"/>
      <w:bookmarkStart w:id="2484" w:name="_Toc168400343"/>
      <w:bookmarkEnd w:id="2484"/>
      <w:bookmarkStart w:id="2485" w:name="_Toc168401391"/>
      <w:bookmarkEnd w:id="2485"/>
      <w:bookmarkStart w:id="2486" w:name="_Toc168401298"/>
      <w:bookmarkEnd w:id="2486"/>
      <w:bookmarkStart w:id="2487" w:name="_Toc168401686"/>
      <w:bookmarkEnd w:id="2487"/>
      <w:bookmarkStart w:id="2488" w:name="_Toc168400089"/>
      <w:bookmarkEnd w:id="2488"/>
      <w:bookmarkStart w:id="2489" w:name="_Toc168401592"/>
      <w:bookmarkEnd w:id="2489"/>
      <w:bookmarkStart w:id="2490" w:name="_Toc168399735"/>
      <w:bookmarkEnd w:id="2490"/>
      <w:bookmarkStart w:id="2491" w:name="_Toc168400674"/>
      <w:bookmarkEnd w:id="2491"/>
      <w:bookmarkStart w:id="2492" w:name="_Toc168400199"/>
      <w:bookmarkEnd w:id="2492"/>
      <w:bookmarkStart w:id="2493" w:name="_Toc168400417"/>
      <w:bookmarkEnd w:id="2493"/>
      <w:bookmarkStart w:id="2494" w:name="_Toc168400799"/>
      <w:bookmarkEnd w:id="2494"/>
      <w:bookmarkStart w:id="2495" w:name="_Toc168400746"/>
      <w:bookmarkEnd w:id="2495"/>
      <w:bookmarkStart w:id="2496" w:name="_Toc168401966"/>
      <w:bookmarkEnd w:id="2496"/>
      <w:bookmarkStart w:id="2497" w:name="_Toc168400438"/>
      <w:bookmarkEnd w:id="2497"/>
      <w:bookmarkStart w:id="2498" w:name="_Toc168401315"/>
      <w:bookmarkEnd w:id="2498"/>
      <w:bookmarkStart w:id="2499" w:name="_Toc168401430"/>
      <w:bookmarkEnd w:id="2499"/>
      <w:bookmarkStart w:id="2500" w:name="_Toc168401381"/>
      <w:bookmarkEnd w:id="2500"/>
      <w:bookmarkStart w:id="2501" w:name="_Toc168402228"/>
      <w:bookmarkEnd w:id="2501"/>
      <w:bookmarkStart w:id="2502" w:name="_Toc168402011"/>
      <w:bookmarkEnd w:id="2502"/>
      <w:bookmarkStart w:id="2503" w:name="_Toc168401477"/>
      <w:bookmarkEnd w:id="2503"/>
      <w:bookmarkStart w:id="2504" w:name="_Toc168399891"/>
      <w:bookmarkEnd w:id="2504"/>
      <w:bookmarkStart w:id="2505" w:name="_Toc168399888"/>
      <w:bookmarkEnd w:id="2505"/>
      <w:bookmarkStart w:id="2506" w:name="_Toc168400159"/>
      <w:bookmarkEnd w:id="2506"/>
      <w:bookmarkStart w:id="2507" w:name="_Toc168400829"/>
      <w:bookmarkEnd w:id="2507"/>
      <w:bookmarkStart w:id="2508" w:name="_Toc168399950"/>
      <w:bookmarkEnd w:id="2508"/>
      <w:bookmarkStart w:id="2509" w:name="_Toc168402071"/>
      <w:bookmarkEnd w:id="2509"/>
      <w:bookmarkStart w:id="2510" w:name="_Toc168400788"/>
      <w:bookmarkEnd w:id="2510"/>
      <w:bookmarkStart w:id="2511" w:name="_Toc168401972"/>
      <w:bookmarkEnd w:id="2511"/>
      <w:bookmarkStart w:id="2512" w:name="_Toc168399862"/>
      <w:bookmarkEnd w:id="2512"/>
      <w:bookmarkStart w:id="2513" w:name="_Toc168402167"/>
      <w:bookmarkEnd w:id="2513"/>
      <w:bookmarkStart w:id="2514" w:name="_Toc168400557"/>
      <w:bookmarkEnd w:id="2514"/>
      <w:bookmarkStart w:id="2515" w:name="_Toc168401334"/>
      <w:bookmarkEnd w:id="2515"/>
      <w:bookmarkStart w:id="2516" w:name="_Toc168400473"/>
      <w:bookmarkEnd w:id="2516"/>
      <w:bookmarkStart w:id="2517" w:name="_Toc168401034"/>
      <w:bookmarkEnd w:id="2517"/>
      <w:bookmarkStart w:id="2518" w:name="_Toc168401730"/>
      <w:bookmarkEnd w:id="2518"/>
      <w:bookmarkStart w:id="2519" w:name="_Toc168401800"/>
      <w:bookmarkEnd w:id="2519"/>
      <w:bookmarkStart w:id="2520" w:name="_Toc168402159"/>
      <w:bookmarkEnd w:id="2520"/>
      <w:bookmarkStart w:id="2521" w:name="_Toc168401843"/>
      <w:bookmarkEnd w:id="2521"/>
      <w:bookmarkStart w:id="2522" w:name="_Toc168400877"/>
      <w:bookmarkEnd w:id="2522"/>
      <w:bookmarkStart w:id="2523" w:name="_Toc168399942"/>
      <w:bookmarkEnd w:id="2523"/>
      <w:bookmarkStart w:id="2524" w:name="_Toc168401461"/>
      <w:bookmarkEnd w:id="2524"/>
      <w:bookmarkStart w:id="2525" w:name="_Toc168399682"/>
      <w:bookmarkEnd w:id="2525"/>
      <w:bookmarkStart w:id="2526" w:name="_Toc168400266"/>
      <w:bookmarkEnd w:id="2526"/>
      <w:bookmarkStart w:id="2527" w:name="_Toc168400140"/>
      <w:bookmarkEnd w:id="2527"/>
      <w:bookmarkStart w:id="2528" w:name="_Toc168401440"/>
      <w:bookmarkEnd w:id="2528"/>
      <w:bookmarkStart w:id="2529" w:name="_Toc168400025"/>
      <w:bookmarkEnd w:id="2529"/>
      <w:bookmarkStart w:id="2530" w:name="_Toc168401154"/>
      <w:bookmarkEnd w:id="2530"/>
      <w:bookmarkStart w:id="2531" w:name="_Toc168401072"/>
      <w:bookmarkEnd w:id="2531"/>
      <w:bookmarkStart w:id="2532" w:name="_Toc168399614"/>
      <w:bookmarkEnd w:id="2532"/>
      <w:bookmarkStart w:id="2533" w:name="_Toc168399627"/>
      <w:bookmarkEnd w:id="2533"/>
      <w:bookmarkStart w:id="2534" w:name="_Toc168401156"/>
      <w:bookmarkEnd w:id="2534"/>
      <w:bookmarkStart w:id="2535" w:name="_Toc168402035"/>
      <w:bookmarkEnd w:id="2535"/>
      <w:bookmarkStart w:id="2536" w:name="_Toc168399921"/>
      <w:bookmarkEnd w:id="2536"/>
      <w:bookmarkStart w:id="2537" w:name="_Toc168400488"/>
      <w:bookmarkEnd w:id="2537"/>
      <w:bookmarkStart w:id="2538" w:name="_Toc168401659"/>
      <w:bookmarkEnd w:id="2538"/>
      <w:bookmarkStart w:id="2539" w:name="_Toc168400276"/>
      <w:bookmarkEnd w:id="2539"/>
      <w:bookmarkStart w:id="2540" w:name="_Toc168401124"/>
      <w:bookmarkEnd w:id="2540"/>
      <w:bookmarkStart w:id="2541" w:name="_Toc168399841"/>
      <w:bookmarkEnd w:id="2541"/>
      <w:bookmarkStart w:id="2542" w:name="_Toc168401697"/>
      <w:bookmarkEnd w:id="2542"/>
      <w:bookmarkStart w:id="2543" w:name="_Toc168402177"/>
      <w:bookmarkEnd w:id="2543"/>
      <w:bookmarkStart w:id="2544" w:name="_Toc168402225"/>
      <w:bookmarkEnd w:id="2544"/>
      <w:bookmarkStart w:id="2545" w:name="_Toc168400448"/>
      <w:bookmarkEnd w:id="2545"/>
      <w:bookmarkStart w:id="2546" w:name="_Toc168401581"/>
      <w:bookmarkEnd w:id="2546"/>
      <w:bookmarkStart w:id="2547" w:name="_Toc168402008"/>
      <w:bookmarkEnd w:id="2547"/>
      <w:bookmarkStart w:id="2548" w:name="_Toc168399751"/>
      <w:bookmarkEnd w:id="2548"/>
      <w:bookmarkStart w:id="2549" w:name="_Toc168402107"/>
      <w:bookmarkEnd w:id="2549"/>
      <w:bookmarkStart w:id="2550" w:name="_Toc168400554"/>
      <w:bookmarkEnd w:id="2550"/>
      <w:bookmarkStart w:id="2551" w:name="_Toc168400387"/>
      <w:bookmarkEnd w:id="2551"/>
      <w:bookmarkStart w:id="2552" w:name="_Toc168401919"/>
      <w:bookmarkEnd w:id="2552"/>
      <w:bookmarkStart w:id="2553" w:name="_Toc168399969"/>
      <w:bookmarkEnd w:id="2553"/>
      <w:bookmarkStart w:id="2554" w:name="_Toc168401614"/>
      <w:bookmarkEnd w:id="2554"/>
      <w:bookmarkStart w:id="2555" w:name="_Toc168402150"/>
      <w:bookmarkEnd w:id="2555"/>
      <w:bookmarkStart w:id="2556" w:name="_Toc168400124"/>
      <w:bookmarkEnd w:id="2556"/>
      <w:bookmarkStart w:id="2557" w:name="_Toc168401737"/>
      <w:bookmarkEnd w:id="2557"/>
      <w:bookmarkStart w:id="2558" w:name="_Toc168401025"/>
      <w:bookmarkEnd w:id="2558"/>
      <w:bookmarkStart w:id="2559" w:name="_Toc168400765"/>
      <w:bookmarkEnd w:id="2559"/>
      <w:bookmarkStart w:id="2560" w:name="_Toc168401069"/>
      <w:bookmarkEnd w:id="2560"/>
      <w:bookmarkStart w:id="2561" w:name="_Toc168402236"/>
      <w:bookmarkEnd w:id="2561"/>
      <w:bookmarkStart w:id="2562" w:name="_Toc105145029"/>
      <w:bookmarkEnd w:id="2562"/>
      <w:bookmarkStart w:id="2563" w:name="_Toc168399650"/>
      <w:bookmarkEnd w:id="2563"/>
      <w:bookmarkStart w:id="2564" w:name="_Toc168400259"/>
      <w:bookmarkEnd w:id="2564"/>
      <w:bookmarkStart w:id="2565" w:name="_Toc168399590"/>
      <w:bookmarkEnd w:id="2565"/>
      <w:bookmarkStart w:id="2566" w:name="_Toc168399585"/>
      <w:bookmarkEnd w:id="2566"/>
      <w:bookmarkStart w:id="2567" w:name="_Toc168400368"/>
      <w:bookmarkEnd w:id="2567"/>
      <w:bookmarkStart w:id="2568" w:name="_Toc168401693"/>
      <w:bookmarkEnd w:id="2568"/>
      <w:bookmarkStart w:id="2569" w:name="_Toc168400896"/>
      <w:bookmarkEnd w:id="2569"/>
      <w:bookmarkStart w:id="2570" w:name="_Toc168400741"/>
      <w:bookmarkEnd w:id="2570"/>
      <w:bookmarkStart w:id="2571" w:name="_Toc168401223"/>
      <w:bookmarkEnd w:id="2571"/>
      <w:bookmarkStart w:id="2572" w:name="_Toc168401909"/>
      <w:bookmarkEnd w:id="2572"/>
      <w:bookmarkStart w:id="2573" w:name="_Toc168399839"/>
      <w:bookmarkEnd w:id="2573"/>
      <w:bookmarkStart w:id="2574" w:name="_Toc168401725"/>
      <w:bookmarkEnd w:id="2574"/>
      <w:bookmarkStart w:id="2575" w:name="_Toc168401403"/>
      <w:bookmarkEnd w:id="2575"/>
      <w:bookmarkStart w:id="2576" w:name="_Toc168400243"/>
      <w:bookmarkEnd w:id="2576"/>
      <w:bookmarkStart w:id="2577" w:name="_Toc168401010"/>
      <w:bookmarkEnd w:id="2577"/>
      <w:bookmarkStart w:id="2578" w:name="_Toc168400739"/>
      <w:bookmarkEnd w:id="2578"/>
      <w:bookmarkStart w:id="2579" w:name="_Toc168400170"/>
      <w:bookmarkEnd w:id="2579"/>
      <w:bookmarkStart w:id="2580" w:name="_Toc168400227"/>
      <w:bookmarkEnd w:id="2580"/>
      <w:bookmarkStart w:id="2581" w:name="_Toc168400791"/>
      <w:bookmarkEnd w:id="2581"/>
      <w:bookmarkStart w:id="2582" w:name="_Toc168399554"/>
      <w:bookmarkEnd w:id="2582"/>
      <w:bookmarkStart w:id="2583" w:name="_Toc168400830"/>
      <w:bookmarkEnd w:id="2583"/>
      <w:bookmarkStart w:id="2584" w:name="_Toc168401446"/>
      <w:bookmarkEnd w:id="2584"/>
      <w:bookmarkStart w:id="2585" w:name="_Toc168401538"/>
      <w:bookmarkEnd w:id="2585"/>
      <w:bookmarkStart w:id="2586" w:name="_Toc168401945"/>
      <w:bookmarkEnd w:id="2586"/>
      <w:bookmarkStart w:id="2587" w:name="_Toc168402111"/>
      <w:bookmarkEnd w:id="2587"/>
      <w:bookmarkStart w:id="2588" w:name="_Toc168401762"/>
      <w:bookmarkEnd w:id="2588"/>
      <w:bookmarkStart w:id="2589" w:name="_Toc168401773"/>
      <w:bookmarkEnd w:id="2589"/>
      <w:bookmarkStart w:id="2590" w:name="_Toc168401952"/>
      <w:bookmarkEnd w:id="2590"/>
      <w:bookmarkStart w:id="2591" w:name="_Toc168401551"/>
      <w:bookmarkEnd w:id="2591"/>
      <w:bookmarkStart w:id="2592" w:name="_Toc168401633"/>
      <w:bookmarkEnd w:id="2592"/>
      <w:bookmarkStart w:id="2593" w:name="_Toc168401991"/>
      <w:bookmarkEnd w:id="2593"/>
      <w:bookmarkStart w:id="2594" w:name="_Toc168400153"/>
      <w:bookmarkEnd w:id="2594"/>
      <w:bookmarkStart w:id="2595" w:name="_Toc168401532"/>
      <w:bookmarkEnd w:id="2595"/>
      <w:bookmarkStart w:id="2596" w:name="_Toc168401129"/>
      <w:bookmarkEnd w:id="2596"/>
      <w:bookmarkStart w:id="2597" w:name="_Toc168399931"/>
      <w:bookmarkEnd w:id="2597"/>
      <w:bookmarkStart w:id="2598" w:name="_Toc168401202"/>
      <w:bookmarkEnd w:id="2598"/>
      <w:bookmarkStart w:id="2599" w:name="_Toc168401888"/>
      <w:bookmarkEnd w:id="2599"/>
      <w:bookmarkStart w:id="2600" w:name="_Toc168399755"/>
      <w:bookmarkEnd w:id="2600"/>
      <w:bookmarkStart w:id="2601" w:name="_Toc168401209"/>
      <w:bookmarkEnd w:id="2601"/>
      <w:bookmarkStart w:id="2602" w:name="_Toc168400005"/>
      <w:bookmarkEnd w:id="2602"/>
      <w:bookmarkStart w:id="2603" w:name="_Toc168399952"/>
      <w:bookmarkEnd w:id="2603"/>
      <w:bookmarkStart w:id="2604" w:name="_Toc168400363"/>
      <w:bookmarkEnd w:id="2604"/>
      <w:bookmarkStart w:id="2605" w:name="_Toc168401259"/>
      <w:bookmarkEnd w:id="2605"/>
      <w:bookmarkStart w:id="2606" w:name="_Toc168399567"/>
      <w:bookmarkEnd w:id="2606"/>
      <w:bookmarkStart w:id="2607" w:name="_Toc168400383"/>
      <w:bookmarkEnd w:id="2607"/>
      <w:bookmarkStart w:id="2608" w:name="_Toc168402165"/>
      <w:bookmarkEnd w:id="2608"/>
      <w:bookmarkStart w:id="2609" w:name="_Toc168401934"/>
      <w:bookmarkEnd w:id="2609"/>
      <w:bookmarkStart w:id="2610" w:name="_Toc168401164"/>
      <w:bookmarkEnd w:id="2610"/>
      <w:bookmarkStart w:id="2611" w:name="_Toc168400055"/>
      <w:bookmarkEnd w:id="2611"/>
      <w:bookmarkStart w:id="2612" w:name="_Toc168400141"/>
      <w:bookmarkEnd w:id="2612"/>
      <w:bookmarkStart w:id="2613" w:name="_Toc168400588"/>
      <w:bookmarkEnd w:id="2613"/>
      <w:bookmarkStart w:id="2614" w:name="_Toc168401554"/>
      <w:bookmarkEnd w:id="2614"/>
      <w:bookmarkStart w:id="2615" w:name="_Toc168401320"/>
      <w:bookmarkEnd w:id="2615"/>
      <w:bookmarkStart w:id="2616" w:name="_Toc168399928"/>
      <w:bookmarkEnd w:id="2616"/>
      <w:bookmarkStart w:id="2617" w:name="_Toc168399680"/>
      <w:bookmarkEnd w:id="2617"/>
      <w:bookmarkStart w:id="2618" w:name="_Toc168400454"/>
      <w:bookmarkEnd w:id="2618"/>
      <w:bookmarkStart w:id="2619" w:name="_Toc168399766"/>
      <w:bookmarkEnd w:id="2619"/>
      <w:bookmarkStart w:id="2620" w:name="_Toc168400326"/>
      <w:bookmarkEnd w:id="2620"/>
      <w:bookmarkStart w:id="2621" w:name="_Toc168399536"/>
      <w:bookmarkEnd w:id="2621"/>
      <w:bookmarkStart w:id="2622" w:name="_Toc168400513"/>
      <w:bookmarkEnd w:id="2622"/>
      <w:bookmarkStart w:id="2623" w:name="_Toc168400833"/>
      <w:bookmarkEnd w:id="2623"/>
      <w:bookmarkStart w:id="2624" w:name="_Toc168400017"/>
      <w:bookmarkEnd w:id="2624"/>
      <w:bookmarkStart w:id="2625" w:name="_Toc168401300"/>
      <w:bookmarkEnd w:id="2625"/>
      <w:bookmarkStart w:id="2626" w:name="_Toc168401087"/>
      <w:bookmarkEnd w:id="2626"/>
      <w:bookmarkStart w:id="2627" w:name="_Toc168400532"/>
      <w:bookmarkEnd w:id="2627"/>
      <w:bookmarkStart w:id="2628" w:name="_Toc168402156"/>
      <w:bookmarkEnd w:id="2628"/>
      <w:bookmarkStart w:id="2629" w:name="_Toc105144718"/>
      <w:bookmarkEnd w:id="2629"/>
      <w:bookmarkStart w:id="2630" w:name="_Toc168400975"/>
      <w:bookmarkEnd w:id="2630"/>
      <w:bookmarkStart w:id="2631" w:name="_Toc168401767"/>
      <w:bookmarkEnd w:id="2631"/>
      <w:bookmarkStart w:id="2632" w:name="_Toc168400505"/>
      <w:bookmarkEnd w:id="2632"/>
      <w:bookmarkStart w:id="2633" w:name="_Toc168400345"/>
      <w:bookmarkEnd w:id="2633"/>
      <w:bookmarkStart w:id="2634" w:name="_Toc168401336"/>
      <w:bookmarkEnd w:id="2634"/>
      <w:bookmarkStart w:id="2635" w:name="_Toc168400749"/>
      <w:bookmarkEnd w:id="2635"/>
      <w:bookmarkStart w:id="2636" w:name="_Toc168399607"/>
      <w:bookmarkEnd w:id="2636"/>
      <w:bookmarkStart w:id="2637" w:name="_Toc168402173"/>
      <w:bookmarkEnd w:id="2637"/>
      <w:bookmarkStart w:id="2638" w:name="_Toc168401967"/>
      <w:bookmarkEnd w:id="2638"/>
      <w:bookmarkStart w:id="2639" w:name="_Toc168401178"/>
      <w:bookmarkEnd w:id="2639"/>
      <w:bookmarkStart w:id="2640" w:name="_Toc168399761"/>
      <w:bookmarkEnd w:id="2640"/>
      <w:bookmarkStart w:id="2641" w:name="_Toc168399846"/>
      <w:bookmarkEnd w:id="2641"/>
      <w:bookmarkStart w:id="2642" w:name="_Toc168401013"/>
      <w:bookmarkEnd w:id="2642"/>
      <w:bookmarkStart w:id="2643" w:name="_Toc168400483"/>
      <w:bookmarkEnd w:id="2643"/>
      <w:bookmarkStart w:id="2644" w:name="_Toc168401732"/>
      <w:bookmarkEnd w:id="2644"/>
      <w:bookmarkStart w:id="2645" w:name="_Toc168399703"/>
      <w:bookmarkEnd w:id="2645"/>
      <w:bookmarkStart w:id="2646" w:name="_Toc168399559"/>
      <w:bookmarkEnd w:id="2646"/>
      <w:bookmarkStart w:id="2647" w:name="_Toc168401318"/>
      <w:bookmarkEnd w:id="2647"/>
      <w:bookmarkStart w:id="2648" w:name="_Toc168402218"/>
      <w:bookmarkEnd w:id="2648"/>
      <w:bookmarkStart w:id="2649" w:name="_Toc168400394"/>
      <w:bookmarkEnd w:id="2649"/>
      <w:bookmarkStart w:id="2650" w:name="_Toc168402217"/>
      <w:bookmarkEnd w:id="2650"/>
      <w:bookmarkStart w:id="2651" w:name="_Toc168400315"/>
      <w:bookmarkEnd w:id="2651"/>
      <w:bookmarkStart w:id="2652" w:name="_Toc168400435"/>
      <w:bookmarkEnd w:id="2652"/>
      <w:bookmarkStart w:id="2653" w:name="_Toc168399760"/>
      <w:bookmarkEnd w:id="2653"/>
      <w:bookmarkStart w:id="2654" w:name="_Toc168400319"/>
      <w:bookmarkEnd w:id="2654"/>
      <w:bookmarkStart w:id="2655" w:name="_Toc168399858"/>
      <w:bookmarkEnd w:id="2655"/>
      <w:bookmarkStart w:id="2656" w:name="_Toc168400310"/>
      <w:bookmarkEnd w:id="2656"/>
      <w:bookmarkStart w:id="2657" w:name="_Toc168399587"/>
      <w:bookmarkEnd w:id="2657"/>
      <w:bookmarkStart w:id="2658" w:name="_Toc168401641"/>
      <w:bookmarkEnd w:id="2658"/>
      <w:bookmarkStart w:id="2659" w:name="_Toc168400163"/>
      <w:bookmarkEnd w:id="2659"/>
      <w:bookmarkStart w:id="2660" w:name="_Toc168399696"/>
      <w:bookmarkEnd w:id="2660"/>
      <w:bookmarkStart w:id="2661" w:name="_Toc168399561"/>
      <w:bookmarkEnd w:id="2661"/>
      <w:bookmarkStart w:id="2662" w:name="_Toc168400681"/>
      <w:bookmarkEnd w:id="2662"/>
      <w:bookmarkStart w:id="2663" w:name="_Toc168401662"/>
      <w:bookmarkEnd w:id="2663"/>
      <w:bookmarkStart w:id="2664" w:name="_Toc168400490"/>
      <w:bookmarkEnd w:id="2664"/>
      <w:bookmarkStart w:id="2665" w:name="_Toc168402151"/>
      <w:bookmarkEnd w:id="2665"/>
      <w:bookmarkStart w:id="2666" w:name="_Toc168399717"/>
      <w:bookmarkEnd w:id="2666"/>
      <w:bookmarkStart w:id="2667" w:name="_Toc168399801"/>
      <w:bookmarkEnd w:id="2667"/>
      <w:bookmarkStart w:id="2668" w:name="_Toc168400427"/>
      <w:bookmarkEnd w:id="2668"/>
      <w:bookmarkStart w:id="2669" w:name="_Toc168400415"/>
      <w:bookmarkEnd w:id="2669"/>
      <w:bookmarkStart w:id="2670" w:name="_Toc168399747"/>
      <w:bookmarkEnd w:id="2670"/>
      <w:bookmarkStart w:id="2671" w:name="_Toc168400641"/>
      <w:bookmarkEnd w:id="2671"/>
      <w:bookmarkStart w:id="2672" w:name="_Toc168401061"/>
      <w:bookmarkEnd w:id="2672"/>
      <w:bookmarkStart w:id="2673" w:name="_Toc168402231"/>
      <w:bookmarkEnd w:id="2673"/>
      <w:bookmarkStart w:id="2674" w:name="_Toc168399962"/>
      <w:bookmarkEnd w:id="2674"/>
      <w:bookmarkStart w:id="2675" w:name="_Toc168399574"/>
      <w:bookmarkEnd w:id="2675"/>
      <w:bookmarkStart w:id="2676" w:name="_Toc168402000"/>
      <w:bookmarkEnd w:id="2676"/>
      <w:bookmarkStart w:id="2677" w:name="_Toc168401052"/>
      <w:bookmarkEnd w:id="2677"/>
      <w:bookmarkStart w:id="2678" w:name="_Toc168399741"/>
      <w:bookmarkEnd w:id="2678"/>
      <w:bookmarkStart w:id="2679" w:name="_Toc168400304"/>
      <w:bookmarkEnd w:id="2679"/>
      <w:bookmarkStart w:id="2680" w:name="_Toc168399832"/>
      <w:bookmarkEnd w:id="2680"/>
      <w:bookmarkStart w:id="2681" w:name="_Toc168399641"/>
      <w:bookmarkEnd w:id="2681"/>
      <w:bookmarkStart w:id="2682" w:name="_Toc168400321"/>
      <w:bookmarkEnd w:id="2682"/>
      <w:bookmarkStart w:id="2683" w:name="_Toc168400871"/>
      <w:bookmarkEnd w:id="2683"/>
      <w:bookmarkStart w:id="2684" w:name="_Toc168400145"/>
      <w:bookmarkEnd w:id="2684"/>
      <w:bookmarkStart w:id="2685" w:name="_Toc168402125"/>
      <w:bookmarkEnd w:id="2685"/>
      <w:bookmarkStart w:id="2686" w:name="_Toc168399655"/>
      <w:bookmarkEnd w:id="2686"/>
      <w:bookmarkStart w:id="2687" w:name="_Toc168399823"/>
      <w:bookmarkEnd w:id="2687"/>
      <w:bookmarkStart w:id="2688" w:name="_Toc168400369"/>
      <w:bookmarkEnd w:id="2688"/>
      <w:bookmarkStart w:id="2689" w:name="_Toc168401206"/>
      <w:bookmarkEnd w:id="2689"/>
      <w:bookmarkStart w:id="2690" w:name="_Toc168401288"/>
      <w:bookmarkEnd w:id="2690"/>
      <w:bookmarkStart w:id="2691" w:name="_Toc168400485"/>
      <w:bookmarkEnd w:id="2691"/>
      <w:bookmarkStart w:id="2692" w:name="_Toc168401984"/>
      <w:bookmarkEnd w:id="2692"/>
      <w:bookmarkStart w:id="2693" w:name="_Toc168402143"/>
      <w:bookmarkEnd w:id="2693"/>
      <w:bookmarkStart w:id="2694" w:name="_Toc168400187"/>
      <w:bookmarkEnd w:id="2694"/>
      <w:bookmarkStart w:id="2695" w:name="_Toc168400040"/>
      <w:bookmarkEnd w:id="2695"/>
      <w:bookmarkStart w:id="2696" w:name="_Toc168401864"/>
      <w:bookmarkEnd w:id="2696"/>
      <w:bookmarkStart w:id="2697" w:name="_Toc168400974"/>
      <w:bookmarkEnd w:id="2697"/>
      <w:bookmarkStart w:id="2698" w:name="_Toc168399782"/>
      <w:bookmarkEnd w:id="2698"/>
      <w:bookmarkStart w:id="2699" w:name="_Toc168400073"/>
      <w:bookmarkEnd w:id="2699"/>
      <w:bookmarkStart w:id="2700" w:name="_Toc168401524"/>
      <w:bookmarkEnd w:id="2700"/>
      <w:bookmarkStart w:id="2701" w:name="_Toc168401014"/>
      <w:bookmarkEnd w:id="2701"/>
      <w:bookmarkStart w:id="2702" w:name="_Toc168400526"/>
      <w:bookmarkEnd w:id="2702"/>
      <w:bookmarkStart w:id="2703" w:name="_Toc168401961"/>
      <w:bookmarkEnd w:id="2703"/>
      <w:bookmarkStart w:id="2704" w:name="_Toc168402057"/>
      <w:bookmarkEnd w:id="2704"/>
      <w:bookmarkStart w:id="2705" w:name="_Toc168400619"/>
      <w:bookmarkEnd w:id="2705"/>
      <w:bookmarkStart w:id="2706" w:name="_Toc168400285"/>
      <w:bookmarkEnd w:id="2706"/>
      <w:bookmarkStart w:id="2707" w:name="_Toc168399661"/>
      <w:bookmarkEnd w:id="2707"/>
      <w:bookmarkStart w:id="2708" w:name="_Toc168399523"/>
      <w:bookmarkEnd w:id="2708"/>
      <w:bookmarkStart w:id="2709" w:name="_Toc168399684"/>
      <w:bookmarkEnd w:id="2709"/>
      <w:bookmarkStart w:id="2710" w:name="_Toc168401543"/>
      <w:bookmarkEnd w:id="2710"/>
      <w:bookmarkStart w:id="2711" w:name="_Toc168399618"/>
      <w:bookmarkEnd w:id="2711"/>
      <w:bookmarkStart w:id="2712" w:name="_Toc168400301"/>
      <w:bookmarkEnd w:id="2712"/>
      <w:bookmarkStart w:id="2713" w:name="_Toc168400469"/>
      <w:bookmarkEnd w:id="2713"/>
      <w:bookmarkStart w:id="2714" w:name="_Toc168400571"/>
      <w:bookmarkEnd w:id="2714"/>
      <w:bookmarkStart w:id="2715" w:name="_Toc168400462"/>
      <w:bookmarkEnd w:id="2715"/>
      <w:bookmarkStart w:id="2716" w:name="_Toc168400397"/>
      <w:bookmarkEnd w:id="2716"/>
      <w:bookmarkStart w:id="2717" w:name="_Toc168400985"/>
      <w:bookmarkEnd w:id="2717"/>
      <w:bookmarkStart w:id="2718" w:name="_Toc168400515"/>
      <w:bookmarkEnd w:id="2718"/>
      <w:bookmarkStart w:id="2719" w:name="_Toc168401067"/>
      <w:bookmarkEnd w:id="2719"/>
      <w:bookmarkStart w:id="2720" w:name="_Toc168401578"/>
      <w:bookmarkEnd w:id="2720"/>
      <w:bookmarkStart w:id="2721" w:name="_Toc168400393"/>
      <w:bookmarkEnd w:id="2721"/>
      <w:bookmarkStart w:id="2722" w:name="_Toc168400205"/>
      <w:bookmarkEnd w:id="2722"/>
      <w:bookmarkStart w:id="2723" w:name="_Toc168401056"/>
      <w:bookmarkEnd w:id="2723"/>
      <w:bookmarkStart w:id="2724" w:name="_Toc168401522"/>
      <w:bookmarkEnd w:id="2724"/>
      <w:bookmarkStart w:id="2725" w:name="_Toc168401807"/>
      <w:bookmarkEnd w:id="2725"/>
      <w:bookmarkStart w:id="2726" w:name="_Toc168399575"/>
      <w:bookmarkEnd w:id="2726"/>
      <w:bookmarkStart w:id="2727" w:name="_Toc168400894"/>
      <w:bookmarkEnd w:id="2727"/>
      <w:bookmarkStart w:id="2728" w:name="_Toc168400650"/>
      <w:bookmarkEnd w:id="2728"/>
      <w:bookmarkStart w:id="2729" w:name="_Toc168399848"/>
      <w:bookmarkEnd w:id="2729"/>
      <w:bookmarkStart w:id="2730" w:name="_Toc168400446"/>
      <w:bookmarkEnd w:id="2730"/>
      <w:bookmarkStart w:id="2731" w:name="_Toc168400590"/>
      <w:bookmarkEnd w:id="2731"/>
      <w:bookmarkStart w:id="2732" w:name="_Toc168401090"/>
      <w:bookmarkEnd w:id="2732"/>
      <w:bookmarkStart w:id="2733" w:name="_Toc168402095"/>
      <w:bookmarkEnd w:id="2733"/>
      <w:bookmarkStart w:id="2734" w:name="_Toc168400510"/>
      <w:bookmarkEnd w:id="2734"/>
      <w:bookmarkStart w:id="2735" w:name="_Toc168400359"/>
      <w:bookmarkEnd w:id="2735"/>
      <w:bookmarkStart w:id="2736" w:name="_Toc168401818"/>
      <w:bookmarkEnd w:id="2736"/>
      <w:bookmarkStart w:id="2737" w:name="_Toc168401651"/>
      <w:bookmarkEnd w:id="2737"/>
      <w:bookmarkStart w:id="2738" w:name="_Toc168399702"/>
      <w:bookmarkEnd w:id="2738"/>
      <w:bookmarkStart w:id="2739" w:name="_Toc168400541"/>
      <w:bookmarkEnd w:id="2739"/>
      <w:bookmarkStart w:id="2740" w:name="_Toc168401635"/>
      <w:bookmarkEnd w:id="2740"/>
      <w:bookmarkStart w:id="2741" w:name="_Toc168401011"/>
      <w:bookmarkEnd w:id="2741"/>
      <w:bookmarkStart w:id="2742" w:name="_Toc168401601"/>
      <w:bookmarkEnd w:id="2742"/>
      <w:bookmarkStart w:id="2743" w:name="_Toc168399838"/>
      <w:bookmarkEnd w:id="2743"/>
      <w:bookmarkStart w:id="2744" w:name="_Toc168399818"/>
      <w:bookmarkEnd w:id="2744"/>
      <w:bookmarkStart w:id="2745" w:name="_Toc168401268"/>
      <w:bookmarkEnd w:id="2745"/>
      <w:bookmarkStart w:id="2746" w:name="_Toc168399985"/>
      <w:bookmarkEnd w:id="2746"/>
      <w:bookmarkStart w:id="2747" w:name="_Toc168400221"/>
      <w:bookmarkEnd w:id="2747"/>
      <w:bookmarkStart w:id="2748" w:name="_Toc168399868"/>
      <w:bookmarkEnd w:id="2748"/>
      <w:bookmarkStart w:id="2749" w:name="_Toc168400440"/>
      <w:bookmarkEnd w:id="2749"/>
      <w:bookmarkStart w:id="2750" w:name="_Toc168399541"/>
      <w:bookmarkEnd w:id="2750"/>
      <w:bookmarkStart w:id="2751" w:name="_Toc168401997"/>
      <w:bookmarkEnd w:id="2751"/>
      <w:bookmarkStart w:id="2752" w:name="_Toc168399845"/>
      <w:bookmarkEnd w:id="2752"/>
      <w:bookmarkStart w:id="2753" w:name="_Toc168399787"/>
      <w:bookmarkEnd w:id="2753"/>
      <w:bookmarkStart w:id="2754" w:name="_Toc168400527"/>
      <w:bookmarkEnd w:id="2754"/>
      <w:bookmarkStart w:id="2755" w:name="_Toc168401921"/>
      <w:bookmarkEnd w:id="2755"/>
      <w:bookmarkStart w:id="2756" w:name="_Toc168402055"/>
      <w:bookmarkEnd w:id="2756"/>
      <w:bookmarkStart w:id="2757" w:name="_Toc168401171"/>
      <w:bookmarkEnd w:id="2757"/>
      <w:bookmarkStart w:id="2758" w:name="_Toc168402242"/>
      <w:bookmarkEnd w:id="2758"/>
      <w:bookmarkStart w:id="2759" w:name="_Toc168400312"/>
      <w:bookmarkEnd w:id="2759"/>
      <w:bookmarkStart w:id="2760" w:name="_Toc168402062"/>
      <w:bookmarkEnd w:id="2760"/>
      <w:bookmarkStart w:id="2761" w:name="_Toc168400860"/>
      <w:bookmarkEnd w:id="2761"/>
      <w:bookmarkStart w:id="2762" w:name="_Toc168401526"/>
      <w:bookmarkEnd w:id="2762"/>
      <w:bookmarkStart w:id="2763" w:name="_Toc168401184"/>
      <w:bookmarkEnd w:id="2763"/>
      <w:bookmarkStart w:id="2764" w:name="_Toc168400872"/>
      <w:bookmarkEnd w:id="2764"/>
      <w:bookmarkStart w:id="2765" w:name="_Toc168401709"/>
      <w:bookmarkEnd w:id="2765"/>
      <w:bookmarkStart w:id="2766" w:name="_Toc168400862"/>
      <w:bookmarkEnd w:id="2766"/>
      <w:bookmarkStart w:id="2767" w:name="_Toc168401123"/>
      <w:bookmarkEnd w:id="2767"/>
      <w:bookmarkStart w:id="2768" w:name="_Toc168401075"/>
      <w:bookmarkEnd w:id="2768"/>
      <w:bookmarkStart w:id="2769" w:name="_Toc168401583"/>
      <w:bookmarkEnd w:id="2769"/>
      <w:bookmarkStart w:id="2770" w:name="_Toc168400067"/>
      <w:bookmarkEnd w:id="2770"/>
      <w:bookmarkStart w:id="2771" w:name="_Toc168402048"/>
      <w:bookmarkEnd w:id="2771"/>
      <w:bookmarkStart w:id="2772" w:name="_Toc168401155"/>
      <w:bookmarkEnd w:id="2772"/>
      <w:bookmarkStart w:id="2773" w:name="_Toc168399935"/>
      <w:bookmarkEnd w:id="2773"/>
      <w:bookmarkStart w:id="2774" w:name="_Toc168400679"/>
      <w:bookmarkEnd w:id="2774"/>
      <w:bookmarkStart w:id="2775" w:name="_Toc168400277"/>
      <w:bookmarkEnd w:id="2775"/>
      <w:bookmarkStart w:id="2776" w:name="_Toc168400964"/>
      <w:bookmarkEnd w:id="2776"/>
      <w:bookmarkStart w:id="2777" w:name="_Toc168401699"/>
      <w:bookmarkEnd w:id="2777"/>
      <w:bookmarkStart w:id="2778" w:name="_Toc168399568"/>
      <w:bookmarkEnd w:id="2778"/>
      <w:bookmarkStart w:id="2779" w:name="_Toc168401158"/>
      <w:bookmarkEnd w:id="2779"/>
      <w:bookmarkStart w:id="2780" w:name="_Toc168402181"/>
      <w:bookmarkEnd w:id="2780"/>
      <w:bookmarkStart w:id="2781" w:name="_Toc168400192"/>
      <w:bookmarkEnd w:id="2781"/>
      <w:bookmarkStart w:id="2782" w:name="_Toc168399720"/>
      <w:bookmarkEnd w:id="2782"/>
      <w:bookmarkStart w:id="2783" w:name="_Toc168399571"/>
      <w:bookmarkEnd w:id="2783"/>
      <w:bookmarkStart w:id="2784" w:name="_Toc168401788"/>
      <w:bookmarkEnd w:id="2784"/>
      <w:bookmarkStart w:id="2785" w:name="_Toc168400804"/>
      <w:bookmarkEnd w:id="2785"/>
      <w:bookmarkStart w:id="2786" w:name="_Toc168401205"/>
      <w:bookmarkEnd w:id="2786"/>
      <w:bookmarkStart w:id="2787" w:name="_Toc168399566"/>
      <w:bookmarkEnd w:id="2787"/>
      <w:bookmarkStart w:id="2788" w:name="_Toc168399740"/>
      <w:bookmarkEnd w:id="2788"/>
      <w:bookmarkStart w:id="2789" w:name="_Toc168400661"/>
      <w:bookmarkEnd w:id="2789"/>
      <w:bookmarkStart w:id="2790" w:name="_Toc168401615"/>
      <w:bookmarkEnd w:id="2790"/>
      <w:bookmarkStart w:id="2791" w:name="_Toc168401383"/>
      <w:bookmarkEnd w:id="2791"/>
      <w:bookmarkStart w:id="2792" w:name="_Toc168400929"/>
      <w:bookmarkEnd w:id="2792"/>
      <w:bookmarkStart w:id="2793" w:name="_Toc168400656"/>
      <w:bookmarkEnd w:id="2793"/>
      <w:bookmarkStart w:id="2794" w:name="_Toc168400758"/>
      <w:bookmarkEnd w:id="2794"/>
      <w:bookmarkStart w:id="2795" w:name="_Toc168399725"/>
      <w:bookmarkEnd w:id="2795"/>
      <w:bookmarkStart w:id="2796" w:name="_Toc168400841"/>
      <w:bookmarkEnd w:id="2796"/>
      <w:bookmarkStart w:id="2797" w:name="_Toc168400595"/>
      <w:bookmarkEnd w:id="2797"/>
      <w:bookmarkStart w:id="2798" w:name="_Toc168401329"/>
      <w:bookmarkEnd w:id="2798"/>
      <w:bookmarkStart w:id="2799" w:name="_Toc168401847"/>
      <w:bookmarkEnd w:id="2799"/>
      <w:bookmarkStart w:id="2800" w:name="_Toc168400690"/>
      <w:bookmarkEnd w:id="2800"/>
      <w:bookmarkStart w:id="2801" w:name="_Toc168400768"/>
      <w:bookmarkEnd w:id="2801"/>
      <w:bookmarkStart w:id="2802" w:name="_Toc168401405"/>
      <w:bookmarkEnd w:id="2802"/>
      <w:bookmarkStart w:id="2803" w:name="_Toc168402227"/>
      <w:bookmarkEnd w:id="2803"/>
      <w:bookmarkStart w:id="2804" w:name="_Toc168401979"/>
      <w:bookmarkEnd w:id="2804"/>
      <w:bookmarkStart w:id="2805" w:name="_Toc168401115"/>
      <w:bookmarkEnd w:id="2805"/>
      <w:bookmarkStart w:id="2806" w:name="_Toc168401622"/>
      <w:bookmarkEnd w:id="2806"/>
      <w:bookmarkStart w:id="2807" w:name="_Toc168401717"/>
      <w:bookmarkEnd w:id="2807"/>
      <w:bookmarkStart w:id="2808" w:name="_Toc168402200"/>
      <w:bookmarkEnd w:id="2808"/>
      <w:bookmarkStart w:id="2809" w:name="_Toc168400671"/>
      <w:bookmarkEnd w:id="2809"/>
      <w:bookmarkStart w:id="2810" w:name="_Toc168402136"/>
      <w:bookmarkEnd w:id="2810"/>
      <w:bookmarkStart w:id="2811" w:name="_Toc168401914"/>
      <w:bookmarkEnd w:id="2811"/>
      <w:bookmarkStart w:id="2812" w:name="_Toc168401372"/>
      <w:bookmarkEnd w:id="2812"/>
      <w:bookmarkStart w:id="2813" w:name="_Toc168401626"/>
      <w:bookmarkEnd w:id="2813"/>
      <w:bookmarkStart w:id="2814" w:name="_Toc105144584"/>
      <w:bookmarkEnd w:id="2814"/>
      <w:bookmarkStart w:id="2815" w:name="_Toc168401414"/>
      <w:bookmarkEnd w:id="2815"/>
      <w:bookmarkStart w:id="2816" w:name="_Toc168400908"/>
      <w:bookmarkEnd w:id="2816"/>
      <w:bookmarkStart w:id="2817" w:name="_Toc168399706"/>
      <w:bookmarkEnd w:id="2817"/>
      <w:bookmarkStart w:id="2818" w:name="_Toc168401694"/>
      <w:bookmarkEnd w:id="2818"/>
      <w:bookmarkStart w:id="2819" w:name="_Toc168400784"/>
      <w:bookmarkEnd w:id="2819"/>
      <w:bookmarkStart w:id="2820" w:name="_Toc168401928"/>
      <w:bookmarkEnd w:id="2820"/>
      <w:bookmarkStart w:id="2821" w:name="_Toc168400617"/>
      <w:bookmarkEnd w:id="2821"/>
      <w:bookmarkStart w:id="2822" w:name="_Toc168400778"/>
      <w:bookmarkEnd w:id="2822"/>
      <w:bookmarkStart w:id="2823" w:name="_Toc168402026"/>
      <w:bookmarkEnd w:id="2823"/>
      <w:bookmarkStart w:id="2824" w:name="_Toc168399648"/>
      <w:bookmarkEnd w:id="2824"/>
      <w:bookmarkStart w:id="2825" w:name="_Toc168401162"/>
      <w:bookmarkEnd w:id="2825"/>
      <w:bookmarkStart w:id="2826" w:name="_Toc168400653"/>
      <w:bookmarkEnd w:id="2826"/>
      <w:bookmarkStart w:id="2827" w:name="_Toc168400028"/>
      <w:bookmarkEnd w:id="2827"/>
      <w:bookmarkStart w:id="2828" w:name="_Toc168400848"/>
      <w:bookmarkEnd w:id="2828"/>
      <w:bookmarkStart w:id="2829" w:name="_Toc168400980"/>
      <w:bookmarkEnd w:id="2829"/>
      <w:bookmarkStart w:id="2830" w:name="_Toc168401925"/>
      <w:bookmarkEnd w:id="2830"/>
      <w:bookmarkStart w:id="2831" w:name="_Toc168400842"/>
      <w:bookmarkEnd w:id="2831"/>
      <w:bookmarkStart w:id="2832" w:name="_Toc168399630"/>
      <w:bookmarkEnd w:id="2832"/>
      <w:bookmarkStart w:id="2833" w:name="_Toc168401344"/>
      <w:bookmarkEnd w:id="2833"/>
      <w:bookmarkStart w:id="2834" w:name="_Toc168400371"/>
      <w:bookmarkEnd w:id="2834"/>
      <w:bookmarkStart w:id="2835" w:name="_Toc168402079"/>
      <w:bookmarkEnd w:id="2835"/>
      <w:bookmarkStart w:id="2836" w:name="_Toc168401696"/>
      <w:bookmarkEnd w:id="2836"/>
      <w:bookmarkStart w:id="2837" w:name="_Toc168402183"/>
      <w:bookmarkEnd w:id="2837"/>
      <w:bookmarkStart w:id="2838" w:name="_Toc168401065"/>
      <w:bookmarkEnd w:id="2838"/>
      <w:bookmarkStart w:id="2839" w:name="_Toc168400241"/>
      <w:bookmarkEnd w:id="2839"/>
      <w:bookmarkStart w:id="2840" w:name="_Toc168400854"/>
      <w:bookmarkEnd w:id="2840"/>
      <w:bookmarkStart w:id="2841" w:name="_Toc168400767"/>
      <w:bookmarkEnd w:id="2841"/>
      <w:bookmarkStart w:id="2842" w:name="_Toc168401645"/>
      <w:bookmarkEnd w:id="2842"/>
      <w:bookmarkStart w:id="2843" w:name="_Toc168399530"/>
      <w:bookmarkEnd w:id="2843"/>
      <w:bookmarkStart w:id="2844" w:name="_Toc168402041"/>
      <w:bookmarkEnd w:id="2844"/>
      <w:bookmarkStart w:id="2845" w:name="_Toc168402027"/>
      <w:bookmarkEnd w:id="2845"/>
      <w:bookmarkStart w:id="2846" w:name="_Toc168401804"/>
      <w:bookmarkEnd w:id="2846"/>
      <w:bookmarkStart w:id="2847" w:name="_Toc168400662"/>
      <w:bookmarkEnd w:id="2847"/>
      <w:bookmarkStart w:id="2848" w:name="_Toc168400615"/>
      <w:bookmarkEnd w:id="2848"/>
      <w:bookmarkStart w:id="2849" w:name="_Toc168401638"/>
      <w:bookmarkEnd w:id="2849"/>
      <w:bookmarkStart w:id="2850" w:name="_Toc168399692"/>
      <w:bookmarkEnd w:id="2850"/>
      <w:bookmarkStart w:id="2851" w:name="_Toc168401173"/>
      <w:bookmarkEnd w:id="2851"/>
      <w:bookmarkStart w:id="2852" w:name="_Toc168399586"/>
      <w:bookmarkEnd w:id="2852"/>
      <w:bookmarkStart w:id="2853" w:name="_Toc168401963"/>
      <w:bookmarkEnd w:id="2853"/>
      <w:bookmarkStart w:id="2854" w:name="_Toc168401955"/>
      <w:bookmarkEnd w:id="2854"/>
      <w:bookmarkStart w:id="2855" w:name="_Toc168401085"/>
      <w:bookmarkEnd w:id="2855"/>
      <w:bookmarkStart w:id="2856" w:name="_Toc106808050"/>
      <w:bookmarkEnd w:id="2856"/>
      <w:bookmarkStart w:id="2857" w:name="_Toc168401172"/>
      <w:bookmarkEnd w:id="2857"/>
      <w:bookmarkStart w:id="2858" w:name="_Toc168401294"/>
      <w:bookmarkEnd w:id="2858"/>
      <w:bookmarkStart w:id="2859" w:name="_Toc168400113"/>
      <w:bookmarkEnd w:id="2859"/>
      <w:bookmarkStart w:id="2860" w:name="_Toc168400740"/>
      <w:bookmarkEnd w:id="2860"/>
      <w:bookmarkStart w:id="2861" w:name="_Toc168400853"/>
      <w:bookmarkEnd w:id="2861"/>
      <w:bookmarkStart w:id="2862" w:name="_Toc168400941"/>
      <w:bookmarkEnd w:id="2862"/>
      <w:bookmarkStart w:id="2863" w:name="_Toc168400950"/>
      <w:bookmarkEnd w:id="2863"/>
      <w:bookmarkStart w:id="2864" w:name="_Toc168401180"/>
      <w:bookmarkEnd w:id="2864"/>
      <w:bookmarkStart w:id="2865" w:name="_Toc168402196"/>
      <w:bookmarkEnd w:id="2865"/>
      <w:bookmarkStart w:id="2866" w:name="_Toc168399855"/>
      <w:bookmarkEnd w:id="2866"/>
      <w:bookmarkStart w:id="2867" w:name="_Toc168401204"/>
      <w:bookmarkEnd w:id="2867"/>
      <w:bookmarkStart w:id="2868" w:name="_Toc168399739"/>
      <w:bookmarkEnd w:id="2868"/>
      <w:bookmarkStart w:id="2869" w:name="_Toc168401514"/>
      <w:bookmarkEnd w:id="2869"/>
      <w:bookmarkStart w:id="2870" w:name="_Toc168399732"/>
      <w:bookmarkEnd w:id="2870"/>
      <w:bookmarkStart w:id="2871" w:name="_Toc168400112"/>
      <w:bookmarkEnd w:id="2871"/>
      <w:bookmarkStart w:id="2872" w:name="_Toc168401765"/>
      <w:bookmarkEnd w:id="2872"/>
      <w:bookmarkStart w:id="2873" w:name="_Toc168400905"/>
      <w:bookmarkEnd w:id="2873"/>
      <w:bookmarkStart w:id="2874" w:name="_Toc168401637"/>
      <w:bookmarkEnd w:id="2874"/>
      <w:bookmarkStart w:id="2875" w:name="_Toc168400477"/>
      <w:bookmarkEnd w:id="2875"/>
      <w:bookmarkStart w:id="2876" w:name="_Toc168401122"/>
      <w:bookmarkEnd w:id="2876"/>
      <w:bookmarkStart w:id="2877" w:name="_Toc168401900"/>
      <w:bookmarkEnd w:id="2877"/>
      <w:bookmarkStart w:id="2878" w:name="_Toc168399514"/>
      <w:bookmarkEnd w:id="2878"/>
      <w:bookmarkStart w:id="2879" w:name="_Toc168401392"/>
      <w:bookmarkEnd w:id="2879"/>
      <w:bookmarkStart w:id="2880" w:name="_Toc168400061"/>
      <w:bookmarkEnd w:id="2880"/>
      <w:bookmarkStart w:id="2881" w:name="_Toc168402094"/>
      <w:bookmarkEnd w:id="2881"/>
      <w:bookmarkStart w:id="2882" w:name="_Toc168401022"/>
      <w:bookmarkEnd w:id="2882"/>
      <w:bookmarkStart w:id="2883" w:name="_Toc168401670"/>
      <w:bookmarkEnd w:id="2883"/>
      <w:bookmarkStart w:id="2884" w:name="_Toc168399743"/>
      <w:bookmarkEnd w:id="2884"/>
      <w:bookmarkStart w:id="2885" w:name="_Toc168402148"/>
      <w:bookmarkEnd w:id="2885"/>
      <w:bookmarkStart w:id="2886" w:name="_Toc168400967"/>
      <w:bookmarkEnd w:id="2886"/>
      <w:bookmarkStart w:id="2887" w:name="_Toc168400362"/>
      <w:bookmarkEnd w:id="2887"/>
      <w:bookmarkStart w:id="2888" w:name="_Toc168400220"/>
      <w:bookmarkEnd w:id="2888"/>
      <w:bookmarkStart w:id="2889" w:name="_Toc168401175"/>
      <w:bookmarkEnd w:id="2889"/>
      <w:bookmarkStart w:id="2890" w:name="_Toc168400006"/>
      <w:bookmarkEnd w:id="2890"/>
      <w:bookmarkStart w:id="2891" w:name="_Toc168401742"/>
      <w:bookmarkEnd w:id="2891"/>
      <w:bookmarkStart w:id="2892" w:name="_Toc168402103"/>
      <w:bookmarkEnd w:id="2892"/>
      <w:bookmarkStart w:id="2893" w:name="_Toc168400306"/>
      <w:bookmarkEnd w:id="2893"/>
      <w:bookmarkStart w:id="2894" w:name="_Toc168401108"/>
      <w:bookmarkEnd w:id="2894"/>
      <w:bookmarkStart w:id="2895" w:name="_Toc168399835"/>
      <w:bookmarkEnd w:id="2895"/>
      <w:bookmarkStart w:id="2896" w:name="_Toc168401131"/>
      <w:bookmarkEnd w:id="2896"/>
      <w:bookmarkStart w:id="2897" w:name="_Toc168401744"/>
      <w:bookmarkEnd w:id="2897"/>
      <w:bookmarkStart w:id="2898" w:name="_Toc168399678"/>
      <w:bookmarkEnd w:id="2898"/>
      <w:bookmarkStart w:id="2899" w:name="_Toc168402082"/>
      <w:bookmarkEnd w:id="2899"/>
      <w:bookmarkStart w:id="2900" w:name="_Toc168399884"/>
      <w:bookmarkEnd w:id="2900"/>
      <w:bookmarkStart w:id="2901" w:name="_Toc168399615"/>
      <w:bookmarkEnd w:id="2901"/>
      <w:bookmarkStart w:id="2902" w:name="_Toc168401541"/>
      <w:bookmarkEnd w:id="2902"/>
      <w:bookmarkStart w:id="2903" w:name="_Toc168400534"/>
      <w:bookmarkEnd w:id="2903"/>
      <w:bookmarkStart w:id="2904" w:name="_Toc168400808"/>
      <w:bookmarkEnd w:id="2904"/>
      <w:bookmarkStart w:id="2905" w:name="_Toc168400666"/>
      <w:bookmarkEnd w:id="2905"/>
      <w:bookmarkStart w:id="2906" w:name="_Toc168399724"/>
      <w:bookmarkEnd w:id="2906"/>
      <w:bookmarkStart w:id="2907" w:name="_Toc168401666"/>
      <w:bookmarkEnd w:id="2907"/>
      <w:bookmarkStart w:id="2908" w:name="_Toc168401143"/>
      <w:bookmarkEnd w:id="2908"/>
      <w:bookmarkStart w:id="2909" w:name="_Toc168402033"/>
      <w:bookmarkEnd w:id="2909"/>
      <w:bookmarkStart w:id="2910" w:name="_Toc168402013"/>
      <w:bookmarkEnd w:id="2910"/>
      <w:bookmarkStart w:id="2911" w:name="_Toc168401447"/>
      <w:bookmarkEnd w:id="2911"/>
      <w:bookmarkStart w:id="2912" w:name="_Toc168401764"/>
      <w:bookmarkEnd w:id="2912"/>
      <w:bookmarkStart w:id="2913" w:name="_Toc168399632"/>
      <w:bookmarkEnd w:id="2913"/>
      <w:bookmarkStart w:id="2914" w:name="_Toc168400979"/>
      <w:bookmarkEnd w:id="2914"/>
      <w:bookmarkStart w:id="2915" w:name="_Toc168400355"/>
      <w:bookmarkEnd w:id="2915"/>
      <w:bookmarkStart w:id="2916" w:name="_Toc168401531"/>
      <w:bookmarkEnd w:id="2916"/>
      <w:bookmarkStart w:id="2917" w:name="_Toc168400063"/>
      <w:bookmarkEnd w:id="2917"/>
      <w:bookmarkStart w:id="2918" w:name="_Toc168401793"/>
      <w:bookmarkEnd w:id="2918"/>
      <w:bookmarkStart w:id="2919" w:name="_Toc168401816"/>
      <w:bookmarkEnd w:id="2919"/>
      <w:bookmarkStart w:id="2920" w:name="_Toc168401101"/>
      <w:bookmarkEnd w:id="2920"/>
      <w:bookmarkStart w:id="2921" w:name="_Toc168399611"/>
      <w:bookmarkEnd w:id="2921"/>
      <w:bookmarkStart w:id="2922" w:name="_Toc168399896"/>
      <w:bookmarkEnd w:id="2922"/>
      <w:bookmarkStart w:id="2923" w:name="_Toc168399531"/>
      <w:bookmarkEnd w:id="2923"/>
      <w:bookmarkStart w:id="2924" w:name="_Toc168402081"/>
      <w:bookmarkEnd w:id="2924"/>
      <w:bookmarkStart w:id="2925" w:name="_Toc168401357"/>
      <w:bookmarkEnd w:id="2925"/>
      <w:bookmarkStart w:id="2926" w:name="_Toc168399687"/>
      <w:bookmarkEnd w:id="2926"/>
      <w:bookmarkStart w:id="2927" w:name="_Toc168400999"/>
      <w:bookmarkEnd w:id="2927"/>
      <w:bookmarkStart w:id="2928" w:name="_Toc168401450"/>
      <w:bookmarkEnd w:id="2928"/>
      <w:bookmarkStart w:id="2929" w:name="_Toc168401039"/>
      <w:bookmarkEnd w:id="2929"/>
      <w:bookmarkStart w:id="2930" w:name="_Toc168402061"/>
      <w:bookmarkEnd w:id="2930"/>
      <w:bookmarkStart w:id="2931" w:name="_Toc168400658"/>
      <w:bookmarkEnd w:id="2931"/>
      <w:bookmarkStart w:id="2932" w:name="_Toc168401885"/>
      <w:bookmarkEnd w:id="2932"/>
      <w:bookmarkStart w:id="2933" w:name="_Toc168402022"/>
      <w:bookmarkEnd w:id="2933"/>
      <w:bookmarkStart w:id="2934" w:name="_Toc168402073"/>
      <w:bookmarkEnd w:id="2934"/>
      <w:bookmarkStart w:id="2935" w:name="_Toc168402166"/>
      <w:bookmarkEnd w:id="2935"/>
      <w:bookmarkStart w:id="2936" w:name="_Toc168400753"/>
      <w:bookmarkEnd w:id="2936"/>
      <w:bookmarkStart w:id="2937" w:name="_Toc168400047"/>
      <w:bookmarkEnd w:id="2937"/>
      <w:bookmarkStart w:id="2938" w:name="_Toc168400639"/>
      <w:bookmarkEnd w:id="2938"/>
      <w:bookmarkStart w:id="2939" w:name="_Toc168401563"/>
      <w:bookmarkEnd w:id="2939"/>
      <w:bookmarkStart w:id="2940" w:name="_Toc168400890"/>
      <w:bookmarkEnd w:id="2940"/>
      <w:bookmarkStart w:id="2941" w:name="_Toc168401168"/>
      <w:bookmarkEnd w:id="2941"/>
      <w:bookmarkStart w:id="2942" w:name="_Toc168401569"/>
      <w:bookmarkEnd w:id="2942"/>
      <w:bookmarkStart w:id="2943" w:name="_Toc168401815"/>
      <w:bookmarkEnd w:id="2943"/>
      <w:bookmarkStart w:id="2944" w:name="_Toc168401835"/>
      <w:bookmarkEnd w:id="2944"/>
      <w:bookmarkStart w:id="2945" w:name="_Toc168401160"/>
      <w:bookmarkEnd w:id="2945"/>
      <w:bookmarkStart w:id="2946" w:name="_Toc168400068"/>
      <w:bookmarkEnd w:id="2946"/>
      <w:bookmarkStart w:id="2947" w:name="_Toc105145025"/>
      <w:bookmarkEnd w:id="2947"/>
      <w:bookmarkStart w:id="2948" w:name="_Toc168402191"/>
      <w:bookmarkEnd w:id="2948"/>
      <w:bookmarkStart w:id="2949" w:name="_Toc168399885"/>
      <w:bookmarkEnd w:id="2949"/>
      <w:bookmarkStart w:id="2950" w:name="_Toc168400257"/>
      <w:bookmarkEnd w:id="2950"/>
      <w:bookmarkStart w:id="2951" w:name="_Toc168402216"/>
      <w:bookmarkEnd w:id="2951"/>
      <w:bookmarkStart w:id="2952" w:name="_Toc168399911"/>
      <w:bookmarkEnd w:id="2952"/>
      <w:bookmarkStart w:id="2953" w:name="_Toc168400237"/>
      <w:bookmarkEnd w:id="2953"/>
      <w:bookmarkStart w:id="2954" w:name="_Toc168401133"/>
      <w:bookmarkEnd w:id="2954"/>
      <w:bookmarkStart w:id="2955" w:name="_Toc168401643"/>
      <w:bookmarkEnd w:id="2955"/>
      <w:bookmarkStart w:id="2956" w:name="_Toc168400074"/>
      <w:bookmarkEnd w:id="2956"/>
      <w:bookmarkStart w:id="2957" w:name="_Toc168399602"/>
      <w:bookmarkEnd w:id="2957"/>
      <w:bookmarkStart w:id="2958" w:name="_Toc168401182"/>
      <w:bookmarkEnd w:id="2958"/>
      <w:bookmarkStart w:id="2959" w:name="_Toc168401326"/>
      <w:bookmarkEnd w:id="2959"/>
      <w:bookmarkStart w:id="2960" w:name="_Toc168402105"/>
      <w:bookmarkEnd w:id="2960"/>
      <w:bookmarkStart w:id="2961" w:name="_Toc168401005"/>
      <w:bookmarkEnd w:id="2961"/>
      <w:bookmarkStart w:id="2962" w:name="_Toc168400564"/>
      <w:bookmarkEnd w:id="2962"/>
      <w:bookmarkStart w:id="2963" w:name="_Toc168400611"/>
      <w:bookmarkEnd w:id="2963"/>
      <w:bookmarkStart w:id="2964" w:name="_Toc168400930"/>
      <w:bookmarkEnd w:id="2964"/>
      <w:bookmarkStart w:id="2965" w:name="_Toc168399719"/>
      <w:bookmarkEnd w:id="2965"/>
      <w:bookmarkStart w:id="2966" w:name="_Toc168401469"/>
      <w:bookmarkEnd w:id="2966"/>
      <w:bookmarkStart w:id="2967" w:name="_Toc168399750"/>
      <w:bookmarkEnd w:id="2967"/>
      <w:bookmarkStart w:id="2968" w:name="_Toc168401684"/>
      <w:bookmarkEnd w:id="2968"/>
      <w:bookmarkStart w:id="2969" w:name="_Toc168399588"/>
      <w:bookmarkEnd w:id="2969"/>
      <w:bookmarkStart w:id="2970" w:name="_Toc168399926"/>
      <w:bookmarkEnd w:id="2970"/>
      <w:bookmarkStart w:id="2971" w:name="_Toc168400111"/>
      <w:bookmarkEnd w:id="2971"/>
      <w:bookmarkStart w:id="2972" w:name="_Toc168400452"/>
      <w:bookmarkEnd w:id="2972"/>
      <w:bookmarkStart w:id="2973" w:name="_Toc168401047"/>
      <w:bookmarkEnd w:id="2973"/>
      <w:bookmarkStart w:id="2974" w:name="_Toc168401060"/>
      <w:bookmarkEnd w:id="2974"/>
      <w:bookmarkStart w:id="2975" w:name="_Toc168400233"/>
      <w:bookmarkEnd w:id="2975"/>
      <w:bookmarkStart w:id="2976" w:name="_Toc168400685"/>
      <w:bookmarkEnd w:id="2976"/>
      <w:bookmarkStart w:id="2977" w:name="_Toc168400576"/>
      <w:bookmarkEnd w:id="2977"/>
      <w:bookmarkStart w:id="2978" w:name="_Toc168401731"/>
      <w:bookmarkEnd w:id="2978"/>
      <w:bookmarkStart w:id="2979" w:name="_Toc168400402"/>
      <w:bookmarkEnd w:id="2979"/>
      <w:bookmarkStart w:id="2980" w:name="_Toc168401791"/>
      <w:bookmarkEnd w:id="2980"/>
      <w:bookmarkStart w:id="2981" w:name="_Toc168400033"/>
      <w:bookmarkEnd w:id="2981"/>
      <w:bookmarkStart w:id="2982" w:name="_Toc168401600"/>
      <w:bookmarkEnd w:id="2982"/>
      <w:bookmarkStart w:id="2983" w:name="_Toc168401540"/>
      <w:bookmarkEnd w:id="2983"/>
      <w:bookmarkStart w:id="2984" w:name="_Toc168400027"/>
      <w:bookmarkEnd w:id="2984"/>
      <w:bookmarkStart w:id="2985" w:name="_Toc168400081"/>
      <w:bookmarkEnd w:id="2985"/>
      <w:bookmarkStart w:id="2986" w:name="_Toc168400300"/>
      <w:bookmarkEnd w:id="2986"/>
      <w:bookmarkStart w:id="2987" w:name="_Toc168401497"/>
      <w:bookmarkEnd w:id="2987"/>
      <w:bookmarkStart w:id="2988" w:name="_Toc168399941"/>
      <w:bookmarkEnd w:id="2988"/>
      <w:bookmarkStart w:id="2989" w:name="_Toc168399626"/>
      <w:bookmarkEnd w:id="2989"/>
      <w:bookmarkStart w:id="2990" w:name="_Toc168400821"/>
      <w:bookmarkEnd w:id="2990"/>
      <w:bookmarkStart w:id="2991" w:name="_Toc168399552"/>
      <w:bookmarkEnd w:id="2991"/>
      <w:bookmarkStart w:id="2992" w:name="_Toc168399646"/>
      <w:bookmarkEnd w:id="2992"/>
      <w:bookmarkStart w:id="2993" w:name="_Toc168400524"/>
      <w:bookmarkEnd w:id="2993"/>
      <w:bookmarkStart w:id="2994" w:name="_Toc168399937"/>
      <w:bookmarkEnd w:id="2994"/>
      <w:bookmarkStart w:id="2995" w:name="_Toc168400512"/>
      <w:bookmarkEnd w:id="2995"/>
      <w:bookmarkStart w:id="2996" w:name="_Toc168399876"/>
      <w:bookmarkEnd w:id="2996"/>
      <w:bookmarkStart w:id="2997" w:name="_Toc168400127"/>
      <w:bookmarkEnd w:id="2997"/>
      <w:bookmarkStart w:id="2998" w:name="_Toc168400479"/>
      <w:bookmarkEnd w:id="2998"/>
      <w:bookmarkStart w:id="2999" w:name="_Toc168400197"/>
      <w:bookmarkEnd w:id="2999"/>
      <w:bookmarkStart w:id="3000" w:name="_Toc168399749"/>
      <w:bookmarkEnd w:id="3000"/>
      <w:bookmarkStart w:id="3001" w:name="_Toc168400139"/>
      <w:bookmarkEnd w:id="3001"/>
      <w:bookmarkStart w:id="3002" w:name="_Toc168401691"/>
      <w:bookmarkEnd w:id="3002"/>
      <w:bookmarkStart w:id="3003" w:name="_Toc168399842"/>
      <w:bookmarkEnd w:id="3003"/>
      <w:bookmarkStart w:id="3004" w:name="_Toc168399517"/>
      <w:bookmarkEnd w:id="3004"/>
      <w:bookmarkStart w:id="3005" w:name="_Toc168400250"/>
      <w:bookmarkEnd w:id="3005"/>
      <w:bookmarkStart w:id="3006" w:name="_Toc168399670"/>
      <w:bookmarkEnd w:id="3006"/>
      <w:bookmarkStart w:id="3007" w:name="_Toc168400149"/>
      <w:bookmarkEnd w:id="3007"/>
      <w:bookmarkStart w:id="3008" w:name="_Toc168401098"/>
      <w:bookmarkEnd w:id="3008"/>
      <w:bookmarkStart w:id="3009" w:name="_Toc168402118"/>
      <w:bookmarkEnd w:id="3009"/>
      <w:bookmarkStart w:id="3010" w:name="_Toc168402091"/>
      <w:bookmarkEnd w:id="3010"/>
      <w:bookmarkStart w:id="3011" w:name="_Toc168400518"/>
      <w:bookmarkEnd w:id="3011"/>
      <w:bookmarkStart w:id="3012" w:name="_Toc168402184"/>
      <w:bookmarkEnd w:id="3012"/>
      <w:bookmarkStart w:id="3013" w:name="_Toc168399662"/>
      <w:bookmarkEnd w:id="3013"/>
      <w:bookmarkStart w:id="3014" w:name="_Toc168401750"/>
      <w:bookmarkEnd w:id="3014"/>
      <w:bookmarkStart w:id="3015" w:name="_Toc168400212"/>
      <w:bookmarkEnd w:id="3015"/>
      <w:bookmarkStart w:id="3016" w:name="_Toc168402009"/>
      <w:bookmarkEnd w:id="3016"/>
      <w:bookmarkStart w:id="3017" w:name="_Toc168401664"/>
      <w:bookmarkEnd w:id="3017"/>
      <w:bookmarkStart w:id="3018" w:name="_Toc168400587"/>
      <w:bookmarkEnd w:id="3018"/>
      <w:bookmarkStart w:id="3019" w:name="_Toc168400103"/>
      <w:bookmarkEnd w:id="3019"/>
      <w:bookmarkStart w:id="3020" w:name="_Toc168400303"/>
      <w:bookmarkEnd w:id="3020"/>
      <w:bookmarkStart w:id="3021" w:name="_Toc168401849"/>
      <w:bookmarkEnd w:id="3021"/>
      <w:bookmarkStart w:id="3022" w:name="_Toc168401458"/>
      <w:bookmarkEnd w:id="3022"/>
      <w:bookmarkStart w:id="3023" w:name="_Toc168399713"/>
      <w:bookmarkEnd w:id="3023"/>
      <w:bookmarkStart w:id="3024" w:name="_Toc168399608"/>
      <w:bookmarkEnd w:id="3024"/>
      <w:bookmarkStart w:id="3025" w:name="_Toc168400463"/>
      <w:bookmarkEnd w:id="3025"/>
      <w:bookmarkStart w:id="3026" w:name="_Toc168399709"/>
      <w:bookmarkEnd w:id="3026"/>
      <w:bookmarkStart w:id="3027" w:name="_Toc168401973"/>
      <w:bookmarkEnd w:id="3027"/>
      <w:bookmarkStart w:id="3028" w:name="_Toc168399573"/>
      <w:bookmarkEnd w:id="3028"/>
      <w:bookmarkStart w:id="3029" w:name="_Toc168400090"/>
      <w:bookmarkEnd w:id="3029"/>
      <w:bookmarkStart w:id="3030" w:name="_Toc168401103"/>
      <w:bookmarkEnd w:id="3030"/>
      <w:bookmarkStart w:id="3031" w:name="_Toc168400436"/>
      <w:bookmarkEnd w:id="3031"/>
      <w:bookmarkStart w:id="3032" w:name="_Toc168402238"/>
      <w:bookmarkEnd w:id="3032"/>
      <w:bookmarkStart w:id="3033" w:name="_Toc168401002"/>
      <w:bookmarkEnd w:id="3033"/>
      <w:bookmarkStart w:id="3034" w:name="_Toc168401059"/>
      <w:bookmarkEnd w:id="3034"/>
      <w:bookmarkStart w:id="3035" w:name="_Toc168400161"/>
      <w:bookmarkEnd w:id="3035"/>
      <w:bookmarkStart w:id="3036" w:name="_Toc168399726"/>
      <w:bookmarkEnd w:id="3036"/>
      <w:bookmarkStart w:id="3037" w:name="_Toc168401630"/>
      <w:bookmarkEnd w:id="3037"/>
      <w:bookmarkStart w:id="3038" w:name="_Toc168401337"/>
      <w:bookmarkEnd w:id="3038"/>
      <w:bookmarkStart w:id="3039" w:name="_Toc168402226"/>
      <w:bookmarkEnd w:id="3039"/>
      <w:bookmarkStart w:id="3040" w:name="_Toc168401948"/>
      <w:bookmarkEnd w:id="3040"/>
      <w:bookmarkStart w:id="3041" w:name="_Toc168400072"/>
      <w:bookmarkEnd w:id="3041"/>
      <w:bookmarkStart w:id="3042" w:name="_Toc168400475"/>
      <w:bookmarkEnd w:id="3042"/>
      <w:bookmarkStart w:id="3043" w:name="_Toc168400093"/>
      <w:bookmarkEnd w:id="3043"/>
      <w:bookmarkStart w:id="3044" w:name="_Toc168399616"/>
      <w:bookmarkEnd w:id="3044"/>
      <w:bookmarkStart w:id="3045" w:name="_Toc168399522"/>
      <w:bookmarkEnd w:id="3045"/>
      <w:bookmarkStart w:id="3046" w:name="_Toc168399762"/>
      <w:bookmarkEnd w:id="3046"/>
      <w:bookmarkStart w:id="3047" w:name="_Toc168399520"/>
      <w:bookmarkEnd w:id="3047"/>
      <w:bookmarkStart w:id="3048" w:name="_Toc168401370"/>
      <w:bookmarkEnd w:id="3048"/>
      <w:bookmarkStart w:id="3049" w:name="_Toc168400012"/>
      <w:bookmarkEnd w:id="3049"/>
      <w:bookmarkStart w:id="3050" w:name="_Toc168402114"/>
      <w:bookmarkEnd w:id="3050"/>
      <w:bookmarkStart w:id="3051" w:name="_Toc168400502"/>
      <w:bookmarkEnd w:id="3051"/>
      <w:bookmarkStart w:id="3052" w:name="_Toc168400254"/>
      <w:bookmarkEnd w:id="3052"/>
      <w:bookmarkStart w:id="3053" w:name="_Toc168399871"/>
      <w:bookmarkEnd w:id="3053"/>
      <w:bookmarkStart w:id="3054" w:name="_Toc168399813"/>
      <w:bookmarkEnd w:id="3054"/>
      <w:bookmarkStart w:id="3055" w:name="_Toc168402002"/>
      <w:bookmarkEnd w:id="3055"/>
      <w:bookmarkStart w:id="3056" w:name="_Toc168401924"/>
      <w:bookmarkEnd w:id="3056"/>
      <w:bookmarkStart w:id="3057" w:name="_Toc168399553"/>
      <w:bookmarkEnd w:id="3057"/>
      <w:bookmarkStart w:id="3058" w:name="_Toc168399882"/>
      <w:bookmarkEnd w:id="3058"/>
      <w:bookmarkStart w:id="3059" w:name="_Toc168400412"/>
      <w:bookmarkEnd w:id="3059"/>
      <w:bookmarkStart w:id="3060" w:name="_Toc168399729"/>
      <w:bookmarkEnd w:id="3060"/>
      <w:bookmarkStart w:id="3061" w:name="_Toc168400002"/>
      <w:bookmarkEnd w:id="3061"/>
      <w:bookmarkStart w:id="3062" w:name="_Toc168400154"/>
      <w:bookmarkEnd w:id="3062"/>
      <w:bookmarkStart w:id="3063" w:name="_Toc168399688"/>
      <w:bookmarkEnd w:id="3063"/>
      <w:bookmarkStart w:id="3064" w:name="_Toc168400978"/>
      <w:bookmarkEnd w:id="3064"/>
      <w:bookmarkStart w:id="3065" w:name="_Toc168401255"/>
      <w:bookmarkEnd w:id="3065"/>
      <w:bookmarkStart w:id="3066" w:name="_Toc168400293"/>
      <w:bookmarkEnd w:id="3066"/>
      <w:bookmarkStart w:id="3067" w:name="_Toc168400643"/>
      <w:bookmarkEnd w:id="3067"/>
      <w:bookmarkStart w:id="3068" w:name="_Toc168400007"/>
      <w:bookmarkEnd w:id="3068"/>
      <w:bookmarkStart w:id="3069" w:name="_Toc168399700"/>
      <w:bookmarkEnd w:id="3069"/>
      <w:bookmarkStart w:id="3070" w:name="_Toc168402067"/>
      <w:bookmarkEnd w:id="3070"/>
      <w:bookmarkStart w:id="3071" w:name="_Toc168400874"/>
      <w:bookmarkEnd w:id="3071"/>
      <w:bookmarkStart w:id="3072" w:name="_Toc168401406"/>
      <w:bookmarkEnd w:id="3072"/>
      <w:bookmarkStart w:id="3073" w:name="_Toc168400794"/>
      <w:bookmarkEnd w:id="3073"/>
      <w:bookmarkStart w:id="3074" w:name="_Toc168402039"/>
      <w:bookmarkEnd w:id="3074"/>
      <w:bookmarkStart w:id="3075" w:name="_Toc168400538"/>
      <w:bookmarkEnd w:id="3075"/>
      <w:bookmarkStart w:id="3076" w:name="_Toc168400173"/>
      <w:bookmarkEnd w:id="3076"/>
      <w:bookmarkStart w:id="3077" w:name="_Toc168400525"/>
      <w:bookmarkEnd w:id="3077"/>
      <w:bookmarkStart w:id="3078" w:name="_Toc168400314"/>
      <w:bookmarkEnd w:id="3078"/>
      <w:bookmarkStart w:id="3079" w:name="_Toc168402171"/>
      <w:bookmarkEnd w:id="3079"/>
      <w:bookmarkStart w:id="3080" w:name="_Toc168401988"/>
      <w:bookmarkEnd w:id="3080"/>
      <w:bookmarkStart w:id="3081" w:name="_Toc168399956"/>
      <w:bookmarkEnd w:id="3081"/>
      <w:bookmarkStart w:id="3082" w:name="_Toc168400961"/>
      <w:bookmarkEnd w:id="3082"/>
      <w:bookmarkStart w:id="3083" w:name="_Toc168400107"/>
      <w:bookmarkEnd w:id="3083"/>
      <w:bookmarkStart w:id="3084" w:name="_Toc168400030"/>
      <w:bookmarkEnd w:id="3084"/>
      <w:bookmarkStart w:id="3085" w:name="_Toc168400568"/>
      <w:bookmarkEnd w:id="3085"/>
      <w:bookmarkStart w:id="3086" w:name="_Toc168401639"/>
      <w:bookmarkEnd w:id="3086"/>
      <w:bookmarkStart w:id="3087" w:name="_Toc168400065"/>
      <w:bookmarkEnd w:id="3087"/>
      <w:bookmarkStart w:id="3088" w:name="_Toc168400476"/>
      <w:bookmarkEnd w:id="3088"/>
      <w:bookmarkStart w:id="3089" w:name="_Toc168402089"/>
      <w:bookmarkEnd w:id="3089"/>
      <w:bookmarkStart w:id="3090" w:name="_Toc168400486"/>
      <w:bookmarkEnd w:id="3090"/>
      <w:bookmarkStart w:id="3091" w:name="_Toc168401278"/>
      <w:bookmarkEnd w:id="3091"/>
      <w:bookmarkStart w:id="3092" w:name="_Toc168400883"/>
      <w:bookmarkEnd w:id="3092"/>
      <w:bookmarkStart w:id="3093" w:name="_Toc168401369"/>
      <w:bookmarkEnd w:id="3093"/>
      <w:bookmarkStart w:id="3094" w:name="_Toc168401463"/>
      <w:bookmarkEnd w:id="3094"/>
      <w:bookmarkStart w:id="3095" w:name="_Toc168401179"/>
      <w:bookmarkEnd w:id="3095"/>
      <w:bookmarkStart w:id="3096" w:name="_Toc168400253"/>
      <w:bookmarkEnd w:id="3096"/>
      <w:bookmarkStart w:id="3097" w:name="_Toc168401219"/>
      <w:bookmarkEnd w:id="3097"/>
      <w:bookmarkStart w:id="3098" w:name="_Toc168402170"/>
      <w:bookmarkEnd w:id="3098"/>
      <w:bookmarkStart w:id="3099" w:name="_Toc168399645"/>
      <w:bookmarkEnd w:id="3099"/>
      <w:bookmarkStart w:id="3100" w:name="_Toc168399831"/>
      <w:bookmarkEnd w:id="3100"/>
      <w:bookmarkStart w:id="3101" w:name="_Toc168401671"/>
      <w:bookmarkEnd w:id="3101"/>
      <w:bookmarkStart w:id="3102" w:name="_Toc168400020"/>
      <w:bookmarkEnd w:id="3102"/>
      <w:bookmarkStart w:id="3103" w:name="_Toc168401960"/>
      <w:bookmarkEnd w:id="3103"/>
      <w:bookmarkStart w:id="3104" w:name="_Toc168399711"/>
      <w:bookmarkEnd w:id="3104"/>
      <w:bookmarkStart w:id="3105" w:name="_Toc168401992"/>
      <w:bookmarkEnd w:id="3105"/>
      <w:bookmarkStart w:id="3106" w:name="_Toc168401735"/>
      <w:bookmarkEnd w:id="3106"/>
      <w:bookmarkStart w:id="3107" w:name="_Toc168401128"/>
      <w:bookmarkEnd w:id="3107"/>
      <w:bookmarkStart w:id="3108" w:name="_Toc168401898"/>
      <w:bookmarkEnd w:id="3108"/>
      <w:bookmarkStart w:id="3109" w:name="_Toc168400354"/>
      <w:bookmarkEnd w:id="3109"/>
      <w:bookmarkStart w:id="3110" w:name="_Toc168402102"/>
      <w:bookmarkEnd w:id="3110"/>
      <w:bookmarkStart w:id="3111" w:name="_Toc168401647"/>
      <w:bookmarkEnd w:id="3111"/>
      <w:bookmarkStart w:id="3112" w:name="_Toc168400887"/>
      <w:bookmarkEnd w:id="3112"/>
      <w:bookmarkStart w:id="3113" w:name="_Toc168402034"/>
      <w:bookmarkEnd w:id="3113"/>
      <w:bookmarkStart w:id="3114" w:name="_Toc168400813"/>
      <w:bookmarkEnd w:id="3114"/>
      <w:bookmarkStart w:id="3115" w:name="_Toc168402096"/>
      <w:bookmarkEnd w:id="3115"/>
      <w:bookmarkStart w:id="3116" w:name="_Toc168399802"/>
      <w:bookmarkEnd w:id="3116"/>
      <w:bookmarkStart w:id="3117" w:name="_Toc168399715"/>
      <w:bookmarkEnd w:id="3117"/>
      <w:bookmarkStart w:id="3118" w:name="_Toc168400422"/>
      <w:bookmarkEnd w:id="3118"/>
      <w:bookmarkStart w:id="3119" w:name="_Toc168399693"/>
      <w:bookmarkEnd w:id="3119"/>
      <w:bookmarkStart w:id="3120" w:name="_Toc168401585"/>
      <w:bookmarkEnd w:id="3120"/>
      <w:bookmarkStart w:id="3121" w:name="_Toc168401964"/>
      <w:bookmarkEnd w:id="3121"/>
      <w:bookmarkStart w:id="3122" w:name="_Toc168401018"/>
      <w:bookmarkEnd w:id="3122"/>
      <w:bookmarkStart w:id="3123" w:name="_Toc168401927"/>
      <w:bookmarkEnd w:id="3123"/>
      <w:bookmarkStart w:id="3124" w:name="_Toc168399834"/>
      <w:bookmarkEnd w:id="3124"/>
      <w:bookmarkStart w:id="3125" w:name="_Toc168399829"/>
      <w:bookmarkEnd w:id="3125"/>
      <w:bookmarkStart w:id="3126" w:name="_Toc168400405"/>
      <w:bookmarkEnd w:id="3126"/>
      <w:bookmarkStart w:id="3127" w:name="_Toc168400683"/>
      <w:bookmarkEnd w:id="3127"/>
      <w:bookmarkStart w:id="3128" w:name="_Toc168399999"/>
      <w:bookmarkEnd w:id="3128"/>
      <w:bookmarkStart w:id="3129" w:name="_Toc168400398"/>
      <w:bookmarkEnd w:id="3129"/>
      <w:bookmarkStart w:id="3130" w:name="_Toc168400450"/>
      <w:bookmarkEnd w:id="3130"/>
      <w:bookmarkStart w:id="3131" w:name="_Toc168402072"/>
      <w:bookmarkEnd w:id="3131"/>
      <w:bookmarkStart w:id="3132" w:name="_Toc168400798"/>
      <w:bookmarkEnd w:id="3132"/>
      <w:bookmarkStart w:id="3133" w:name="_Toc168402110"/>
      <w:bookmarkEnd w:id="3133"/>
      <w:bookmarkStart w:id="3134" w:name="_Toc168400780"/>
      <w:bookmarkEnd w:id="3134"/>
      <w:bookmarkStart w:id="3135" w:name="_Toc168399591"/>
      <w:bookmarkEnd w:id="3135"/>
      <w:bookmarkStart w:id="3136" w:name="_Toc168400327"/>
      <w:bookmarkEnd w:id="3136"/>
      <w:bookmarkStart w:id="3137" w:name="_Toc168401198"/>
      <w:bookmarkEnd w:id="3137"/>
      <w:bookmarkStart w:id="3138" w:name="_Toc168401760"/>
      <w:bookmarkEnd w:id="3138"/>
      <w:bookmarkStart w:id="3139" w:name="_Toc168401820"/>
      <w:bookmarkEnd w:id="3139"/>
      <w:bookmarkStart w:id="3140" w:name="_Toc168400026"/>
      <w:bookmarkEnd w:id="3140"/>
      <w:bookmarkStart w:id="3141" w:name="_Toc168400305"/>
      <w:bookmarkEnd w:id="3141"/>
      <w:bookmarkStart w:id="3142" w:name="_Toc168401000"/>
      <w:bookmarkEnd w:id="3142"/>
      <w:bookmarkStart w:id="3143" w:name="_Toc168401058"/>
      <w:bookmarkEnd w:id="3143"/>
      <w:bookmarkStart w:id="3144" w:name="_Toc168401636"/>
      <w:bookmarkEnd w:id="3144"/>
      <w:bookmarkStart w:id="3145" w:name="_Toc168401231"/>
      <w:bookmarkEnd w:id="3145"/>
      <w:bookmarkStart w:id="3146" w:name="_Toc168400370"/>
      <w:bookmarkEnd w:id="3146"/>
      <w:bookmarkStart w:id="3147" w:name="_Toc168401682"/>
      <w:bookmarkEnd w:id="3147"/>
      <w:bookmarkStart w:id="3148" w:name="_Toc168402056"/>
      <w:bookmarkEnd w:id="3148"/>
      <w:bookmarkStart w:id="3149" w:name="_Toc168400796"/>
      <w:bookmarkEnd w:id="3149"/>
      <w:bookmarkStart w:id="3150" w:name="_Toc168400672"/>
      <w:bookmarkEnd w:id="3150"/>
      <w:bookmarkStart w:id="3151" w:name="_Toc106090202"/>
      <w:bookmarkEnd w:id="3151"/>
      <w:bookmarkStart w:id="3152" w:name="_Toc168400498"/>
      <w:bookmarkEnd w:id="3152"/>
      <w:bookmarkStart w:id="3153" w:name="_Toc168402122"/>
      <w:bookmarkEnd w:id="3153"/>
      <w:bookmarkStart w:id="3154" w:name="_Toc168400922"/>
      <w:bookmarkEnd w:id="3154"/>
      <w:bookmarkStart w:id="3155" w:name="_Toc168400066"/>
      <w:bookmarkEnd w:id="3155"/>
      <w:bookmarkStart w:id="3156" w:name="_Toc168400600"/>
      <w:bookmarkEnd w:id="3156"/>
      <w:bookmarkStart w:id="3157" w:name="_Toc168399754"/>
      <w:bookmarkEnd w:id="3157"/>
      <w:bookmarkStart w:id="3158" w:name="_Toc168400511"/>
      <w:bookmarkEnd w:id="3158"/>
      <w:bookmarkStart w:id="3159" w:name="_Toc168399960"/>
      <w:bookmarkEnd w:id="3159"/>
      <w:bookmarkStart w:id="3160" w:name="_Toc168400993"/>
      <w:bookmarkEnd w:id="3160"/>
      <w:bookmarkStart w:id="3161" w:name="_Toc168401689"/>
      <w:bookmarkEnd w:id="3161"/>
      <w:bookmarkStart w:id="3162" w:name="_Toc168401076"/>
      <w:bookmarkEnd w:id="3162"/>
      <w:bookmarkStart w:id="3163" w:name="_Toc168401558"/>
      <w:bookmarkEnd w:id="3163"/>
      <w:bookmarkStart w:id="3164" w:name="_Toc106808052"/>
      <w:bookmarkEnd w:id="3164"/>
      <w:bookmarkStart w:id="3165" w:name="_Toc168399930"/>
      <w:bookmarkEnd w:id="3165"/>
      <w:bookmarkStart w:id="3166" w:name="_Toc168401573"/>
      <w:bookmarkEnd w:id="3166"/>
      <w:bookmarkStart w:id="3167" w:name="_Toc168402214"/>
      <w:bookmarkEnd w:id="3167"/>
      <w:bookmarkStart w:id="3168" w:name="_Toc168399924"/>
      <w:bookmarkEnd w:id="3168"/>
      <w:bookmarkStart w:id="3169" w:name="_Toc168399902"/>
      <w:bookmarkEnd w:id="3169"/>
      <w:bookmarkStart w:id="3170" w:name="_Toc168399668"/>
      <w:bookmarkEnd w:id="3170"/>
      <w:bookmarkStart w:id="3171" w:name="_Toc168402101"/>
      <w:bookmarkEnd w:id="3171"/>
      <w:bookmarkStart w:id="3172" w:name="_Toc168401088"/>
      <w:bookmarkEnd w:id="3172"/>
      <w:bookmarkStart w:id="3173" w:name="_Toc168399629"/>
      <w:bookmarkEnd w:id="3173"/>
      <w:bookmarkStart w:id="3174" w:name="_Toc168401321"/>
      <w:bookmarkEnd w:id="3174"/>
      <w:bookmarkStart w:id="3175" w:name="_Toc168399738"/>
      <w:bookmarkEnd w:id="3175"/>
      <w:bookmarkStart w:id="3176" w:name="_Toc168401332"/>
      <w:bookmarkEnd w:id="3176"/>
      <w:bookmarkStart w:id="3177" w:name="_Toc168400471"/>
      <w:bookmarkEnd w:id="3177"/>
      <w:bookmarkStart w:id="3178" w:name="_Toc168401544"/>
      <w:bookmarkEnd w:id="3178"/>
      <w:bookmarkStart w:id="3179" w:name="_Toc168401454"/>
      <w:bookmarkEnd w:id="3179"/>
      <w:bookmarkStart w:id="3180" w:name="_Toc168399716"/>
      <w:bookmarkEnd w:id="3180"/>
      <w:bookmarkStart w:id="3181" w:name="_Toc168400958"/>
      <w:bookmarkEnd w:id="3181"/>
      <w:bookmarkStart w:id="3182" w:name="_Toc168401149"/>
      <w:bookmarkEnd w:id="3182"/>
      <w:bookmarkStart w:id="3183" w:name="_Toc168399659"/>
      <w:bookmarkEnd w:id="3183"/>
      <w:bookmarkStart w:id="3184" w:name="_Toc168399951"/>
      <w:bookmarkEnd w:id="3184"/>
      <w:bookmarkStart w:id="3185" w:name="_Toc168400870"/>
      <w:bookmarkEnd w:id="3185"/>
      <w:bookmarkStart w:id="3186" w:name="_Toc168401404"/>
      <w:bookmarkEnd w:id="3186"/>
      <w:bookmarkStart w:id="3187" w:name="_Toc168401092"/>
      <w:bookmarkEnd w:id="3187"/>
      <w:bookmarkStart w:id="3188" w:name="_Toc168401881"/>
      <w:bookmarkEnd w:id="3188"/>
      <w:bookmarkStart w:id="3189" w:name="_Toc168399878"/>
      <w:bookmarkEnd w:id="3189"/>
      <w:bookmarkStart w:id="3190" w:name="_Toc168400120"/>
      <w:bookmarkEnd w:id="3190"/>
      <w:bookmarkStart w:id="3191" w:name="_Toc699"/>
      <w:bookmarkStart w:id="3192" w:name="_Toc15800"/>
      <w:bookmarkStart w:id="3193" w:name="_Toc14634"/>
      <w:bookmarkStart w:id="3194" w:name="_Toc26739"/>
      <w:bookmarkStart w:id="3195" w:name="_Toc6569"/>
      <w:bookmarkStart w:id="3196" w:name="_Toc29821"/>
      <w:bookmarkStart w:id="3197" w:name="_Toc6030"/>
      <w:bookmarkStart w:id="3198" w:name="_Toc4811"/>
      <w:bookmarkStart w:id="3199" w:name="_Toc13876"/>
      <w:bookmarkStart w:id="3200" w:name="_Toc9650"/>
      <w:bookmarkStart w:id="3201" w:name="_Toc30701"/>
    </w:p>
    <w:p>
      <w:pPr>
        <w:pStyle w:val="118"/>
        <w:keepNext w:val="0"/>
        <w:keepLines w:val="0"/>
        <w:widowControl/>
        <w:numPr>
          <w:ilvl w:val="2"/>
          <w:numId w:val="25"/>
        </w:numPr>
        <w:spacing w:before="0" w:after="0"/>
        <w:outlineLvl w:val="9"/>
        <w:rPr>
          <w:rFonts w:ascii="Times New Roman" w:hAnsi="Times New Roman"/>
          <w:b/>
          <w:bCs/>
          <w:color w:val="auto"/>
          <w:kern w:val="2"/>
          <w:sz w:val="24"/>
          <w:szCs w:val="24"/>
          <w:lang w:bidi="ar"/>
        </w:rPr>
      </w:pPr>
      <w:r>
        <w:rPr>
          <w:rFonts w:hint="default" w:ascii="Times New Roman" w:hAnsi="Times New Roman"/>
          <w:b/>
          <w:bCs/>
          <w:color w:val="auto"/>
          <w:kern w:val="2"/>
          <w:sz w:val="24"/>
          <w:szCs w:val="24"/>
          <w:lang w:val="en-US" w:eastAsia="zh-CN" w:bidi="ar"/>
        </w:rPr>
        <w:t>主备切换器</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bidi="ar"/>
        </w:rPr>
        <w:t>双链路用于会议系统主机备份连接，可以做到任意一台主机故障后麦克风无延时切换至正常运行的主机。</w:t>
      </w:r>
    </w:p>
    <w:p>
      <w:pPr>
        <w:pStyle w:val="118"/>
        <w:numPr>
          <w:ilvl w:val="2"/>
          <w:numId w:val="25"/>
        </w:numPr>
        <w:rPr>
          <w:rFonts w:hint="default" w:ascii="Times New Roman" w:hAnsi="Times New Roman"/>
          <w:color w:val="auto"/>
          <w:sz w:val="24"/>
          <w:szCs w:val="24"/>
          <w:lang w:bidi="ar"/>
        </w:rPr>
      </w:pPr>
      <w:r>
        <w:rPr>
          <w:rFonts w:hint="default" w:ascii="Times New Roman" w:hAnsi="Times New Roman"/>
          <w:color w:val="auto"/>
          <w:sz w:val="24"/>
          <w:szCs w:val="24"/>
          <w:lang w:bidi="ar"/>
        </w:rPr>
        <w:t>监听音箱</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bidi="ar"/>
        </w:rPr>
        <w:t xml:space="preserve">1.频率范围:≥54Hz-30kHz（-10dB） </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bidi="ar"/>
        </w:rPr>
        <w:t>2.分频频率:≥2kHz</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bidi="ar"/>
        </w:rPr>
        <w:t>3.输出功率:≥70W</w:t>
      </w:r>
    </w:p>
    <w:p>
      <w:pPr>
        <w:pStyle w:val="118"/>
        <w:numPr>
          <w:ilvl w:val="2"/>
          <w:numId w:val="25"/>
        </w:numPr>
        <w:rPr>
          <w:rFonts w:hint="default" w:ascii="Times New Roman" w:hAnsi="Times New Roman"/>
          <w:color w:val="auto"/>
          <w:sz w:val="24"/>
          <w:szCs w:val="24"/>
        </w:rPr>
      </w:pPr>
      <w:r>
        <w:rPr>
          <w:rFonts w:hint="default" w:ascii="Times New Roman" w:hAnsi="Times New Roman"/>
          <w:color w:val="auto"/>
          <w:sz w:val="24"/>
          <w:szCs w:val="24"/>
        </w:rPr>
        <w:t>音频地插接口盒</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val="en-US" w:eastAsia="zh-CN" w:bidi="ar"/>
        </w:rPr>
        <w:t>1.</w:t>
      </w:r>
      <w:r>
        <w:rPr>
          <w:rFonts w:hint="default" w:ascii="Times New Roman" w:hAnsi="Times New Roman"/>
          <w:color w:val="auto"/>
          <w:sz w:val="24"/>
          <w:lang w:bidi="ar"/>
        </w:rPr>
        <w:t>款式：掀起式；</w:t>
      </w:r>
    </w:p>
    <w:p>
      <w:pPr>
        <w:pStyle w:val="797"/>
        <w:ind w:firstLine="480"/>
        <w:rPr>
          <w:rFonts w:hint="default" w:ascii="Times New Roman" w:hAnsi="Times New Roman"/>
          <w:color w:val="auto"/>
          <w:sz w:val="24"/>
          <w:lang w:bidi="ar"/>
        </w:rPr>
      </w:pPr>
      <w:r>
        <w:rPr>
          <w:rFonts w:hint="default" w:ascii="Times New Roman" w:hAnsi="Times New Roman"/>
          <w:color w:val="auto"/>
          <w:sz w:val="24"/>
          <w:lang w:val="en-US" w:eastAsia="zh-CN" w:bidi="ar"/>
        </w:rPr>
        <w:t>2.</w:t>
      </w:r>
      <w:r>
        <w:rPr>
          <w:rFonts w:hint="default" w:ascii="Times New Roman" w:hAnsi="Times New Roman"/>
          <w:color w:val="auto"/>
          <w:sz w:val="24"/>
          <w:lang w:bidi="ar"/>
        </w:rPr>
        <w:t>参考配置：卡侬头≥4个等。（具体配置以现场确认规模、类型为准）；</w:t>
      </w:r>
    </w:p>
    <w:p>
      <w:pPr>
        <w:pStyle w:val="797"/>
        <w:ind w:firstLine="480"/>
        <w:rPr>
          <w:rFonts w:ascii="Times New Roman" w:hAnsi="Times New Roman"/>
          <w:color w:val="auto"/>
          <w:sz w:val="24"/>
          <w:lang w:bidi="ar"/>
        </w:rPr>
      </w:pPr>
      <w:r>
        <w:rPr>
          <w:rFonts w:hint="default" w:ascii="Times New Roman" w:hAnsi="Times New Roman"/>
          <w:color w:val="auto"/>
          <w:sz w:val="24"/>
          <w:lang w:val="en-US" w:eastAsia="zh-CN" w:bidi="ar"/>
        </w:rPr>
        <w:t>3.</w:t>
      </w:r>
      <w:r>
        <w:rPr>
          <w:rFonts w:hint="default" w:ascii="Times New Roman" w:hAnsi="Times New Roman"/>
          <w:color w:val="auto"/>
          <w:sz w:val="24"/>
          <w:lang w:bidi="ar"/>
        </w:rPr>
        <w:t>面板规格：定制，参考尺寸≥180×180mm；</w:t>
      </w:r>
    </w:p>
    <w:p>
      <w:pPr>
        <w:keepNext/>
        <w:keepLines/>
        <w:widowControl/>
        <w:numPr>
          <w:ilvl w:val="0"/>
          <w:numId w:val="25"/>
        </w:numPr>
        <w:spacing w:line="578" w:lineRule="auto"/>
        <w:outlineLvl w:val="0"/>
        <w:rPr>
          <w:rFonts w:ascii="Times New Roman" w:hAnsi="Times New Roman"/>
          <w:b/>
          <w:bCs/>
          <w:color w:val="auto"/>
          <w:kern w:val="44"/>
          <w:sz w:val="24"/>
          <w:szCs w:val="24"/>
        </w:rPr>
      </w:pPr>
      <w:bookmarkStart w:id="3202" w:name="_Toc6815"/>
      <w:bookmarkStart w:id="3203" w:name="_Toc31505"/>
      <w:bookmarkStart w:id="3204" w:name="_Toc28399"/>
      <w:r>
        <w:rPr>
          <w:rFonts w:ascii="Times New Roman" w:hAnsi="Times New Roman"/>
          <w:b/>
          <w:bCs/>
          <w:color w:val="auto"/>
          <w:kern w:val="44"/>
          <w:sz w:val="24"/>
          <w:szCs w:val="24"/>
        </w:rPr>
        <w:t>关键出入口控制系统</w:t>
      </w:r>
      <w:bookmarkEnd w:id="3191"/>
      <w:bookmarkEnd w:id="3202"/>
      <w:bookmarkEnd w:id="3203"/>
      <w:bookmarkEnd w:id="3204"/>
    </w:p>
    <w:p>
      <w:pPr>
        <w:keepNext/>
        <w:keepLines/>
        <w:widowControl/>
        <w:numPr>
          <w:ilvl w:val="1"/>
          <w:numId w:val="25"/>
        </w:numPr>
        <w:spacing w:line="416" w:lineRule="auto"/>
        <w:outlineLvl w:val="1"/>
        <w:rPr>
          <w:rFonts w:ascii="Times New Roman" w:hAnsi="Times New Roman"/>
          <w:b/>
          <w:bCs/>
          <w:color w:val="auto"/>
          <w:kern w:val="44"/>
          <w:sz w:val="24"/>
          <w:szCs w:val="24"/>
          <w:lang w:bidi="ar"/>
        </w:rPr>
      </w:pPr>
      <w:bookmarkStart w:id="3205" w:name="_Toc2554"/>
      <w:bookmarkStart w:id="3206" w:name="_Toc26310"/>
      <w:bookmarkStart w:id="3207" w:name="_Toc18158"/>
      <w:bookmarkStart w:id="3208" w:name="_Toc853"/>
      <w:r>
        <w:rPr>
          <w:rFonts w:ascii="Times New Roman" w:hAnsi="Times New Roman"/>
          <w:b/>
          <w:bCs/>
          <w:color w:val="auto"/>
          <w:kern w:val="44"/>
          <w:sz w:val="24"/>
          <w:szCs w:val="24"/>
          <w:lang w:bidi="ar"/>
        </w:rPr>
        <w:t>设计点位要求</w:t>
      </w:r>
      <w:bookmarkEnd w:id="3205"/>
      <w:bookmarkEnd w:id="3206"/>
      <w:bookmarkEnd w:id="3207"/>
      <w:bookmarkEnd w:id="3208"/>
    </w:p>
    <w:p>
      <w:pPr>
        <w:pStyle w:val="2"/>
        <w:rPr>
          <w:rFonts w:hint="eastAsia"/>
          <w:color w:val="auto"/>
          <w:lang w:val="en-US" w:eastAsia="zh-CN"/>
        </w:rPr>
      </w:pPr>
      <w:r>
        <w:rPr>
          <w:rFonts w:hint="eastAsia"/>
          <w:color w:val="auto"/>
          <w:lang w:val="en-US" w:eastAsia="zh-CN"/>
        </w:rPr>
        <w:t>本系统在地下厂房主变廊道入口及主厂房入口各布置1套双通道人员通道闸，开关站人行入口布置1套双通道人行通道闸，在办公楼正门布置1套三通道人员通道闸，在办公楼后门、东侧门及西侧门各布置1套单通道人员通道闸。</w:t>
      </w:r>
    </w:p>
    <w:p>
      <w:pPr>
        <w:spacing w:line="360" w:lineRule="auto"/>
        <w:ind w:firstLine="480" w:firstLineChars="200"/>
        <w:rPr>
          <w:rFonts w:hint="default"/>
          <w:color w:val="auto"/>
          <w:sz w:val="24"/>
          <w:lang w:val="en-US" w:eastAsia="zh-CN"/>
        </w:rPr>
      </w:pPr>
      <w:r>
        <w:rPr>
          <w:rFonts w:hint="eastAsia"/>
          <w:color w:val="auto"/>
          <w:sz w:val="24"/>
          <w:lang w:val="en-US" w:eastAsia="zh-CN"/>
        </w:rPr>
        <w:t>本系统中定义1套单通道人员通道闸为只有1个通行通道的人员通道闸，1套双通道人员通道闸为有2个通行通道的人员通道闸，1套三通道人员通道闸为有3个人员通行通道的人员通道闸，如下图所示。</w:t>
      </w:r>
    </w:p>
    <w:p>
      <w:pPr>
        <w:spacing w:line="360" w:lineRule="auto"/>
        <w:ind w:firstLine="420" w:firstLineChars="200"/>
        <w:jc w:val="center"/>
        <w:rPr>
          <w:color w:val="auto"/>
        </w:rPr>
      </w:pPr>
      <w:r>
        <w:rPr>
          <w:color w:val="auto"/>
        </w:rPr>
        <w:drawing>
          <wp:inline distT="0" distB="0" distL="114300" distR="114300">
            <wp:extent cx="4036695" cy="2784475"/>
            <wp:effectExtent l="0" t="0" r="1905" b="1587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45"/>
                    <a:stretch>
                      <a:fillRect/>
                    </a:stretch>
                  </pic:blipFill>
                  <pic:spPr>
                    <a:xfrm>
                      <a:off x="0" y="0"/>
                      <a:ext cx="4036695" cy="2784475"/>
                    </a:xfrm>
                    <a:prstGeom prst="rect">
                      <a:avLst/>
                    </a:prstGeom>
                    <a:noFill/>
                    <a:ln>
                      <a:noFill/>
                    </a:ln>
                  </pic:spPr>
                </pic:pic>
              </a:graphicData>
            </a:graphic>
          </wp:inline>
        </w:drawing>
      </w:r>
    </w:p>
    <w:p>
      <w:pPr>
        <w:ind w:firstLine="420" w:firstLineChars="200"/>
        <w:jc w:val="center"/>
        <w:rPr>
          <w:rFonts w:hint="default"/>
          <w:color w:val="auto"/>
          <w:lang w:val="en-US" w:eastAsia="zh-CN"/>
        </w:rPr>
      </w:pPr>
      <w:r>
        <w:rPr>
          <w:rFonts w:hint="eastAsia"/>
          <w:color w:val="auto"/>
          <w:lang w:val="en-US" w:eastAsia="zh-CN"/>
        </w:rPr>
        <w:t>图10.1-1 人员通道闸示意图</w:t>
      </w:r>
    </w:p>
    <w:p>
      <w:pPr>
        <w:widowControl/>
        <w:snapToGrid w:val="0"/>
        <w:spacing w:beforeAutospacing="1" w:after="160" w:line="360" w:lineRule="auto"/>
        <w:ind w:firstLine="480" w:firstLineChars="200"/>
        <w:rPr>
          <w:rFonts w:ascii="Times New Roman" w:hAnsi="Times New Roman"/>
          <w:color w:val="auto"/>
          <w:sz w:val="24"/>
          <w:szCs w:val="24"/>
          <w:lang w:bidi="ar"/>
        </w:rPr>
      </w:pPr>
      <w:r>
        <w:rPr>
          <w:rFonts w:hint="eastAsia" w:cs="宋体"/>
          <w:color w:val="auto"/>
          <w:sz w:val="24"/>
          <w:szCs w:val="24"/>
          <w:lang w:bidi="ar"/>
        </w:rPr>
        <w:t>本系统的点位设计如下：</w:t>
      </w:r>
    </w:p>
    <w:tbl>
      <w:tblPr>
        <w:tblStyle w:val="57"/>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2648"/>
        <w:gridCol w:w="1484"/>
        <w:gridCol w:w="1649"/>
        <w:gridCol w:w="1625"/>
        <w:gridCol w:w="1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序号</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安装地点</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ascii="Times New Roman" w:hAnsi="Times New Roman" w:eastAsia="宋体"/>
                <w:color w:val="auto"/>
                <w:sz w:val="24"/>
                <w:szCs w:val="24"/>
                <w:lang w:val="en-US" w:eastAsia="zh-CN" w:bidi="ar"/>
              </w:rPr>
            </w:pPr>
            <w:r>
              <w:rPr>
                <w:rFonts w:hint="eastAsia" w:cs="宋体"/>
                <w:color w:val="auto"/>
                <w:sz w:val="24"/>
                <w:szCs w:val="24"/>
                <w:lang w:val="en-US" w:eastAsia="zh-CN" w:bidi="ar"/>
              </w:rPr>
              <w:t>单通道人员通道闸</w:t>
            </w: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cs="宋体"/>
                <w:color w:val="auto"/>
                <w:sz w:val="24"/>
                <w:szCs w:val="24"/>
                <w:lang w:bidi="ar"/>
              </w:rPr>
            </w:pPr>
            <w:r>
              <w:rPr>
                <w:rFonts w:hint="eastAsia" w:cs="宋体"/>
                <w:color w:val="auto"/>
                <w:sz w:val="24"/>
                <w:szCs w:val="24"/>
                <w:lang w:val="en-US" w:eastAsia="zh-CN" w:bidi="ar"/>
              </w:rPr>
              <w:t>双通道人员通道闸</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val="en-US" w:eastAsia="zh-CN" w:bidi="ar"/>
              </w:rPr>
              <w:t>三通道人员通道闸</w:t>
            </w: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eastAsia="宋体" w:cs="宋体"/>
                <w:color w:val="auto"/>
                <w:sz w:val="24"/>
                <w:szCs w:val="24"/>
                <w:lang w:val="en-US" w:eastAsia="zh-CN" w:bidi="ar"/>
              </w:rPr>
            </w:pPr>
            <w:r>
              <w:rPr>
                <w:rFonts w:hint="eastAsia" w:cs="宋体"/>
                <w:color w:val="auto"/>
                <w:sz w:val="24"/>
                <w:szCs w:val="24"/>
                <w:lang w:val="en-US" w:eastAsia="zh-CN" w:bidi="ar"/>
              </w:rPr>
              <w:t>人脸识别打卡机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1</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地下厂房主变廊道入口</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1</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2</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地下厂房主厂房入口</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1</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3</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开关站人行入口</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1</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ascii="Times New Roman" w:hAnsi="Times New Roman"/>
                <w:color w:val="auto"/>
                <w:sz w:val="24"/>
                <w:szCs w:val="24"/>
                <w:lang w:bidi="ar"/>
              </w:rPr>
              <w:t>4</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办公楼大堂大门</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1</w:t>
            </w: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5</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eastAsia="宋体" w:cs="宋体"/>
                <w:color w:val="auto"/>
                <w:sz w:val="24"/>
                <w:szCs w:val="24"/>
                <w:lang w:val="en-US" w:eastAsia="zh-CN" w:bidi="ar"/>
              </w:rPr>
            </w:pPr>
            <w:r>
              <w:rPr>
                <w:rFonts w:hint="eastAsia" w:cs="宋体"/>
                <w:color w:val="auto"/>
                <w:sz w:val="24"/>
                <w:szCs w:val="24"/>
                <w:lang w:val="en-US" w:eastAsia="zh-CN" w:bidi="ar"/>
              </w:rPr>
              <w:t>办公楼后门</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color w:val="auto"/>
                <w:sz w:val="24"/>
                <w:szCs w:val="24"/>
                <w:lang w:bidi="ar"/>
              </w:rPr>
            </w:pP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6</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eastAsia="宋体" w:cs="宋体"/>
                <w:color w:val="auto"/>
                <w:sz w:val="24"/>
                <w:szCs w:val="24"/>
                <w:lang w:val="en-US" w:eastAsia="zh-CN" w:bidi="ar"/>
              </w:rPr>
            </w:pPr>
            <w:r>
              <w:rPr>
                <w:rFonts w:hint="eastAsia" w:cs="宋体"/>
                <w:color w:val="auto"/>
                <w:sz w:val="24"/>
                <w:szCs w:val="24"/>
                <w:lang w:val="en-US" w:eastAsia="zh-CN" w:bidi="ar"/>
              </w:rPr>
              <w:t>办公楼东侧门</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color w:val="auto"/>
                <w:sz w:val="24"/>
                <w:szCs w:val="24"/>
                <w:lang w:bidi="ar"/>
              </w:rPr>
            </w:pP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7</w:t>
            </w:r>
          </w:p>
        </w:tc>
        <w:tc>
          <w:tcPr>
            <w:tcW w:w="1331"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eastAsia="宋体" w:cs="宋体"/>
                <w:color w:val="auto"/>
                <w:sz w:val="24"/>
                <w:szCs w:val="24"/>
                <w:lang w:val="en-US" w:eastAsia="zh-CN" w:bidi="ar"/>
              </w:rPr>
            </w:pPr>
            <w:r>
              <w:rPr>
                <w:rFonts w:hint="eastAsia" w:cs="宋体"/>
                <w:color w:val="auto"/>
                <w:sz w:val="24"/>
                <w:szCs w:val="24"/>
                <w:lang w:val="en-US" w:eastAsia="zh-CN" w:bidi="ar"/>
              </w:rPr>
              <w:t>办公楼西侧门</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color w:val="auto"/>
                <w:sz w:val="24"/>
                <w:szCs w:val="24"/>
                <w:lang w:bidi="ar"/>
              </w:rPr>
            </w:pP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eastAsia"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0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cs="宋体"/>
                <w:color w:val="auto"/>
                <w:sz w:val="24"/>
                <w:szCs w:val="24"/>
                <w:lang w:bidi="ar"/>
              </w:rPr>
              <w:t>合计</w:t>
            </w:r>
          </w:p>
        </w:tc>
        <w:tc>
          <w:tcPr>
            <w:tcW w:w="74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3</w:t>
            </w:r>
          </w:p>
        </w:tc>
        <w:tc>
          <w:tcPr>
            <w:tcW w:w="82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ascii="Times New Roman" w:hAnsi="Times New Roman"/>
                <w:color w:val="auto"/>
                <w:sz w:val="24"/>
                <w:szCs w:val="24"/>
                <w:lang w:val="en-US" w:bidi="ar"/>
              </w:rPr>
            </w:pPr>
            <w:r>
              <w:rPr>
                <w:rFonts w:hint="eastAsia" w:ascii="Times New Roman" w:hAnsi="Times New Roman"/>
                <w:color w:val="auto"/>
                <w:sz w:val="24"/>
                <w:szCs w:val="24"/>
                <w:lang w:val="en-US" w:eastAsia="zh-CN" w:bidi="ar"/>
              </w:rPr>
              <w:t>3</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ascii="Times New Roman" w:hAnsi="Times New Roman"/>
                <w:color w:val="auto"/>
                <w:sz w:val="24"/>
                <w:szCs w:val="24"/>
                <w:lang w:bidi="ar"/>
              </w:rPr>
            </w:pPr>
            <w:r>
              <w:rPr>
                <w:rFonts w:hint="eastAsia" w:ascii="Times New Roman" w:hAnsi="Times New Roman"/>
                <w:color w:val="auto"/>
                <w:sz w:val="24"/>
                <w:szCs w:val="24"/>
                <w:lang w:val="en-US" w:eastAsia="zh-CN" w:bidi="ar"/>
              </w:rPr>
              <w:t>1</w:t>
            </w:r>
          </w:p>
        </w:tc>
        <w:tc>
          <w:tcPr>
            <w:tcW w:w="90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0" w:line="360" w:lineRule="auto"/>
              <w:jc w:val="center"/>
              <w:rPr>
                <w:rFonts w:hint="default" w:ascii="Times New Roman" w:hAnsi="Times New Roman" w:eastAsia="宋体"/>
                <w:color w:val="auto"/>
                <w:sz w:val="24"/>
                <w:szCs w:val="24"/>
                <w:lang w:val="en-US" w:eastAsia="zh-CN" w:bidi="ar"/>
              </w:rPr>
            </w:pPr>
            <w:r>
              <w:rPr>
                <w:rFonts w:hint="eastAsia" w:ascii="Times New Roman" w:hAnsi="Times New Roman"/>
                <w:color w:val="auto"/>
                <w:sz w:val="24"/>
                <w:szCs w:val="24"/>
                <w:lang w:val="en-US" w:eastAsia="zh-CN" w:bidi="ar"/>
              </w:rPr>
              <w:t>12</w:t>
            </w:r>
          </w:p>
        </w:tc>
      </w:tr>
    </w:tbl>
    <w:p>
      <w:pPr>
        <w:jc w:val="center"/>
        <w:rPr>
          <w:color w:val="auto"/>
        </w:rPr>
      </w:pPr>
    </w:p>
    <w:p>
      <w:pPr>
        <w:keepNext/>
        <w:keepLines/>
        <w:widowControl/>
        <w:numPr>
          <w:ilvl w:val="1"/>
          <w:numId w:val="25"/>
        </w:numPr>
        <w:spacing w:line="416" w:lineRule="auto"/>
        <w:outlineLvl w:val="1"/>
        <w:rPr>
          <w:rFonts w:ascii="Times New Roman" w:hAnsi="Times New Roman"/>
          <w:b/>
          <w:bCs/>
          <w:color w:val="auto"/>
          <w:kern w:val="44"/>
          <w:sz w:val="24"/>
          <w:szCs w:val="24"/>
          <w:lang w:bidi="ar"/>
        </w:rPr>
      </w:pPr>
      <w:bookmarkStart w:id="3209" w:name="_Toc27452"/>
      <w:bookmarkStart w:id="3210" w:name="_Toc10597"/>
      <w:bookmarkStart w:id="3211" w:name="_Toc16916"/>
      <w:bookmarkStart w:id="3212" w:name="_Toc10960"/>
      <w:r>
        <w:rPr>
          <w:rFonts w:ascii="Times New Roman" w:hAnsi="Times New Roman"/>
          <w:b/>
          <w:bCs/>
          <w:color w:val="auto"/>
          <w:kern w:val="44"/>
          <w:sz w:val="24"/>
          <w:szCs w:val="24"/>
          <w:lang w:bidi="ar"/>
        </w:rPr>
        <w:t>系统设备要求</w:t>
      </w:r>
      <w:bookmarkEnd w:id="3209"/>
      <w:bookmarkEnd w:id="3210"/>
      <w:bookmarkEnd w:id="3211"/>
      <w:bookmarkEnd w:id="3212"/>
    </w:p>
    <w:p>
      <w:pPr>
        <w:keepNext/>
        <w:keepLines/>
        <w:widowControl/>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人员通道闸</w:t>
      </w:r>
      <w:r>
        <w:rPr>
          <w:rFonts w:hint="eastAsia" w:ascii="Times New Roman" w:hAnsi="Times New Roman"/>
          <w:b/>
          <w:bCs/>
          <w:color w:val="auto"/>
          <w:kern w:val="44"/>
          <w:sz w:val="24"/>
          <w:szCs w:val="24"/>
          <w:lang w:bidi="ar"/>
        </w:rPr>
        <w:t>（含</w:t>
      </w:r>
      <w:r>
        <w:rPr>
          <w:rFonts w:hint="eastAsia" w:ascii="Times New Roman" w:hAnsi="Times New Roman"/>
          <w:b/>
          <w:bCs/>
          <w:color w:val="auto"/>
          <w:kern w:val="44"/>
          <w:sz w:val="24"/>
          <w:szCs w:val="24"/>
          <w:lang w:val="en-US" w:eastAsia="zh-CN" w:bidi="ar"/>
        </w:rPr>
        <w:t>单通道、双通道、三通道人员通道闸</w:t>
      </w:r>
      <w:r>
        <w:rPr>
          <w:rFonts w:hint="eastAsia" w:ascii="Times New Roman" w:hAnsi="Times New Roman"/>
          <w:b/>
          <w:bCs/>
          <w:color w:val="auto"/>
          <w:kern w:val="44"/>
          <w:sz w:val="24"/>
          <w:szCs w:val="24"/>
          <w:lang w:bidi="ar"/>
        </w:rPr>
        <w:t>）</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ascii="Times New Roman" w:hAnsi="Times New Roman"/>
          <w:color w:val="auto"/>
          <w:sz w:val="24"/>
          <w:szCs w:val="24"/>
        </w:rPr>
        <w:t>推门式闸机</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机箱采用国标</w:t>
      </w:r>
      <w:r>
        <w:rPr>
          <w:rFonts w:ascii="Times New Roman" w:hAnsi="Times New Roman"/>
          <w:color w:val="auto"/>
          <w:sz w:val="24"/>
          <w:szCs w:val="24"/>
          <w:lang w:bidi="ar"/>
        </w:rPr>
        <w:t>304</w:t>
      </w:r>
      <w:r>
        <w:rPr>
          <w:rFonts w:hint="eastAsia" w:cs="宋体"/>
          <w:color w:val="auto"/>
          <w:sz w:val="24"/>
          <w:szCs w:val="24"/>
          <w:lang w:bidi="ar"/>
        </w:rPr>
        <w:t>不锈钢材质，机箱厚度</w:t>
      </w:r>
      <w:r>
        <w:rPr>
          <w:rFonts w:ascii="Times New Roman" w:hAnsi="Times New Roman"/>
          <w:color w:val="auto"/>
          <w:sz w:val="24"/>
          <w:szCs w:val="24"/>
          <w:lang w:bidi="ar"/>
        </w:rPr>
        <w:t>1.2mm</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w:t>
      </w:r>
      <w:r>
        <w:rPr>
          <w:rFonts w:ascii="Times New Roman" w:hAnsi="Times New Roman"/>
          <w:color w:val="auto"/>
          <w:sz w:val="24"/>
          <w:szCs w:val="24"/>
          <w:lang w:bidi="ar"/>
        </w:rPr>
        <w:t>12</w:t>
      </w:r>
      <w:r>
        <w:rPr>
          <w:rFonts w:hint="eastAsia" w:cs="宋体"/>
          <w:color w:val="auto"/>
          <w:sz w:val="24"/>
          <w:szCs w:val="24"/>
          <w:lang w:bidi="ar"/>
        </w:rPr>
        <w:t>对红外检测</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采用直流无刷伺服电机</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支持开门超时自动复位功能</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支持系统参数恢复默认功能</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支持声光报警提示，音量调节</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支持消防应急常开，报警信号输出功能</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支持机械防夹、红外防夹</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平均无故障使用次数（</w:t>
      </w:r>
      <w:r>
        <w:rPr>
          <w:rFonts w:ascii="Times New Roman" w:hAnsi="Times New Roman"/>
          <w:color w:val="auto"/>
          <w:sz w:val="24"/>
          <w:szCs w:val="24"/>
          <w:lang w:bidi="ar"/>
        </w:rPr>
        <w:t>MCBF</w:t>
      </w:r>
      <w:r>
        <w:rPr>
          <w:rFonts w:hint="eastAsia" w:cs="宋体"/>
          <w:color w:val="auto"/>
          <w:sz w:val="24"/>
          <w:szCs w:val="24"/>
          <w:lang w:bidi="ar"/>
        </w:rPr>
        <w:t>）大于</w:t>
      </w:r>
      <w:r>
        <w:rPr>
          <w:rFonts w:ascii="Times New Roman" w:hAnsi="Times New Roman"/>
          <w:color w:val="auto"/>
          <w:sz w:val="24"/>
          <w:szCs w:val="24"/>
          <w:lang w:bidi="ar"/>
        </w:rPr>
        <w:t>500</w:t>
      </w:r>
      <w:r>
        <w:rPr>
          <w:rFonts w:hint="eastAsia" w:cs="宋体"/>
          <w:color w:val="auto"/>
          <w:sz w:val="24"/>
          <w:szCs w:val="24"/>
          <w:lang w:bidi="ar"/>
        </w:rPr>
        <w:t>万次</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支持开关门速度、通行时间、延时关闸时间设置</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支持每天</w:t>
      </w:r>
      <w:r>
        <w:rPr>
          <w:rFonts w:ascii="Times New Roman" w:hAnsi="Times New Roman"/>
          <w:color w:val="auto"/>
          <w:sz w:val="24"/>
          <w:szCs w:val="24"/>
          <w:lang w:bidi="ar"/>
        </w:rPr>
        <w:t>100</w:t>
      </w:r>
      <w:r>
        <w:rPr>
          <w:rFonts w:hint="eastAsia" w:cs="宋体"/>
          <w:color w:val="auto"/>
          <w:sz w:val="24"/>
          <w:szCs w:val="24"/>
          <w:lang w:bidi="ar"/>
        </w:rPr>
        <w:t>个的常开</w:t>
      </w:r>
      <w:r>
        <w:rPr>
          <w:rFonts w:ascii="Times New Roman" w:hAnsi="Times New Roman"/>
          <w:color w:val="auto"/>
          <w:sz w:val="24"/>
          <w:szCs w:val="24"/>
          <w:lang w:bidi="ar"/>
        </w:rPr>
        <w:t>/</w:t>
      </w:r>
      <w:r>
        <w:rPr>
          <w:rFonts w:hint="eastAsia" w:cs="宋体"/>
          <w:color w:val="auto"/>
          <w:sz w:val="24"/>
          <w:szCs w:val="24"/>
          <w:lang w:bidi="ar"/>
        </w:rPr>
        <w:t>常闭管控，设置某时段通道为常开或常闭，方便管理，同时应支持按时间分时段管控门禁权限，支持不少于</w:t>
      </w:r>
      <w:r>
        <w:rPr>
          <w:rFonts w:ascii="Times New Roman" w:hAnsi="Times New Roman"/>
          <w:color w:val="auto"/>
          <w:sz w:val="24"/>
          <w:szCs w:val="24"/>
          <w:lang w:bidi="ar"/>
        </w:rPr>
        <w:t>100</w:t>
      </w:r>
      <w:r>
        <w:rPr>
          <w:rFonts w:hint="eastAsia" w:cs="宋体"/>
          <w:color w:val="auto"/>
          <w:sz w:val="24"/>
          <w:szCs w:val="24"/>
          <w:lang w:bidi="ar"/>
        </w:rPr>
        <w:t>个周计划、不少于</w:t>
      </w:r>
      <w:r>
        <w:rPr>
          <w:rFonts w:ascii="Times New Roman" w:hAnsi="Times New Roman"/>
          <w:color w:val="auto"/>
          <w:sz w:val="24"/>
          <w:szCs w:val="24"/>
          <w:lang w:bidi="ar"/>
        </w:rPr>
        <w:t>1000</w:t>
      </w:r>
      <w:r>
        <w:rPr>
          <w:rFonts w:hint="eastAsia" w:cs="宋体"/>
          <w:color w:val="auto"/>
          <w:sz w:val="24"/>
          <w:szCs w:val="24"/>
          <w:lang w:bidi="ar"/>
        </w:rPr>
        <w:t>个节假日、不少于</w:t>
      </w:r>
      <w:r>
        <w:rPr>
          <w:rFonts w:ascii="Times New Roman" w:hAnsi="Times New Roman"/>
          <w:color w:val="auto"/>
          <w:sz w:val="24"/>
          <w:szCs w:val="24"/>
          <w:lang w:bidi="ar"/>
        </w:rPr>
        <w:t>60</w:t>
      </w:r>
      <w:r>
        <w:rPr>
          <w:rFonts w:hint="eastAsia" w:cs="宋体"/>
          <w:color w:val="auto"/>
          <w:sz w:val="24"/>
          <w:szCs w:val="24"/>
          <w:lang w:bidi="ar"/>
        </w:rPr>
        <w:t>个假日组、不少于</w:t>
      </w:r>
      <w:r>
        <w:rPr>
          <w:rFonts w:ascii="Times New Roman" w:hAnsi="Times New Roman"/>
          <w:color w:val="auto"/>
          <w:sz w:val="24"/>
          <w:szCs w:val="24"/>
          <w:lang w:bidi="ar"/>
        </w:rPr>
        <w:t>200</w:t>
      </w:r>
      <w:r>
        <w:rPr>
          <w:rFonts w:hint="eastAsia" w:cs="宋体"/>
          <w:color w:val="auto"/>
          <w:sz w:val="24"/>
          <w:szCs w:val="24"/>
          <w:lang w:bidi="ar"/>
        </w:rPr>
        <w:t>个计划模板（提供公安部有效检测报告复印件加盖原厂公章或投标专用章）</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门翼开</w:t>
      </w:r>
      <w:r>
        <w:rPr>
          <w:rFonts w:ascii="Times New Roman" w:hAnsi="Times New Roman"/>
          <w:color w:val="auto"/>
          <w:sz w:val="24"/>
          <w:szCs w:val="24"/>
          <w:lang w:bidi="ar"/>
        </w:rPr>
        <w:t>/</w:t>
      </w:r>
      <w:r>
        <w:rPr>
          <w:rFonts w:hint="eastAsia" w:cs="宋体"/>
          <w:color w:val="auto"/>
          <w:sz w:val="24"/>
          <w:szCs w:val="24"/>
          <w:lang w:bidi="ar"/>
        </w:rPr>
        <w:t>关门速度</w:t>
      </w:r>
      <w:r>
        <w:rPr>
          <w:rFonts w:ascii="Times New Roman" w:hAnsi="Times New Roman"/>
          <w:color w:val="auto"/>
          <w:sz w:val="24"/>
          <w:szCs w:val="24"/>
          <w:lang w:bidi="ar"/>
        </w:rPr>
        <w:t>≥0.5s</w:t>
      </w:r>
      <w:r>
        <w:rPr>
          <w:rFonts w:hint="eastAsia" w:cs="宋体"/>
          <w:color w:val="auto"/>
          <w:sz w:val="24"/>
          <w:szCs w:val="24"/>
          <w:lang w:bidi="ar"/>
        </w:rPr>
        <w:t>可调（总计</w:t>
      </w:r>
      <w:r>
        <w:rPr>
          <w:rFonts w:ascii="Times New Roman" w:hAnsi="Times New Roman"/>
          <w:color w:val="auto"/>
          <w:sz w:val="24"/>
          <w:szCs w:val="24"/>
          <w:lang w:bidi="ar"/>
        </w:rPr>
        <w:t>16</w:t>
      </w:r>
      <w:r>
        <w:rPr>
          <w:rFonts w:hint="eastAsia" w:cs="宋体"/>
          <w:color w:val="auto"/>
          <w:sz w:val="24"/>
          <w:szCs w:val="24"/>
          <w:lang w:bidi="ar"/>
        </w:rPr>
        <w:t>个档位调节）（提供公安部有效检测报告复印件加盖原厂公章或投标专用章）</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支持二次开启、出入口记忆、断电开闸</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支持九种通行模式组合：授权通行、禁止通行、自由通行等组合；</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支持普通卡、来宾卡、胁迫卡、残疾人卡、巡更卡等多类型用户权限设置；（提供公安部有效检测报告复印件加盖原厂公章或投标专用章）</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支持人脸、指纹、二维码、</w:t>
      </w:r>
      <w:r>
        <w:rPr>
          <w:rFonts w:ascii="Times New Roman" w:hAnsi="Times New Roman"/>
          <w:color w:val="auto"/>
          <w:sz w:val="24"/>
          <w:szCs w:val="24"/>
          <w:lang w:bidi="ar"/>
        </w:rPr>
        <w:t>CPU</w:t>
      </w:r>
      <w:r>
        <w:rPr>
          <w:rFonts w:hint="eastAsia" w:cs="宋体"/>
          <w:color w:val="auto"/>
          <w:sz w:val="24"/>
          <w:szCs w:val="24"/>
          <w:lang w:bidi="ar"/>
        </w:rPr>
        <w:t>读卡器、身份证阅读模块等设备集成，实现多种认证方式组合应用</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支持非法闯入、尾随、反向闯入、滞留、异常开门、非法翻越、门翼故障、红外异常、通信异常声光报警等功能</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在未接收到开门信号情况下，门翼自动锁死。门翼支持防撞，被撞击后可以恢复正常。且默认恢复至正常状态，时间小于</w:t>
      </w:r>
      <w:r>
        <w:rPr>
          <w:rFonts w:ascii="Times New Roman" w:hAnsi="Times New Roman"/>
          <w:color w:val="auto"/>
          <w:sz w:val="24"/>
          <w:szCs w:val="24"/>
          <w:lang w:bidi="ar"/>
        </w:rPr>
        <w:t>3s</w:t>
      </w:r>
      <w:r>
        <w:rPr>
          <w:rFonts w:hint="eastAsia" w:cs="宋体"/>
          <w:color w:val="auto"/>
          <w:sz w:val="24"/>
          <w:szCs w:val="24"/>
          <w:lang w:bidi="ar"/>
        </w:rPr>
        <w:t>；（提供公安部有效检测报告复印件加盖原厂公章或投标专用章）</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闸机通道功能应满足单通道反潜回、多通道跨主机反潜回的功能，当检测到任意一种反潜回报警时，除了联动语音播报、指示灯等警示外，需同时上传对应的报警事件，有效防止非授权人员非法入侵。（提供公安部有效检测报告复印件加盖原厂公章或投标专用章）</w:t>
      </w:r>
    </w:p>
    <w:p>
      <w:pPr>
        <w:widowControl/>
        <w:numPr>
          <w:ilvl w:val="0"/>
          <w:numId w:val="124"/>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闸机支持安装人脸识别打卡机，含人脸识别打卡机安装支架。</w:t>
      </w:r>
    </w:p>
    <w:p>
      <w:pPr>
        <w:widowControl/>
        <w:numPr>
          <w:ilvl w:val="0"/>
          <w:numId w:val="124"/>
        </w:numPr>
        <w:autoSpaceDE w:val="0"/>
        <w:ind w:left="420" w:firstLine="480" w:firstLineChars="200"/>
        <w:jc w:val="left"/>
        <w:rPr>
          <w:rFonts w:hint="eastAsia" w:eastAsia="宋体" w:cs="宋体"/>
          <w:color w:val="auto"/>
          <w:sz w:val="24"/>
          <w:szCs w:val="24"/>
          <w:lang w:val="en-US" w:eastAsia="zh-CN" w:bidi="ar"/>
        </w:rPr>
      </w:pPr>
      <w:r>
        <w:rPr>
          <w:rFonts w:hint="eastAsia" w:cs="宋体"/>
          <w:color w:val="auto"/>
          <w:sz w:val="24"/>
          <w:szCs w:val="24"/>
          <w:lang w:val="en-US" w:eastAsia="zh-CN" w:bidi="ar"/>
        </w:rPr>
        <w:t>含配套门翼，门翼可根据现场实际情况裁剪。</w:t>
      </w:r>
    </w:p>
    <w:p>
      <w:pPr>
        <w:rPr>
          <w:color w:val="auto"/>
        </w:rPr>
      </w:pPr>
      <w:r>
        <w:rPr>
          <w:rFonts w:hint="eastAsia"/>
          <w:color w:val="auto"/>
          <w:lang w:bidi="ar"/>
        </w:rPr>
        <w:t xml:space="preserve"> </w:t>
      </w:r>
    </w:p>
    <w:p>
      <w:pPr>
        <w:keepNext/>
        <w:keepLines/>
        <w:widowControl/>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人脸识别</w:t>
      </w:r>
      <w:r>
        <w:rPr>
          <w:rFonts w:hint="eastAsia" w:ascii="Times New Roman" w:hAnsi="Times New Roman"/>
          <w:b/>
          <w:bCs/>
          <w:color w:val="auto"/>
          <w:kern w:val="44"/>
          <w:sz w:val="24"/>
          <w:szCs w:val="24"/>
          <w:lang w:bidi="ar"/>
        </w:rPr>
        <w:t>打卡机</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采用</w:t>
      </w:r>
      <w:r>
        <w:rPr>
          <w:rFonts w:ascii="Times New Roman" w:hAnsi="Times New Roman"/>
          <w:color w:val="auto"/>
          <w:sz w:val="24"/>
          <w:szCs w:val="24"/>
          <w:lang w:bidi="ar"/>
        </w:rPr>
        <w:t>10.1</w:t>
      </w:r>
      <w:r>
        <w:rPr>
          <w:rFonts w:hint="eastAsia" w:cs="宋体"/>
          <w:color w:val="auto"/>
          <w:sz w:val="24"/>
          <w:szCs w:val="24"/>
          <w:lang w:bidi="ar"/>
        </w:rPr>
        <w:t>寸</w:t>
      </w:r>
      <w:r>
        <w:rPr>
          <w:rFonts w:ascii="Times New Roman" w:hAnsi="Times New Roman"/>
          <w:color w:val="auto"/>
          <w:sz w:val="24"/>
          <w:szCs w:val="24"/>
          <w:lang w:bidi="ar"/>
        </w:rPr>
        <w:t>TFT</w:t>
      </w:r>
      <w:r>
        <w:rPr>
          <w:rFonts w:hint="eastAsia" w:cs="宋体"/>
          <w:color w:val="auto"/>
          <w:sz w:val="24"/>
          <w:szCs w:val="24"/>
          <w:lang w:bidi="ar"/>
        </w:rPr>
        <w:t>液晶屏，屏幕显示分辩率达到</w:t>
      </w:r>
      <w:r>
        <w:rPr>
          <w:rFonts w:ascii="Times New Roman" w:hAnsi="Times New Roman"/>
          <w:color w:val="auto"/>
          <w:sz w:val="24"/>
          <w:szCs w:val="24"/>
          <w:lang w:bidi="ar"/>
        </w:rPr>
        <w:t>1280×800</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摄像头采用</w:t>
      </w:r>
      <w:r>
        <w:rPr>
          <w:rFonts w:ascii="Times New Roman" w:hAnsi="Times New Roman"/>
          <w:color w:val="auto"/>
          <w:sz w:val="24"/>
          <w:szCs w:val="24"/>
          <w:lang w:bidi="ar"/>
        </w:rPr>
        <w:t>200</w:t>
      </w:r>
      <w:r>
        <w:rPr>
          <w:rFonts w:hint="eastAsia" w:cs="宋体"/>
          <w:color w:val="auto"/>
          <w:sz w:val="24"/>
          <w:szCs w:val="24"/>
          <w:lang w:bidi="ar"/>
        </w:rPr>
        <w:t>万</w:t>
      </w:r>
      <w:r>
        <w:rPr>
          <w:rFonts w:ascii="Times New Roman" w:hAnsi="Times New Roman"/>
          <w:color w:val="auto"/>
          <w:sz w:val="24"/>
          <w:szCs w:val="24"/>
          <w:lang w:bidi="ar"/>
        </w:rPr>
        <w:t>CMOS</w:t>
      </w:r>
      <w:r>
        <w:rPr>
          <w:rFonts w:hint="eastAsia" w:cs="宋体"/>
          <w:color w:val="auto"/>
          <w:sz w:val="24"/>
          <w:szCs w:val="24"/>
          <w:lang w:bidi="ar"/>
        </w:rPr>
        <w:t>，支持真实宽动态</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支持自动补光，可有效降低环境光污染</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支持数据断网运行，设备断网后，人脸、</w:t>
      </w:r>
      <w:r>
        <w:rPr>
          <w:rFonts w:ascii="Times New Roman" w:hAnsi="Times New Roman"/>
          <w:color w:val="auto"/>
          <w:sz w:val="24"/>
          <w:szCs w:val="24"/>
          <w:lang w:bidi="ar"/>
        </w:rPr>
        <w:t>IC</w:t>
      </w:r>
      <w:r>
        <w:rPr>
          <w:rFonts w:hint="eastAsia" w:cs="宋体"/>
          <w:color w:val="auto"/>
          <w:sz w:val="24"/>
          <w:szCs w:val="24"/>
          <w:lang w:bidi="ar"/>
        </w:rPr>
        <w:t>卡、身份证、二维码和密码等可进行脱机比对验证，设备运行不受影响（提供公安部有效检测报告复印件加盖原厂公章或投标专用章）</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w:t>
      </w:r>
      <w:r>
        <w:rPr>
          <w:rFonts w:ascii="Times New Roman" w:hAnsi="Times New Roman"/>
          <w:color w:val="auto"/>
          <w:sz w:val="24"/>
          <w:szCs w:val="24"/>
          <w:lang w:bidi="ar"/>
        </w:rPr>
        <w:t>10</w:t>
      </w:r>
      <w:r>
        <w:rPr>
          <w:rFonts w:hint="eastAsia" w:cs="宋体"/>
          <w:color w:val="auto"/>
          <w:sz w:val="24"/>
          <w:szCs w:val="24"/>
          <w:lang w:bidi="ar"/>
        </w:rPr>
        <w:t>万个用户、</w:t>
      </w:r>
      <w:r>
        <w:rPr>
          <w:rFonts w:ascii="Times New Roman" w:hAnsi="Times New Roman"/>
          <w:color w:val="auto"/>
          <w:sz w:val="24"/>
          <w:szCs w:val="24"/>
          <w:lang w:bidi="ar"/>
        </w:rPr>
        <w:t>10</w:t>
      </w:r>
      <w:r>
        <w:rPr>
          <w:rFonts w:hint="eastAsia" w:cs="宋体"/>
          <w:color w:val="auto"/>
          <w:sz w:val="24"/>
          <w:szCs w:val="24"/>
          <w:lang w:bidi="ar"/>
        </w:rPr>
        <w:t>万张人脸、</w:t>
      </w:r>
      <w:r>
        <w:rPr>
          <w:rFonts w:ascii="Times New Roman" w:hAnsi="Times New Roman"/>
          <w:color w:val="auto"/>
          <w:sz w:val="24"/>
          <w:szCs w:val="24"/>
          <w:lang w:bidi="ar"/>
        </w:rPr>
        <w:t>10</w:t>
      </w:r>
      <w:r>
        <w:rPr>
          <w:rFonts w:hint="eastAsia" w:cs="宋体"/>
          <w:color w:val="auto"/>
          <w:sz w:val="24"/>
          <w:szCs w:val="24"/>
          <w:lang w:bidi="ar"/>
        </w:rPr>
        <w:t>万张卡、</w:t>
      </w:r>
      <w:r>
        <w:rPr>
          <w:rFonts w:ascii="Times New Roman" w:hAnsi="Times New Roman"/>
          <w:color w:val="auto"/>
          <w:sz w:val="24"/>
          <w:szCs w:val="24"/>
          <w:lang w:bidi="ar"/>
        </w:rPr>
        <w:t>10</w:t>
      </w:r>
      <w:r>
        <w:rPr>
          <w:rFonts w:hint="eastAsia" w:cs="宋体"/>
          <w:color w:val="auto"/>
          <w:sz w:val="24"/>
          <w:szCs w:val="24"/>
          <w:lang w:bidi="ar"/>
        </w:rPr>
        <w:t>万个密码、</w:t>
      </w:r>
      <w:r>
        <w:rPr>
          <w:rFonts w:ascii="Times New Roman" w:hAnsi="Times New Roman"/>
          <w:color w:val="auto"/>
          <w:sz w:val="24"/>
          <w:szCs w:val="24"/>
          <w:lang w:bidi="ar"/>
        </w:rPr>
        <w:t>50</w:t>
      </w:r>
      <w:r>
        <w:rPr>
          <w:rFonts w:hint="eastAsia" w:cs="宋体"/>
          <w:color w:val="auto"/>
          <w:sz w:val="24"/>
          <w:szCs w:val="24"/>
          <w:lang w:bidi="ar"/>
        </w:rPr>
        <w:t>个管理员、</w:t>
      </w:r>
      <w:r>
        <w:rPr>
          <w:rFonts w:ascii="Times New Roman" w:hAnsi="Times New Roman"/>
          <w:color w:val="auto"/>
          <w:sz w:val="24"/>
          <w:szCs w:val="24"/>
          <w:lang w:bidi="ar"/>
        </w:rPr>
        <w:t>10</w:t>
      </w:r>
      <w:r>
        <w:rPr>
          <w:rFonts w:hint="eastAsia" w:cs="宋体"/>
          <w:color w:val="auto"/>
          <w:sz w:val="24"/>
          <w:szCs w:val="24"/>
          <w:lang w:bidi="ar"/>
        </w:rPr>
        <w:t>万条记录</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支持显示人脸框，并实时检测最大人脸，支持识别区域及人脸目标大小设置</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支持面部识别距离</w:t>
      </w:r>
      <w:r>
        <w:rPr>
          <w:rFonts w:ascii="Times New Roman" w:hAnsi="Times New Roman"/>
          <w:color w:val="auto"/>
          <w:sz w:val="24"/>
          <w:szCs w:val="24"/>
          <w:lang w:bidi="ar"/>
        </w:rPr>
        <w:t>0.3m-2.0m</w:t>
      </w:r>
      <w:r>
        <w:rPr>
          <w:rFonts w:hint="eastAsia" w:cs="宋体"/>
          <w:color w:val="auto"/>
          <w:sz w:val="24"/>
          <w:szCs w:val="24"/>
          <w:lang w:bidi="ar"/>
        </w:rPr>
        <w:t>；适应</w:t>
      </w:r>
      <w:r>
        <w:rPr>
          <w:rFonts w:ascii="Times New Roman" w:hAnsi="Times New Roman"/>
          <w:color w:val="auto"/>
          <w:sz w:val="24"/>
          <w:szCs w:val="24"/>
          <w:lang w:bidi="ar"/>
        </w:rPr>
        <w:t>0.9m</w:t>
      </w:r>
      <w:r>
        <w:rPr>
          <w:rFonts w:hint="eastAsia" w:cs="宋体"/>
          <w:color w:val="auto"/>
          <w:sz w:val="24"/>
          <w:szCs w:val="24"/>
          <w:lang w:bidi="ar"/>
        </w:rPr>
        <w:t>～</w:t>
      </w:r>
      <w:r>
        <w:rPr>
          <w:rFonts w:ascii="Times New Roman" w:hAnsi="Times New Roman"/>
          <w:color w:val="auto"/>
          <w:sz w:val="24"/>
          <w:szCs w:val="24"/>
          <w:lang w:bidi="ar"/>
        </w:rPr>
        <w:t>2.4m</w:t>
      </w:r>
      <w:r>
        <w:rPr>
          <w:rFonts w:hint="eastAsia" w:cs="宋体"/>
          <w:color w:val="auto"/>
          <w:sz w:val="24"/>
          <w:szCs w:val="24"/>
          <w:lang w:bidi="ar"/>
        </w:rPr>
        <w:t>身高范围（镜头安装高度</w:t>
      </w:r>
      <w:r>
        <w:rPr>
          <w:rFonts w:ascii="Times New Roman" w:hAnsi="Times New Roman"/>
          <w:color w:val="auto"/>
          <w:sz w:val="24"/>
          <w:szCs w:val="24"/>
          <w:lang w:bidi="ar"/>
        </w:rPr>
        <w:t>1.4</w:t>
      </w:r>
      <w:r>
        <w:rPr>
          <w:rFonts w:hint="eastAsia" w:cs="宋体"/>
          <w:color w:val="auto"/>
          <w:sz w:val="24"/>
          <w:szCs w:val="24"/>
          <w:lang w:bidi="ar"/>
        </w:rPr>
        <w:t>米）</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基于深度人脸识别算法，精准定位目标人脸</w:t>
      </w:r>
      <w:r>
        <w:rPr>
          <w:rFonts w:ascii="Times New Roman" w:hAnsi="Times New Roman"/>
          <w:color w:val="auto"/>
          <w:sz w:val="24"/>
          <w:szCs w:val="24"/>
          <w:lang w:bidi="ar"/>
        </w:rPr>
        <w:t>360</w:t>
      </w:r>
      <w:r>
        <w:rPr>
          <w:rFonts w:hint="eastAsia" w:cs="宋体"/>
          <w:color w:val="auto"/>
          <w:sz w:val="24"/>
          <w:szCs w:val="24"/>
          <w:lang w:bidi="ar"/>
        </w:rPr>
        <w:t>个以上关键点位置</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人脸识别速度</w:t>
      </w:r>
      <w:r>
        <w:rPr>
          <w:rFonts w:ascii="Times New Roman" w:hAnsi="Times New Roman"/>
          <w:color w:val="auto"/>
          <w:sz w:val="24"/>
          <w:szCs w:val="24"/>
          <w:lang w:bidi="ar"/>
        </w:rPr>
        <w:t>≤0.3s</w:t>
      </w:r>
      <w:r>
        <w:rPr>
          <w:rFonts w:hint="eastAsia" w:cs="宋体"/>
          <w:color w:val="auto"/>
          <w:sz w:val="24"/>
          <w:szCs w:val="24"/>
          <w:lang w:bidi="ar"/>
        </w:rPr>
        <w:t>，实现无感通行（提供公安部有效检测报告复印件加盖原厂公章或投标专用章）</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人脸识别通过率</w:t>
      </w:r>
      <w:r>
        <w:rPr>
          <w:rFonts w:ascii="Times New Roman" w:hAnsi="Times New Roman"/>
          <w:color w:val="auto"/>
          <w:sz w:val="24"/>
          <w:szCs w:val="24"/>
          <w:lang w:bidi="ar"/>
        </w:rPr>
        <w:t>99%</w:t>
      </w:r>
      <w:r>
        <w:rPr>
          <w:rFonts w:hint="eastAsia" w:cs="宋体"/>
          <w:color w:val="auto"/>
          <w:sz w:val="24"/>
          <w:szCs w:val="24"/>
          <w:lang w:bidi="ar"/>
        </w:rPr>
        <w:t>，误识别率</w:t>
      </w:r>
      <w:r>
        <w:rPr>
          <w:rFonts w:ascii="Times New Roman" w:hAnsi="Times New Roman"/>
          <w:color w:val="auto"/>
          <w:sz w:val="24"/>
          <w:szCs w:val="24"/>
          <w:lang w:bidi="ar"/>
        </w:rPr>
        <w:t>≤</w:t>
      </w:r>
      <w:r>
        <w:rPr>
          <w:rFonts w:hint="eastAsia" w:ascii="Times New Roman" w:hAnsi="Times New Roman"/>
          <w:color w:val="auto"/>
          <w:sz w:val="24"/>
          <w:szCs w:val="24"/>
          <w:lang w:val="en-US" w:eastAsia="zh-CN" w:bidi="ar"/>
        </w:rPr>
        <w:t>0.1</w:t>
      </w:r>
      <w:r>
        <w:rPr>
          <w:rFonts w:ascii="Times New Roman" w:hAnsi="Times New Roman"/>
          <w:color w:val="auto"/>
          <w:sz w:val="24"/>
          <w:szCs w:val="24"/>
          <w:lang w:bidi="ar"/>
        </w:rPr>
        <w:t>%</w:t>
      </w:r>
      <w:r>
        <w:rPr>
          <w:rFonts w:hint="eastAsia" w:cs="宋体"/>
          <w:color w:val="auto"/>
          <w:sz w:val="24"/>
          <w:szCs w:val="24"/>
          <w:lang w:bidi="ar"/>
        </w:rPr>
        <w:t>（提供公安部有效检测报告复印件加盖原厂公章或投标专用章）</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支持活体检测功能，支持手机照片、打印照片和视频防假</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支持逆光、顺光等强光场景的稳定识别，场景适应性更广</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支持门控安全模块扩展，防止暴力开门，提升通行安全</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支持多种比对结果呈现模式及多种语音提示信息，适应多种场景，有效保障用户隐私</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支持测温功能开启</w:t>
      </w:r>
      <w:r>
        <w:rPr>
          <w:rFonts w:ascii="Times New Roman" w:hAnsi="Times New Roman"/>
          <w:color w:val="auto"/>
          <w:sz w:val="24"/>
          <w:szCs w:val="24"/>
          <w:lang w:bidi="ar"/>
        </w:rPr>
        <w:t>/</w:t>
      </w:r>
      <w:r>
        <w:rPr>
          <w:rFonts w:hint="eastAsia" w:cs="宋体"/>
          <w:color w:val="auto"/>
          <w:sz w:val="24"/>
          <w:szCs w:val="24"/>
          <w:lang w:bidi="ar"/>
        </w:rPr>
        <w:t>关闭模式，测温范围</w:t>
      </w:r>
      <w:r>
        <w:rPr>
          <w:rFonts w:ascii="Times New Roman" w:hAnsi="Times New Roman"/>
          <w:color w:val="auto"/>
          <w:sz w:val="24"/>
          <w:szCs w:val="24"/>
          <w:lang w:bidi="ar"/>
        </w:rPr>
        <w:t>30℃</w:t>
      </w:r>
      <w:r>
        <w:rPr>
          <w:rFonts w:hint="eastAsia" w:cs="宋体"/>
          <w:color w:val="auto"/>
          <w:sz w:val="24"/>
          <w:szCs w:val="24"/>
          <w:lang w:bidi="ar"/>
        </w:rPr>
        <w:t>～</w:t>
      </w:r>
      <w:r>
        <w:rPr>
          <w:rFonts w:ascii="Times New Roman" w:hAnsi="Times New Roman"/>
          <w:color w:val="auto"/>
          <w:sz w:val="24"/>
          <w:szCs w:val="24"/>
          <w:lang w:bidi="ar"/>
        </w:rPr>
        <w:t>45℃</w:t>
      </w:r>
      <w:r>
        <w:rPr>
          <w:rFonts w:hint="eastAsia" w:cs="宋体"/>
          <w:color w:val="auto"/>
          <w:sz w:val="24"/>
          <w:szCs w:val="24"/>
          <w:lang w:bidi="ar"/>
        </w:rPr>
        <w:t>，测温距离</w:t>
      </w:r>
      <w:r>
        <w:rPr>
          <w:rFonts w:ascii="Times New Roman" w:hAnsi="Times New Roman"/>
          <w:color w:val="auto"/>
          <w:sz w:val="24"/>
          <w:szCs w:val="24"/>
          <w:lang w:bidi="ar"/>
        </w:rPr>
        <w:t>0.3m</w:t>
      </w:r>
      <w:r>
        <w:rPr>
          <w:rFonts w:hint="eastAsia" w:cs="宋体"/>
          <w:color w:val="auto"/>
          <w:sz w:val="24"/>
          <w:szCs w:val="24"/>
          <w:lang w:bidi="ar"/>
        </w:rPr>
        <w:t>～</w:t>
      </w:r>
      <w:r>
        <w:rPr>
          <w:rFonts w:ascii="Times New Roman" w:hAnsi="Times New Roman"/>
          <w:color w:val="auto"/>
          <w:sz w:val="24"/>
          <w:szCs w:val="24"/>
          <w:lang w:bidi="ar"/>
        </w:rPr>
        <w:t>0.7m</w:t>
      </w:r>
      <w:r>
        <w:rPr>
          <w:rFonts w:hint="eastAsia" w:cs="宋体"/>
          <w:color w:val="auto"/>
          <w:sz w:val="24"/>
          <w:szCs w:val="24"/>
          <w:lang w:bidi="ar"/>
        </w:rPr>
        <w:t>，测温误差</w:t>
      </w:r>
      <w:r>
        <w:rPr>
          <w:rFonts w:ascii="Times New Roman" w:hAnsi="Times New Roman"/>
          <w:color w:val="auto"/>
          <w:sz w:val="24"/>
          <w:szCs w:val="24"/>
          <w:lang w:bidi="ar"/>
        </w:rPr>
        <w:t>≤0.5℃</w:t>
      </w:r>
      <w:r>
        <w:rPr>
          <w:rFonts w:hint="eastAsia" w:cs="宋体"/>
          <w:color w:val="auto"/>
          <w:sz w:val="24"/>
          <w:szCs w:val="24"/>
          <w:lang w:bidi="ar"/>
        </w:rPr>
        <w:t>，测温精度</w:t>
      </w:r>
      <w:r>
        <w:rPr>
          <w:rFonts w:ascii="Times New Roman" w:hAnsi="Times New Roman"/>
          <w:color w:val="auto"/>
          <w:sz w:val="24"/>
          <w:szCs w:val="24"/>
          <w:lang w:bidi="ar"/>
        </w:rPr>
        <w:t>0.1℃</w:t>
      </w:r>
      <w:r>
        <w:rPr>
          <w:rFonts w:hint="eastAsia" w:cs="宋体"/>
          <w:color w:val="auto"/>
          <w:sz w:val="24"/>
          <w:szCs w:val="24"/>
          <w:lang w:bidi="ar"/>
        </w:rPr>
        <w:t>，实现高温异常事件告警</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支持未佩戴口罩检测模式，实现未佩戴口罩异常事件告警</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支持胁迫报警、防拆报警、闯入报警、门超时报警、非法卡超次报警</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支持来宾用户下发、巡逻用户下发、黑名单用户下发、</w:t>
      </w:r>
      <w:r>
        <w:rPr>
          <w:rFonts w:ascii="Times New Roman" w:hAnsi="Times New Roman"/>
          <w:color w:val="auto"/>
          <w:sz w:val="24"/>
          <w:szCs w:val="24"/>
          <w:lang w:bidi="ar"/>
        </w:rPr>
        <w:t>VIP</w:t>
      </w:r>
      <w:r>
        <w:rPr>
          <w:rFonts w:hint="eastAsia" w:cs="宋体"/>
          <w:color w:val="auto"/>
          <w:sz w:val="24"/>
          <w:szCs w:val="24"/>
          <w:lang w:bidi="ar"/>
        </w:rPr>
        <w:t>用户下发、普通用户下发、特殊用户下发</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支持多项高级门禁功能，包括以下几类：首用户开门、多人组合开门、远程验证、管理者密码（提供公安部有效检测报告复印件加盖原厂公章或投标专用章）</w:t>
      </w:r>
    </w:p>
    <w:p>
      <w:pPr>
        <w:widowControl/>
        <w:numPr>
          <w:ilvl w:val="0"/>
          <w:numId w:val="125"/>
        </w:numPr>
        <w:autoSpaceDE w:val="0"/>
        <w:spacing w:line="360" w:lineRule="auto"/>
        <w:ind w:left="420" w:firstLine="480" w:firstLineChars="200"/>
        <w:jc w:val="left"/>
        <w:rPr>
          <w:rFonts w:ascii="Times New Roman" w:hAnsi="Times New Roman"/>
          <w:color w:val="auto"/>
          <w:sz w:val="24"/>
          <w:szCs w:val="24"/>
        </w:rPr>
      </w:pPr>
      <w:r>
        <w:rPr>
          <w:rFonts w:hint="eastAsia" w:cs="宋体"/>
          <w:color w:val="auto"/>
          <w:sz w:val="24"/>
          <w:szCs w:val="24"/>
          <w:lang w:bidi="ar"/>
        </w:rPr>
        <w:t>支持可视对讲功能</w:t>
      </w:r>
    </w:p>
    <w:p>
      <w:pPr>
        <w:keepNext/>
        <w:keepLines/>
        <w:widowControl/>
        <w:numPr>
          <w:ilvl w:val="1"/>
          <w:numId w:val="25"/>
        </w:numPr>
        <w:spacing w:line="416" w:lineRule="auto"/>
        <w:outlineLvl w:val="1"/>
        <w:rPr>
          <w:rFonts w:cs="宋体"/>
          <w:b/>
          <w:bCs/>
          <w:color w:val="auto"/>
          <w:sz w:val="24"/>
          <w:szCs w:val="24"/>
          <w:lang w:bidi="ar"/>
        </w:rPr>
      </w:pPr>
      <w:bookmarkStart w:id="3213" w:name="_Toc16097"/>
      <w:bookmarkStart w:id="3214" w:name="_Toc12597"/>
      <w:bookmarkStart w:id="3215" w:name="_Toc24621"/>
      <w:bookmarkStart w:id="3216" w:name="_Toc15240"/>
      <w:r>
        <w:rPr>
          <w:rFonts w:hint="eastAsia" w:cs="宋体"/>
          <w:b/>
          <w:bCs/>
          <w:color w:val="auto"/>
          <w:sz w:val="24"/>
          <w:szCs w:val="24"/>
          <w:lang w:bidi="ar"/>
        </w:rPr>
        <w:t>系统功能</w:t>
      </w:r>
      <w:bookmarkEnd w:id="3213"/>
      <w:bookmarkEnd w:id="3214"/>
      <w:bookmarkEnd w:id="3215"/>
      <w:bookmarkEnd w:id="3216"/>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一般规定</w:t>
      </w:r>
    </w:p>
    <w:p>
      <w:pPr>
        <w:widowControl/>
        <w:spacing w:line="360" w:lineRule="auto"/>
        <w:ind w:firstLine="480" w:firstLineChars="200"/>
        <w:jc w:val="left"/>
        <w:rPr>
          <w:rFonts w:ascii="Times New Roman" w:hAnsi="Times New Roman"/>
          <w:color w:val="auto"/>
          <w:sz w:val="24"/>
          <w:szCs w:val="24"/>
        </w:rPr>
      </w:pPr>
      <w:r>
        <w:rPr>
          <w:rFonts w:hint="eastAsia" w:cs="宋体"/>
          <w:color w:val="auto"/>
          <w:sz w:val="24"/>
          <w:szCs w:val="24"/>
          <w:lang w:bidi="ar"/>
        </w:rPr>
        <w:t>系统应具有多级权限管理功能，采用分级密码管理机制。</w:t>
      </w:r>
    </w:p>
    <w:p>
      <w:pPr>
        <w:widowControl/>
        <w:spacing w:line="360" w:lineRule="auto"/>
        <w:ind w:firstLine="480" w:firstLineChars="200"/>
        <w:jc w:val="left"/>
        <w:rPr>
          <w:rFonts w:ascii="Times New Roman" w:hAnsi="Times New Roman"/>
          <w:color w:val="auto"/>
          <w:sz w:val="24"/>
          <w:szCs w:val="24"/>
        </w:rPr>
      </w:pPr>
      <w:r>
        <w:rPr>
          <w:rFonts w:hint="eastAsia" w:cs="宋体"/>
          <w:color w:val="auto"/>
          <w:sz w:val="24"/>
          <w:szCs w:val="24"/>
          <w:lang w:bidi="ar"/>
        </w:rPr>
        <w:t>系统应具有通行权限管理功能。</w:t>
      </w:r>
    </w:p>
    <w:p>
      <w:pPr>
        <w:widowControl/>
        <w:spacing w:line="360" w:lineRule="auto"/>
        <w:ind w:firstLine="480" w:firstLineChars="200"/>
        <w:jc w:val="left"/>
        <w:rPr>
          <w:rFonts w:ascii="Times New Roman" w:hAnsi="Times New Roman"/>
          <w:color w:val="auto"/>
          <w:sz w:val="24"/>
          <w:szCs w:val="24"/>
        </w:rPr>
      </w:pPr>
      <w:r>
        <w:rPr>
          <w:rFonts w:hint="eastAsia" w:cs="宋体"/>
          <w:color w:val="auto"/>
          <w:sz w:val="24"/>
          <w:szCs w:val="24"/>
          <w:lang w:bidi="ar"/>
        </w:rPr>
        <w:t>系统宜具有常开时段和区域首卡触发功能。</w:t>
      </w:r>
    </w:p>
    <w:p>
      <w:pPr>
        <w:widowControl/>
        <w:spacing w:line="360" w:lineRule="auto"/>
        <w:ind w:firstLine="480" w:firstLineChars="200"/>
        <w:jc w:val="left"/>
        <w:rPr>
          <w:rFonts w:ascii="Times New Roman" w:hAnsi="Times New Roman"/>
          <w:color w:val="auto"/>
          <w:sz w:val="24"/>
          <w:szCs w:val="24"/>
        </w:rPr>
      </w:pPr>
      <w:r>
        <w:rPr>
          <w:rFonts w:hint="eastAsia" w:cs="宋体"/>
          <w:color w:val="auto"/>
          <w:sz w:val="24"/>
          <w:szCs w:val="24"/>
          <w:lang w:bidi="ar"/>
        </w:rPr>
        <w:t>系统执行设备的全部操作应由管理和控制设备决策。</w:t>
      </w:r>
    </w:p>
    <w:p>
      <w:pPr>
        <w:widowControl/>
        <w:spacing w:line="360" w:lineRule="auto"/>
        <w:ind w:firstLine="480" w:firstLineChars="200"/>
        <w:jc w:val="left"/>
        <w:rPr>
          <w:rFonts w:ascii="Times New Roman" w:hAnsi="Times New Roman"/>
          <w:color w:val="auto"/>
          <w:sz w:val="24"/>
          <w:szCs w:val="24"/>
        </w:rPr>
      </w:pPr>
      <w:r>
        <w:rPr>
          <w:rFonts w:hint="eastAsia" w:cs="宋体"/>
          <w:color w:val="auto"/>
          <w:sz w:val="24"/>
          <w:szCs w:val="24"/>
          <w:lang w:bidi="ar"/>
        </w:rPr>
        <w:t>系统失电或接收到火灾报警信号时，系统闭锁装置的开闭状态应满足抽水蓄能电站的管理要求。</w:t>
      </w:r>
    </w:p>
    <w:p>
      <w:pPr>
        <w:widowControl/>
        <w:spacing w:line="360" w:lineRule="auto"/>
        <w:ind w:firstLine="482" w:firstLineChars="200"/>
        <w:jc w:val="left"/>
        <w:rPr>
          <w:rFonts w:ascii="Times New Roman" w:hAnsi="Times New Roman"/>
          <w:b/>
          <w:bCs/>
          <w:color w:val="auto"/>
          <w:sz w:val="24"/>
          <w:szCs w:val="24"/>
        </w:rPr>
      </w:pPr>
      <w:r>
        <w:rPr>
          <w:rFonts w:ascii="Times New Roman" w:hAnsi="Times New Roman"/>
          <w:b/>
          <w:bCs/>
          <w:color w:val="auto"/>
          <w:sz w:val="24"/>
          <w:szCs w:val="24"/>
          <w:lang w:bidi="ar"/>
        </w:rPr>
        <w:t>★</w:t>
      </w:r>
      <w:r>
        <w:rPr>
          <w:rFonts w:hint="eastAsia" w:cs="宋体"/>
          <w:b/>
          <w:bCs/>
          <w:color w:val="auto"/>
          <w:sz w:val="24"/>
          <w:szCs w:val="24"/>
          <w:lang w:val="en-US" w:eastAsia="zh-CN" w:bidi="ar"/>
        </w:rPr>
        <w:t>投标方提供的设备应</w:t>
      </w:r>
      <w:r>
        <w:rPr>
          <w:rFonts w:hint="eastAsia" w:cs="宋体"/>
          <w:b/>
          <w:bCs/>
          <w:color w:val="auto"/>
          <w:sz w:val="24"/>
          <w:szCs w:val="24"/>
          <w:lang w:bidi="ar"/>
        </w:rPr>
        <w:t>能接入南网储能公司统一门禁管理平台，提供可接入南网储能公司统一门禁管理平台</w:t>
      </w:r>
      <w:r>
        <w:rPr>
          <w:rFonts w:hint="eastAsia" w:cs="宋体"/>
          <w:b/>
          <w:bCs/>
          <w:color w:val="auto"/>
          <w:sz w:val="24"/>
          <w:szCs w:val="24"/>
          <w:lang w:val="en-US" w:eastAsia="zh-CN" w:bidi="ar"/>
        </w:rPr>
        <w:t>功能截图或</w:t>
      </w:r>
      <w:r>
        <w:rPr>
          <w:rFonts w:hint="eastAsia" w:cs="宋体"/>
          <w:b/>
          <w:bCs/>
          <w:color w:val="auto"/>
          <w:sz w:val="24"/>
          <w:szCs w:val="24"/>
          <w:lang w:bidi="ar"/>
        </w:rPr>
        <w:t>承诺函，若不提供则视为不满足本项技术要求。无法接入南网储能公司统一门禁管理平台</w:t>
      </w:r>
      <w:r>
        <w:rPr>
          <w:rFonts w:hint="eastAsia" w:cs="宋体"/>
          <w:b/>
          <w:bCs/>
          <w:color w:val="auto"/>
          <w:sz w:val="24"/>
          <w:szCs w:val="24"/>
          <w:lang w:val="en-US" w:eastAsia="zh-CN" w:bidi="ar"/>
        </w:rPr>
        <w:t>后续为满足项目接入要求</w:t>
      </w:r>
      <w:r>
        <w:rPr>
          <w:rFonts w:hint="eastAsia" w:cs="宋体"/>
          <w:b/>
          <w:bCs/>
          <w:color w:val="auto"/>
          <w:sz w:val="24"/>
          <w:szCs w:val="24"/>
          <w:lang w:bidi="ar"/>
        </w:rPr>
        <w:t>所产生的费用由投标方承担。</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卡片授权管理</w:t>
      </w:r>
    </w:p>
    <w:p>
      <w:pPr>
        <w:snapToGrid w:val="0"/>
        <w:spacing w:line="360" w:lineRule="auto"/>
        <w:ind w:firstLine="482" w:firstLineChars="200"/>
        <w:rPr>
          <w:rFonts w:ascii="Times New Roman" w:hAnsi="Times New Roman"/>
          <w:b/>
          <w:bCs/>
          <w:color w:val="auto"/>
          <w:sz w:val="24"/>
          <w:szCs w:val="24"/>
        </w:rPr>
      </w:pPr>
      <w:r>
        <w:rPr>
          <w:rFonts w:ascii="Times New Roman" w:hAnsi="Times New Roman"/>
          <w:b/>
          <w:bCs/>
          <w:color w:val="auto"/>
          <w:sz w:val="24"/>
          <w:szCs w:val="24"/>
          <w:lang w:bidi="ar"/>
        </w:rPr>
        <w:t>★</w:t>
      </w:r>
      <w:r>
        <w:rPr>
          <w:rFonts w:hint="eastAsia" w:cs="宋体"/>
          <w:b/>
          <w:bCs/>
          <w:color w:val="auto"/>
          <w:sz w:val="24"/>
          <w:szCs w:val="24"/>
          <w:lang w:bidi="ar"/>
        </w:rPr>
        <w:t>要求本项目采购设备可以兼容南网储能公司现有卡片，实现对卡片进行授权，并发送指令。</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通道管理</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系统应具有通行安全功能，宜具有防尾随检测功能。系统应能设置常开、常闭、刷卡通行三种通行方式。</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时段转换</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系统应具有时段转换功能。</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系统应支持不少于</w:t>
      </w:r>
      <w:r>
        <w:rPr>
          <w:rFonts w:ascii="Times New Roman" w:hAnsi="Times New Roman"/>
          <w:color w:val="auto"/>
          <w:sz w:val="24"/>
          <w:szCs w:val="24"/>
          <w:lang w:bidi="ar"/>
        </w:rPr>
        <w:t>24</w:t>
      </w:r>
      <w:r>
        <w:rPr>
          <w:rFonts w:hint="eastAsia" w:cs="宋体"/>
          <w:color w:val="auto"/>
          <w:sz w:val="24"/>
          <w:szCs w:val="24"/>
          <w:lang w:bidi="ar"/>
        </w:rPr>
        <w:t>个时间组的设置，设置模式可包括常开、常闭、刷卡、刷卡加密码。</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报警</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系统应具有报警功能，全部报警信息应在控制室实时显示，并可通过报警扩展模块输出。</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当出现强行开门、门长时间不关、通信中断、设备被拆、设备故障、用失效卡或失窃卡开门等情况时，系统应能发出报警信号或语音提示。</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信息记录与报表</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系统应对出入信息、操作信息、报警信息等进行记录和存储，并能形成报表。</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信息记录应包括时间、目标、位置、行为。时间信息应包含年、月、日、时、分、秒，</w:t>
      </w:r>
      <w:r>
        <w:rPr>
          <w:rFonts w:hint="eastAsia" w:cs="宋体"/>
          <w:color w:val="auto"/>
          <w:sz w:val="24"/>
          <w:szCs w:val="24"/>
          <w:lang w:val="en-US" w:eastAsia="zh-CN" w:bidi="ar"/>
        </w:rPr>
        <w:t>年份应采用四位数字表示（如2024）</w:t>
      </w:r>
      <w:r>
        <w:rPr>
          <w:rFonts w:hint="eastAsia" w:cs="宋体"/>
          <w:color w:val="auto"/>
          <w:sz w:val="24"/>
          <w:szCs w:val="24"/>
          <w:lang w:bidi="ar"/>
        </w:rPr>
        <w:t>。</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查询</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系统应能对出入信息、操作信息、报警信息等各种信息进行分类，并对资料的内容进行单一对象或域的查询。</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管理计算机应能查询持卡人的姓名、性别、年龄、照片、进出区域时间、进出次数等各项信息。</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联动</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系统应与火灾自动报警系统联动，并应符合现行国家标准《安全防范工程技术标准》</w:t>
      </w:r>
      <w:r>
        <w:rPr>
          <w:rFonts w:ascii="Times New Roman" w:hAnsi="Times New Roman"/>
          <w:color w:val="auto"/>
          <w:sz w:val="24"/>
          <w:szCs w:val="24"/>
          <w:lang w:bidi="ar"/>
        </w:rPr>
        <w:t>GB 50348</w:t>
      </w:r>
      <w:r>
        <w:rPr>
          <w:rFonts w:hint="eastAsia" w:cs="宋体"/>
          <w:color w:val="auto"/>
          <w:sz w:val="24"/>
          <w:szCs w:val="24"/>
          <w:lang w:bidi="ar"/>
        </w:rPr>
        <w:t>的有关规定。</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系统与火灾自动报警系统应采用硬接线联动方式。</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系统宜与视频监控系统联动，出现报警时应能自动向工业电视系统发送联动信息。</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系统宜与水淹厂房保护系统联动。</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潜回及防复刷</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系统宜具有防止同一张卡多次进入而无离开同一区域记录，或多次离开而无进入同一区域记录的功能。</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系统宜具有防止重复刷卡功能。</w:t>
      </w:r>
    </w:p>
    <w:p>
      <w:pPr>
        <w:numPr>
          <w:ilvl w:val="2"/>
          <w:numId w:val="25"/>
        </w:numPr>
        <w:adjustRightInd w:val="0"/>
        <w:snapToGrid w:val="0"/>
        <w:ind w:left="1389" w:hanging="969"/>
        <w:outlineLvl w:val="2"/>
        <w:rPr>
          <w:rFonts w:ascii="Times New Roman" w:hAnsi="Times New Roman"/>
          <w:b/>
          <w:bCs/>
          <w:color w:val="auto"/>
          <w:kern w:val="44"/>
          <w:sz w:val="24"/>
          <w:szCs w:val="24"/>
          <w:lang w:bidi="ar"/>
        </w:rPr>
      </w:pPr>
      <w:r>
        <w:rPr>
          <w:rFonts w:ascii="Times New Roman" w:hAnsi="Times New Roman"/>
          <w:b/>
          <w:bCs/>
          <w:color w:val="auto"/>
          <w:kern w:val="44"/>
          <w:sz w:val="24"/>
          <w:szCs w:val="24"/>
          <w:lang w:bidi="ar"/>
        </w:rPr>
        <w:t>生物信息核对</w:t>
      </w:r>
    </w:p>
    <w:p>
      <w:pPr>
        <w:snapToGrid w:val="0"/>
        <w:spacing w:line="360" w:lineRule="auto"/>
        <w:ind w:firstLine="480" w:firstLineChars="200"/>
        <w:rPr>
          <w:rFonts w:ascii="Times New Roman" w:hAnsi="Times New Roman"/>
          <w:color w:val="auto"/>
          <w:sz w:val="24"/>
          <w:szCs w:val="24"/>
        </w:rPr>
      </w:pPr>
      <w:r>
        <w:rPr>
          <w:rFonts w:hint="eastAsia" w:cs="宋体"/>
          <w:color w:val="auto"/>
          <w:sz w:val="24"/>
          <w:szCs w:val="24"/>
          <w:lang w:bidi="ar"/>
        </w:rPr>
        <w:t>系统可具有人脸图像核对功能。</w:t>
      </w:r>
    </w:p>
    <w:p>
      <w:pPr>
        <w:snapToGrid w:val="0"/>
        <w:spacing w:line="360" w:lineRule="auto"/>
        <w:ind w:firstLine="480" w:firstLineChars="200"/>
        <w:rPr>
          <w:color w:val="auto"/>
        </w:rPr>
      </w:pPr>
      <w:r>
        <w:rPr>
          <w:rFonts w:hint="eastAsia" w:cs="宋体"/>
          <w:color w:val="auto"/>
          <w:sz w:val="24"/>
          <w:szCs w:val="24"/>
          <w:lang w:bidi="ar"/>
        </w:rPr>
        <w:t>系统可具有指纹、掌纹、虹膜、指静脉、声音等核对功能。</w:t>
      </w:r>
      <w:r>
        <w:rPr>
          <w:rFonts w:hint="eastAsia"/>
          <w:color w:val="auto"/>
          <w:lang w:bidi="ar"/>
        </w:rPr>
        <w:t xml:space="preserve"> </w:t>
      </w:r>
    </w:p>
    <w:p>
      <w:pPr>
        <w:keepNext/>
        <w:keepLines/>
        <w:widowControl/>
        <w:numPr>
          <w:ilvl w:val="1"/>
          <w:numId w:val="25"/>
        </w:numPr>
        <w:spacing w:line="416" w:lineRule="auto"/>
        <w:outlineLvl w:val="1"/>
        <w:rPr>
          <w:rFonts w:ascii="Times New Roman" w:hAnsi="Times New Roman"/>
          <w:b/>
          <w:bCs/>
          <w:color w:val="auto"/>
          <w:kern w:val="44"/>
          <w:sz w:val="24"/>
          <w:szCs w:val="24"/>
          <w:lang w:bidi="ar"/>
        </w:rPr>
      </w:pPr>
      <w:bookmarkStart w:id="3217" w:name="_Toc7752"/>
      <w:bookmarkStart w:id="3218" w:name="_Toc127"/>
      <w:bookmarkStart w:id="3219" w:name="_Toc1469"/>
      <w:bookmarkStart w:id="3220" w:name="_Toc10313"/>
      <w:r>
        <w:rPr>
          <w:rFonts w:ascii="Times New Roman" w:hAnsi="Times New Roman"/>
          <w:b/>
          <w:bCs/>
          <w:color w:val="auto"/>
          <w:kern w:val="44"/>
          <w:sz w:val="24"/>
          <w:szCs w:val="24"/>
          <w:lang w:bidi="ar"/>
        </w:rPr>
        <w:t>系统控制要求</w:t>
      </w:r>
      <w:bookmarkEnd w:id="3217"/>
      <w:bookmarkEnd w:id="3218"/>
      <w:bookmarkEnd w:id="3219"/>
      <w:bookmarkEnd w:id="3220"/>
    </w:p>
    <w:p>
      <w:pPr>
        <w:widowControl/>
        <w:spacing w:line="360" w:lineRule="auto"/>
        <w:ind w:firstLine="480" w:firstLineChars="200"/>
        <w:jc w:val="left"/>
        <w:rPr>
          <w:rFonts w:ascii="Times New Roman" w:hAnsi="Times New Roman"/>
          <w:color w:val="auto"/>
          <w:sz w:val="24"/>
          <w:szCs w:val="24"/>
          <w:lang w:bidi="ar"/>
        </w:rPr>
      </w:pPr>
      <w:r>
        <w:rPr>
          <w:rFonts w:hint="eastAsia" w:cs="宋体"/>
          <w:color w:val="auto"/>
          <w:sz w:val="24"/>
          <w:szCs w:val="24"/>
          <w:lang w:bidi="ar"/>
        </w:rPr>
        <w:t>本系统作为单独的关键出入口控制系统包含关键出入口的摄像头以及人行闸机，接入南网储能公司统一门禁管理平台。在抽蓄电站本地，本系统的前端设备接入智能化网络系统。</w:t>
      </w:r>
    </w:p>
    <w:p>
      <w:pPr>
        <w:rPr>
          <w:rFonts w:ascii="Calibri" w:hAnsi="Calibri"/>
          <w:color w:val="auto"/>
          <w:szCs w:val="24"/>
        </w:rPr>
      </w:pPr>
      <w:r>
        <w:rPr>
          <w:rFonts w:hint="eastAsia" w:cs="宋体"/>
          <w:color w:val="auto"/>
          <w:sz w:val="24"/>
          <w:szCs w:val="24"/>
        </w:rPr>
        <w:t>本系统与门禁系统合用一台工作站，与工业电视及园区安防系统合用一套服务器，不另设工作站与服务器。</w:t>
      </w:r>
    </w:p>
    <w:p>
      <w:pPr>
        <w:pStyle w:val="3"/>
        <w:numPr>
          <w:ilvl w:val="0"/>
          <w:numId w:val="25"/>
        </w:numPr>
        <w:spacing w:line="360" w:lineRule="auto"/>
        <w:rPr>
          <w:rFonts w:ascii="Times New Roman" w:hAnsi="Times New Roman"/>
          <w:color w:val="auto"/>
          <w:sz w:val="24"/>
          <w:szCs w:val="24"/>
        </w:rPr>
      </w:pPr>
      <w:bookmarkStart w:id="3221" w:name="_Toc18946"/>
      <w:bookmarkStart w:id="3222" w:name="_Toc9475"/>
      <w:bookmarkStart w:id="3223" w:name="_Toc15324"/>
      <w:bookmarkStart w:id="3224" w:name="_Toc21406"/>
      <w:r>
        <w:rPr>
          <w:rFonts w:ascii="Times New Roman" w:hAnsi="Times New Roman"/>
          <w:color w:val="auto"/>
          <w:sz w:val="24"/>
          <w:szCs w:val="24"/>
        </w:rPr>
        <w:t>试验</w:t>
      </w:r>
      <w:bookmarkEnd w:id="3192"/>
      <w:bookmarkEnd w:id="3193"/>
      <w:bookmarkEnd w:id="3194"/>
      <w:bookmarkEnd w:id="3195"/>
      <w:bookmarkEnd w:id="3196"/>
      <w:bookmarkEnd w:id="3197"/>
      <w:bookmarkEnd w:id="3198"/>
      <w:bookmarkEnd w:id="3199"/>
      <w:bookmarkEnd w:id="3200"/>
      <w:bookmarkEnd w:id="3201"/>
      <w:bookmarkEnd w:id="3221"/>
      <w:bookmarkEnd w:id="3222"/>
      <w:bookmarkEnd w:id="3223"/>
      <w:bookmarkEnd w:id="3224"/>
    </w:p>
    <w:p>
      <w:pPr>
        <w:pStyle w:val="4"/>
        <w:numPr>
          <w:ilvl w:val="1"/>
          <w:numId w:val="25"/>
        </w:numPr>
        <w:spacing w:line="360" w:lineRule="auto"/>
        <w:rPr>
          <w:rFonts w:ascii="Times New Roman" w:hAnsi="Times New Roman"/>
          <w:b/>
          <w:bCs/>
          <w:color w:val="auto"/>
          <w:sz w:val="24"/>
          <w:szCs w:val="24"/>
        </w:rPr>
      </w:pPr>
      <w:bookmarkStart w:id="3225" w:name="_Toc30268"/>
      <w:bookmarkStart w:id="3226" w:name="_Toc9421"/>
      <w:bookmarkStart w:id="3227" w:name="_Toc16650"/>
      <w:bookmarkStart w:id="3228" w:name="_Toc29550"/>
      <w:bookmarkStart w:id="3229" w:name="_Toc4565"/>
      <w:bookmarkStart w:id="3230" w:name="_Toc3202"/>
      <w:bookmarkStart w:id="3231" w:name="_Toc4622"/>
      <w:bookmarkStart w:id="3232" w:name="_Toc22956"/>
      <w:bookmarkStart w:id="3233" w:name="_Toc32267"/>
      <w:bookmarkStart w:id="3234" w:name="_Toc19333"/>
      <w:bookmarkStart w:id="3235" w:name="_Toc8036"/>
      <w:bookmarkStart w:id="3236" w:name="_Toc14392"/>
      <w:bookmarkStart w:id="3237" w:name="_Toc11187"/>
      <w:bookmarkStart w:id="3238" w:name="_Toc30649"/>
      <w:r>
        <w:rPr>
          <w:rFonts w:ascii="Times New Roman" w:hAnsi="Times New Roman"/>
          <w:b/>
          <w:bCs/>
          <w:color w:val="auto"/>
          <w:sz w:val="24"/>
          <w:szCs w:val="24"/>
        </w:rPr>
        <w:t>概述</w:t>
      </w:r>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Start w:id="3239" w:name="_Toc21610080"/>
      <w:bookmarkEnd w:id="3239"/>
      <w:bookmarkStart w:id="3240" w:name="_Toc17661454"/>
      <w:bookmarkEnd w:id="3240"/>
      <w:bookmarkStart w:id="3241" w:name="_Toc21667757"/>
      <w:bookmarkEnd w:id="3241"/>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提供所投设备的型式试验报告。设备验收分为工厂验收、随工验收、阶段性（预）验收、竣工验收四个阶段，须完全通过招标方委托的测试单位及建设单位组织的验收测试后，方能认为本项目的设备验收合格。</w:t>
      </w:r>
    </w:p>
    <w:p>
      <w:pPr>
        <w:pStyle w:val="4"/>
        <w:numPr>
          <w:ilvl w:val="1"/>
          <w:numId w:val="25"/>
        </w:numPr>
        <w:spacing w:line="360" w:lineRule="auto"/>
        <w:rPr>
          <w:rFonts w:ascii="Times New Roman" w:hAnsi="Times New Roman"/>
          <w:b/>
          <w:bCs/>
          <w:color w:val="auto"/>
          <w:sz w:val="24"/>
          <w:szCs w:val="24"/>
        </w:rPr>
      </w:pPr>
      <w:bookmarkStart w:id="3242" w:name="_Toc5754"/>
      <w:bookmarkStart w:id="3243" w:name="_Toc18139"/>
      <w:bookmarkStart w:id="3244" w:name="_Toc18536"/>
      <w:bookmarkStart w:id="3245" w:name="_Toc26415"/>
      <w:bookmarkStart w:id="3246" w:name="_Toc23734"/>
      <w:bookmarkStart w:id="3247" w:name="_Toc13245"/>
      <w:bookmarkStart w:id="3248" w:name="_Toc16532"/>
      <w:bookmarkStart w:id="3249" w:name="_Toc29051"/>
      <w:bookmarkStart w:id="3250" w:name="_Toc20914"/>
      <w:bookmarkStart w:id="3251" w:name="_Toc12828"/>
      <w:bookmarkStart w:id="3252" w:name="_Toc4747"/>
      <w:bookmarkStart w:id="3253" w:name="_Toc19591"/>
      <w:bookmarkStart w:id="3254" w:name="_Toc27271"/>
      <w:bookmarkStart w:id="3255" w:name="_Toc23981"/>
      <w:bookmarkStart w:id="3256" w:name="_Toc22444"/>
      <w:r>
        <w:rPr>
          <w:rFonts w:ascii="Times New Roman" w:hAnsi="Times New Roman"/>
          <w:b/>
          <w:bCs/>
          <w:color w:val="auto"/>
          <w:sz w:val="24"/>
          <w:szCs w:val="24"/>
        </w:rPr>
        <w:t>工厂验收</w:t>
      </w:r>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工厂验收包括：厂验培训、单机技术指标抽查、系统功能及指标抽查。</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工厂验收应按照招标方确认的试验大纲进行，验收前应进行厂验培训，培训内容应包括工厂验收时需要测试的所有设备技术指标和系统功能。</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可采用抽查单机技术指标和搭建工程模拟系统检查系统功能及指标的方式进行。单个设备的试验可由投标方自行完成，并向招标方提交试验报告。全系统的试验必须由招标方在场见证。</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在工厂验收试验期间，投标方应提供所需的检验、维护、测量、试验和记录的设备。</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投标方需提供集中调试的场地，投标方提供的调试场地需充分考虑安全、电源、通风等条件，满足全网联调的需求。调试场地及相关费用、调试后的包装运输费用由投标方承担，投标方报价中需考虑此部分费用。</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投标方根据招标方的时间要求，将设备调试完成经招标方认可后，由投标方运送到用户现场安装。</w:t>
      </w:r>
    </w:p>
    <w:p>
      <w:pPr>
        <w:pStyle w:val="4"/>
        <w:numPr>
          <w:ilvl w:val="1"/>
          <w:numId w:val="25"/>
        </w:numPr>
        <w:spacing w:line="360" w:lineRule="auto"/>
        <w:rPr>
          <w:rFonts w:ascii="Times New Roman" w:hAnsi="Times New Roman"/>
          <w:b/>
          <w:bCs/>
          <w:color w:val="auto"/>
          <w:sz w:val="24"/>
          <w:szCs w:val="24"/>
        </w:rPr>
      </w:pPr>
      <w:bookmarkStart w:id="3257" w:name="_Toc26909"/>
      <w:bookmarkStart w:id="3258" w:name="_Toc5412"/>
      <w:bookmarkStart w:id="3259" w:name="_Toc12795"/>
      <w:bookmarkStart w:id="3260" w:name="_Toc21783"/>
      <w:bookmarkStart w:id="3261" w:name="_Toc5532"/>
      <w:bookmarkStart w:id="3262" w:name="_Toc27518"/>
      <w:bookmarkStart w:id="3263" w:name="_Toc28318"/>
      <w:bookmarkStart w:id="3264" w:name="_Toc13091"/>
      <w:bookmarkStart w:id="3265" w:name="_Toc21724"/>
      <w:bookmarkStart w:id="3266" w:name="_Toc15899"/>
      <w:bookmarkStart w:id="3267" w:name="_Toc31898"/>
      <w:bookmarkStart w:id="3268" w:name="_Toc17331"/>
      <w:bookmarkStart w:id="3269" w:name="_Toc10594"/>
      <w:bookmarkStart w:id="3270" w:name="_Toc5561"/>
      <w:bookmarkStart w:id="3271" w:name="_Toc11754"/>
      <w:r>
        <w:rPr>
          <w:rFonts w:ascii="Times New Roman" w:hAnsi="Times New Roman"/>
          <w:b/>
          <w:bCs/>
          <w:color w:val="auto"/>
          <w:sz w:val="24"/>
          <w:szCs w:val="24"/>
        </w:rPr>
        <w:t>随工验收</w:t>
      </w:r>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随工验收包括：设备开箱检查、设备安装质量检查、单机技术指标测试。验收应逐站、逐台、逐项进行。</w:t>
      </w:r>
    </w:p>
    <w:p>
      <w:pPr>
        <w:pStyle w:val="4"/>
        <w:numPr>
          <w:ilvl w:val="1"/>
          <w:numId w:val="25"/>
        </w:numPr>
        <w:spacing w:line="360" w:lineRule="auto"/>
        <w:rPr>
          <w:rFonts w:ascii="Times New Roman" w:hAnsi="Times New Roman"/>
          <w:b/>
          <w:bCs/>
          <w:color w:val="auto"/>
          <w:sz w:val="24"/>
          <w:szCs w:val="24"/>
        </w:rPr>
      </w:pPr>
      <w:bookmarkStart w:id="3272" w:name="_Toc21238"/>
      <w:bookmarkStart w:id="3273" w:name="_Toc18341"/>
      <w:bookmarkStart w:id="3274" w:name="_Toc16535"/>
      <w:bookmarkStart w:id="3275" w:name="_Toc13268"/>
      <w:bookmarkStart w:id="3276" w:name="_Toc23217"/>
      <w:bookmarkStart w:id="3277" w:name="_Toc15375"/>
      <w:bookmarkStart w:id="3278" w:name="_Toc4738"/>
      <w:bookmarkStart w:id="3279" w:name="_Toc11337"/>
      <w:bookmarkStart w:id="3280" w:name="_Toc3749"/>
      <w:bookmarkStart w:id="3281" w:name="_Toc20587"/>
      <w:bookmarkStart w:id="3282" w:name="_Toc15917"/>
      <w:bookmarkStart w:id="3283" w:name="_Toc31192"/>
      <w:bookmarkStart w:id="3284" w:name="_Toc32737"/>
      <w:bookmarkStart w:id="3285" w:name="_Toc13277"/>
      <w:bookmarkStart w:id="3286" w:name="_Toc30062"/>
      <w:r>
        <w:rPr>
          <w:rFonts w:ascii="Times New Roman" w:hAnsi="Times New Roman"/>
          <w:b/>
          <w:bCs/>
          <w:color w:val="auto"/>
          <w:sz w:val="24"/>
          <w:szCs w:val="24"/>
        </w:rPr>
        <w:t>阶段性（预）验收</w:t>
      </w:r>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阶段性（预）验收包括：系统功能检查、系统技术指标测试、检查工程文件的完整性和准确性。</w:t>
      </w:r>
    </w:p>
    <w:p>
      <w:pPr>
        <w:pStyle w:val="4"/>
        <w:numPr>
          <w:ilvl w:val="1"/>
          <w:numId w:val="25"/>
        </w:numPr>
        <w:spacing w:line="360" w:lineRule="auto"/>
        <w:rPr>
          <w:rFonts w:ascii="Times New Roman" w:hAnsi="Times New Roman"/>
          <w:b/>
          <w:bCs/>
          <w:color w:val="auto"/>
          <w:sz w:val="24"/>
          <w:szCs w:val="24"/>
        </w:rPr>
      </w:pPr>
      <w:bookmarkStart w:id="3287" w:name="_Toc8542"/>
      <w:bookmarkStart w:id="3288" w:name="_Toc23829"/>
      <w:bookmarkStart w:id="3289" w:name="_Toc1715"/>
      <w:bookmarkStart w:id="3290" w:name="_Toc3969"/>
      <w:bookmarkStart w:id="3291" w:name="_Toc14579"/>
      <w:bookmarkStart w:id="3292" w:name="_Toc10420"/>
      <w:bookmarkStart w:id="3293" w:name="_Toc18347"/>
      <w:bookmarkStart w:id="3294" w:name="_Toc2000"/>
      <w:bookmarkStart w:id="3295" w:name="_Toc9401"/>
      <w:bookmarkStart w:id="3296" w:name="_Toc5277"/>
      <w:bookmarkStart w:id="3297" w:name="_Toc32446"/>
      <w:bookmarkStart w:id="3298" w:name="_Toc15013"/>
      <w:bookmarkStart w:id="3299" w:name="_Toc3507"/>
      <w:bookmarkStart w:id="3300" w:name="_Toc3849"/>
      <w:bookmarkStart w:id="3301" w:name="_Toc11828"/>
      <w:r>
        <w:rPr>
          <w:rFonts w:ascii="Times New Roman" w:hAnsi="Times New Roman"/>
          <w:b/>
          <w:bCs/>
          <w:color w:val="auto"/>
          <w:sz w:val="24"/>
          <w:szCs w:val="24"/>
        </w:rPr>
        <w:t>竣工验收</w:t>
      </w:r>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竣工验收包括：系统主要功能抽查、重要技术指标抽测（复核）、工程文件移交。</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设备试验和验收的各阶段必须严格遵照中国南方电网相关标准执行。</w:t>
      </w:r>
    </w:p>
    <w:p>
      <w:pPr>
        <w:pStyle w:val="31"/>
        <w:numPr>
          <w:ilvl w:val="2"/>
          <w:numId w:val="25"/>
        </w:numPr>
        <w:snapToGrid w:val="0"/>
        <w:spacing w:after="0" w:line="360" w:lineRule="auto"/>
        <w:rPr>
          <w:rFonts w:hint="default" w:ascii="Times New Roman" w:hAnsi="Times New Roman"/>
          <w:color w:val="auto"/>
          <w:sz w:val="24"/>
          <w:szCs w:val="24"/>
        </w:rPr>
      </w:pPr>
      <w:r>
        <w:rPr>
          <w:rFonts w:hint="default" w:ascii="Times New Roman" w:hAnsi="Times New Roman"/>
          <w:color w:val="auto"/>
          <w:sz w:val="24"/>
          <w:szCs w:val="24"/>
        </w:rPr>
        <w:t>竣工验收时，需配合招标方编制验收方案并完成验收报告；工程文件移交时，需配合招标方进行电子化移交。</w:t>
      </w:r>
    </w:p>
    <w:p>
      <w:pPr>
        <w:pStyle w:val="3"/>
        <w:numPr>
          <w:ilvl w:val="0"/>
          <w:numId w:val="25"/>
        </w:numPr>
        <w:spacing w:line="360" w:lineRule="auto"/>
        <w:rPr>
          <w:rFonts w:ascii="Times New Roman" w:hAnsi="Times New Roman"/>
          <w:color w:val="auto"/>
          <w:sz w:val="24"/>
          <w:szCs w:val="24"/>
        </w:rPr>
      </w:pPr>
      <w:bookmarkStart w:id="3302" w:name="_Toc9851"/>
      <w:bookmarkStart w:id="3303" w:name="_Toc12448"/>
      <w:bookmarkStart w:id="3304" w:name="_Toc15073"/>
      <w:bookmarkStart w:id="3305" w:name="_Toc23176"/>
      <w:bookmarkStart w:id="3306" w:name="_Toc19180"/>
      <w:bookmarkStart w:id="3307" w:name="_Toc14750"/>
      <w:bookmarkStart w:id="3308" w:name="_Toc22189"/>
      <w:bookmarkStart w:id="3309" w:name="_Toc1468"/>
      <w:bookmarkStart w:id="3310" w:name="_Toc13349"/>
      <w:bookmarkStart w:id="3311" w:name="_Toc2833"/>
      <w:bookmarkStart w:id="3312" w:name="_Toc26319"/>
      <w:bookmarkStart w:id="3313" w:name="_Toc20020"/>
      <w:bookmarkStart w:id="3314" w:name="_Toc31121"/>
      <w:bookmarkStart w:id="3315" w:name="_Toc5375"/>
      <w:bookmarkStart w:id="3316" w:name="_Toc2327"/>
      <w:bookmarkStart w:id="3317" w:name="_Toc3404"/>
      <w:r>
        <w:rPr>
          <w:rFonts w:ascii="Times New Roman" w:hAnsi="Times New Roman"/>
          <w:color w:val="auto"/>
          <w:sz w:val="24"/>
          <w:szCs w:val="24"/>
        </w:rPr>
        <w:t>企业VI标识</w:t>
      </w:r>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p>
    <w:p>
      <w:pPr>
        <w:pStyle w:val="4"/>
        <w:numPr>
          <w:ilvl w:val="1"/>
          <w:numId w:val="25"/>
        </w:numPr>
        <w:spacing w:line="360" w:lineRule="auto"/>
        <w:rPr>
          <w:rFonts w:ascii="Times New Roman" w:hAnsi="Times New Roman"/>
          <w:b/>
          <w:bCs/>
          <w:color w:val="auto"/>
          <w:sz w:val="24"/>
          <w:szCs w:val="24"/>
        </w:rPr>
      </w:pPr>
      <w:bookmarkStart w:id="3318" w:name="_Toc611"/>
      <w:bookmarkStart w:id="3319" w:name="_Toc28963"/>
      <w:bookmarkStart w:id="3320" w:name="_Toc15601"/>
      <w:bookmarkStart w:id="3321" w:name="_Toc384341026"/>
      <w:bookmarkStart w:id="3322" w:name="_Toc6120"/>
      <w:bookmarkStart w:id="3323" w:name="_Toc28053"/>
      <w:bookmarkStart w:id="3324" w:name="_Toc13102"/>
      <w:bookmarkStart w:id="3325" w:name="_Toc17173"/>
      <w:bookmarkStart w:id="3326" w:name="_Toc32588"/>
      <w:bookmarkStart w:id="3327" w:name="_Toc21689"/>
      <w:bookmarkStart w:id="3328" w:name="_Toc5459"/>
      <w:bookmarkStart w:id="3329" w:name="_Toc28568"/>
      <w:bookmarkStart w:id="3330" w:name="_Toc23156"/>
      <w:bookmarkStart w:id="3331" w:name="_Toc25111"/>
      <w:bookmarkStart w:id="3332" w:name="_Toc282993356"/>
      <w:bookmarkStart w:id="3333" w:name="_Toc5555"/>
      <w:bookmarkStart w:id="3334" w:name="_Toc17296"/>
      <w:r>
        <w:rPr>
          <w:rFonts w:ascii="Times New Roman" w:hAnsi="Times New Roman"/>
          <w:b/>
          <w:bCs/>
          <w:color w:val="auto"/>
          <w:sz w:val="24"/>
          <w:szCs w:val="24"/>
        </w:rPr>
        <w:t>VI标识</w:t>
      </w:r>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p>
    <w:p>
      <w:pPr>
        <w:pStyle w:val="31"/>
        <w:snapToGrid w:val="0"/>
        <w:spacing w:after="0" w:line="360" w:lineRule="auto"/>
        <w:ind w:firstLine="480" w:firstLineChars="200"/>
        <w:rPr>
          <w:rFonts w:hint="default" w:ascii="Times New Roman" w:hAnsi="Times New Roman"/>
          <w:color w:val="auto"/>
          <w:sz w:val="24"/>
          <w:szCs w:val="24"/>
        </w:rPr>
      </w:pPr>
      <w:bookmarkStart w:id="3335" w:name="_Toc277686859"/>
      <w:bookmarkStart w:id="3336" w:name="_Toc277255901"/>
      <w:r>
        <w:rPr>
          <w:rFonts w:hint="default" w:ascii="Times New Roman" w:hAnsi="Times New Roman"/>
          <w:color w:val="auto"/>
          <w:sz w:val="24"/>
          <w:szCs w:val="24"/>
        </w:rPr>
        <w:t>设备机柜外立面上应有统一的南方电网公司企业VI标识，并符合《中国南方电网视觉识别系统管理手册》的要求。</w:t>
      </w:r>
      <w:bookmarkEnd w:id="3335"/>
      <w:bookmarkEnd w:id="3336"/>
    </w:p>
    <w:p>
      <w:pPr>
        <w:pStyle w:val="31"/>
        <w:snapToGrid w:val="0"/>
        <w:spacing w:after="0" w:line="360" w:lineRule="auto"/>
        <w:ind w:firstLine="480" w:firstLineChars="200"/>
        <w:rPr>
          <w:rFonts w:hint="default" w:ascii="Times New Roman" w:hAnsi="Times New Roman"/>
          <w:color w:val="auto"/>
          <w:sz w:val="24"/>
          <w:szCs w:val="24"/>
        </w:rPr>
      </w:pPr>
      <w:bookmarkStart w:id="3337" w:name="_Toc277686860"/>
      <w:bookmarkStart w:id="3338" w:name="_Toc277255903"/>
      <w:bookmarkStart w:id="3339" w:name="_Toc277686861"/>
      <w:r>
        <w:rPr>
          <w:rFonts w:hint="default" w:ascii="Times New Roman" w:hAnsi="Times New Roman"/>
          <w:color w:val="auto"/>
          <w:sz w:val="24"/>
          <w:szCs w:val="24"/>
        </w:rPr>
        <w:t>标识的内容构成：中国南方电网标志、“中国南方电网”中英文名称。</w:t>
      </w:r>
      <w:bookmarkEnd w:id="3337"/>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颜色：标识采用企业标准色C100 M69 Y0 K38，背景采用白色。</w:t>
      </w:r>
      <w:bookmarkEnd w:id="3338"/>
      <w:bookmarkEnd w:id="3339"/>
    </w:p>
    <w:p>
      <w:pPr>
        <w:pStyle w:val="31"/>
        <w:snapToGrid w:val="0"/>
        <w:spacing w:after="0" w:line="360" w:lineRule="auto"/>
        <w:ind w:firstLine="480" w:firstLineChars="200"/>
        <w:rPr>
          <w:rFonts w:hint="default" w:ascii="Times New Roman" w:hAnsi="Times New Roman"/>
          <w:color w:val="auto"/>
          <w:sz w:val="24"/>
          <w:szCs w:val="24"/>
        </w:rPr>
      </w:pPr>
      <w:bookmarkStart w:id="3340" w:name="_Toc277255904"/>
      <w:bookmarkStart w:id="3341" w:name="_Toc277686862"/>
      <w:r>
        <w:rPr>
          <w:rFonts w:hint="default" w:ascii="Times New Roman" w:hAnsi="Times New Roman"/>
          <w:color w:val="auto"/>
          <w:sz w:val="24"/>
          <w:szCs w:val="24"/>
        </w:rPr>
        <w:t>材质选用厚度为3mm的拉丝不锈钢板，工艺为表面文字蚀刻、烤漆入色。</w:t>
      </w:r>
      <w:bookmarkEnd w:id="3340"/>
      <w:bookmarkEnd w:id="3341"/>
    </w:p>
    <w:p>
      <w:pPr>
        <w:pStyle w:val="31"/>
        <w:snapToGrid w:val="0"/>
        <w:spacing w:after="0" w:line="360" w:lineRule="auto"/>
        <w:ind w:firstLine="480" w:firstLineChars="200"/>
        <w:rPr>
          <w:rFonts w:hint="default" w:ascii="Times New Roman" w:hAnsi="Times New Roman"/>
          <w:color w:val="auto"/>
          <w:sz w:val="24"/>
          <w:szCs w:val="24"/>
        </w:rPr>
      </w:pPr>
      <w:bookmarkStart w:id="3342" w:name="_Toc277686863"/>
      <w:r>
        <w:rPr>
          <w:rFonts w:hint="default" w:ascii="Times New Roman" w:hAnsi="Times New Roman"/>
          <w:color w:val="auto"/>
          <w:sz w:val="24"/>
          <w:szCs w:val="24"/>
        </w:rPr>
        <w:t>企业标识安装在设备机柜外立面正面醒目位置。</w:t>
      </w:r>
      <w:bookmarkEnd w:id="3342"/>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4787265" cy="6971665"/>
            <wp:effectExtent l="0" t="0" r="13335" b="635"/>
            <wp:docPr id="2" name="图片 1" descr="-A09-1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09-1L"/>
                    <pic:cNvPicPr>
                      <a:picLocks noChangeAspect="1"/>
                    </pic:cNvPicPr>
                  </pic:nvPicPr>
                  <pic:blipFill>
                    <a:blip r:embed="rId46"/>
                    <a:srcRect l="3957" t="4195" r="8983" b="5147"/>
                    <a:stretch>
                      <a:fillRect/>
                    </a:stretch>
                  </pic:blipFill>
                  <pic:spPr>
                    <a:xfrm>
                      <a:off x="0" y="0"/>
                      <a:ext cx="4787265" cy="6971665"/>
                    </a:xfrm>
                    <a:prstGeom prst="rect">
                      <a:avLst/>
                    </a:prstGeom>
                    <a:noFill/>
                    <a:ln>
                      <a:noFill/>
                    </a:ln>
                  </pic:spPr>
                </pic:pic>
              </a:graphicData>
            </a:graphic>
          </wp:inline>
        </w:drawing>
      </w:r>
    </w:p>
    <w:p>
      <w:pPr>
        <w:pStyle w:val="84"/>
        <w:spacing w:beforeLines="0" w:afterLines="0" w:line="360" w:lineRule="auto"/>
        <w:ind w:left="0" w:firstLine="480" w:firstLineChars="200"/>
        <w:rPr>
          <w:rFonts w:ascii="Times New Roman" w:eastAsia="宋体" w:cs="Times New Roman"/>
          <w:color w:val="auto"/>
          <w:sz w:val="24"/>
          <w:szCs w:val="24"/>
        </w:rPr>
      </w:pPr>
      <w:bookmarkStart w:id="3343" w:name="_Toc282993357"/>
      <w:bookmarkStart w:id="3344" w:name="_Toc384341027"/>
      <w:r>
        <w:rPr>
          <w:rFonts w:ascii="Times New Roman" w:eastAsia="宋体" w:cs="Times New Roman"/>
          <w:color w:val="auto"/>
          <w:sz w:val="24"/>
          <w:szCs w:val="24"/>
        </w:rPr>
        <w:t>VI标识示意图</w:t>
      </w:r>
    </w:p>
    <w:p>
      <w:pPr>
        <w:pStyle w:val="4"/>
        <w:numPr>
          <w:ilvl w:val="1"/>
          <w:numId w:val="25"/>
        </w:numPr>
        <w:spacing w:line="360" w:lineRule="auto"/>
        <w:rPr>
          <w:rFonts w:ascii="Times New Roman" w:hAnsi="Times New Roman"/>
          <w:b/>
          <w:bCs/>
          <w:color w:val="auto"/>
          <w:sz w:val="24"/>
          <w:szCs w:val="24"/>
        </w:rPr>
      </w:pPr>
      <w:bookmarkStart w:id="3345" w:name="_Toc9970"/>
      <w:bookmarkStart w:id="3346" w:name="_Toc15778"/>
      <w:bookmarkStart w:id="3347" w:name="_Toc2669"/>
      <w:bookmarkStart w:id="3348" w:name="_Toc7869"/>
      <w:bookmarkStart w:id="3349" w:name="_Toc10990"/>
      <w:bookmarkStart w:id="3350" w:name="_Toc5079"/>
      <w:bookmarkStart w:id="3351" w:name="_Toc25553"/>
      <w:bookmarkStart w:id="3352" w:name="_Toc5323"/>
      <w:bookmarkStart w:id="3353" w:name="_Toc24955"/>
      <w:bookmarkStart w:id="3354" w:name="_Toc3325"/>
      <w:bookmarkStart w:id="3355" w:name="_Toc3582"/>
      <w:bookmarkStart w:id="3356" w:name="_Toc3666"/>
      <w:bookmarkStart w:id="3357" w:name="_Toc11912"/>
      <w:bookmarkStart w:id="3358" w:name="_Toc10010"/>
      <w:bookmarkStart w:id="3359" w:name="_Toc10050"/>
      <w:r>
        <w:rPr>
          <w:rFonts w:ascii="Times New Roman" w:hAnsi="Times New Roman"/>
          <w:b/>
          <w:bCs/>
          <w:color w:val="auto"/>
          <w:sz w:val="24"/>
          <w:szCs w:val="24"/>
        </w:rPr>
        <w:t>标识地点</w:t>
      </w:r>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标识地点：与厂家名称标识相邻。</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厂家名称与南网标示并排安装于设备机柜正面。两者标识牌大小相当。南网标识牌材质与厂家名称标识牌材质保持一致。南网标识牌的图案、色泽、造型按南方电网公司视觉识别系统管理手册2006修订版中要求，按所需比例修正。</w:t>
      </w:r>
    </w:p>
    <w:p>
      <w:pPr>
        <w:pStyle w:val="3"/>
        <w:numPr>
          <w:ilvl w:val="0"/>
          <w:numId w:val="25"/>
        </w:numPr>
        <w:spacing w:line="360" w:lineRule="auto"/>
        <w:rPr>
          <w:rFonts w:ascii="Times New Roman" w:hAnsi="Times New Roman"/>
          <w:color w:val="auto"/>
          <w:sz w:val="24"/>
          <w:szCs w:val="24"/>
        </w:rPr>
      </w:pPr>
      <w:bookmarkStart w:id="3360" w:name="_Toc3247"/>
      <w:bookmarkStart w:id="3361" w:name="_Toc24889"/>
      <w:bookmarkStart w:id="3362" w:name="_Toc366"/>
      <w:bookmarkStart w:id="3363" w:name="_Toc553"/>
      <w:bookmarkStart w:id="3364" w:name="_Toc862"/>
      <w:bookmarkStart w:id="3365" w:name="_Toc18976"/>
      <w:bookmarkStart w:id="3366" w:name="_Toc4694"/>
      <w:bookmarkStart w:id="3367" w:name="_Toc3468"/>
      <w:bookmarkStart w:id="3368" w:name="_Toc24951"/>
      <w:bookmarkStart w:id="3369" w:name="_Toc30136"/>
      <w:bookmarkStart w:id="3370" w:name="_Toc23971"/>
      <w:bookmarkStart w:id="3371" w:name="_Toc28816"/>
      <w:bookmarkStart w:id="3372" w:name="_Toc19170"/>
      <w:bookmarkStart w:id="3373" w:name="_Toc1091"/>
      <w:r>
        <w:rPr>
          <w:rFonts w:ascii="Times New Roman" w:hAnsi="Times New Roman"/>
          <w:color w:val="auto"/>
          <w:sz w:val="24"/>
          <w:szCs w:val="24"/>
        </w:rPr>
        <w:t>电气及土建接口要求</w:t>
      </w:r>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无</w:t>
      </w:r>
    </w:p>
    <w:p>
      <w:pPr>
        <w:pStyle w:val="3"/>
        <w:numPr>
          <w:ilvl w:val="0"/>
          <w:numId w:val="25"/>
        </w:numPr>
        <w:spacing w:line="360" w:lineRule="auto"/>
        <w:rPr>
          <w:rFonts w:ascii="Times New Roman" w:hAnsi="Times New Roman"/>
          <w:color w:val="auto"/>
          <w:sz w:val="24"/>
          <w:szCs w:val="24"/>
        </w:rPr>
      </w:pPr>
      <w:bookmarkStart w:id="3374" w:name="_Toc3465"/>
      <w:bookmarkStart w:id="3375" w:name="_Toc25274"/>
      <w:bookmarkStart w:id="3376" w:name="_Toc3231"/>
      <w:bookmarkStart w:id="3377" w:name="_Toc30861"/>
      <w:bookmarkStart w:id="3378" w:name="_Toc19078"/>
      <w:bookmarkStart w:id="3379" w:name="_Toc19722"/>
      <w:bookmarkStart w:id="3380" w:name="_Toc4645"/>
      <w:bookmarkStart w:id="3381" w:name="_Toc8552"/>
      <w:bookmarkStart w:id="3382" w:name="_Toc5382"/>
      <w:bookmarkStart w:id="3383" w:name="_Toc22727"/>
      <w:bookmarkStart w:id="3384" w:name="_Toc302"/>
      <w:bookmarkStart w:id="3385" w:name="_Toc18069"/>
      <w:bookmarkStart w:id="3386" w:name="_Toc29845"/>
      <w:bookmarkStart w:id="3387" w:name="_Toc7624"/>
      <w:bookmarkStart w:id="3388" w:name="_Toc14718"/>
      <w:r>
        <w:rPr>
          <w:rFonts w:ascii="Times New Roman" w:hAnsi="Times New Roman"/>
          <w:color w:val="auto"/>
          <w:sz w:val="24"/>
          <w:szCs w:val="24"/>
        </w:rPr>
        <w:t>包装、储存、运输及质量保证</w:t>
      </w:r>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p>
    <w:p>
      <w:pPr>
        <w:pStyle w:val="4"/>
        <w:numPr>
          <w:ilvl w:val="1"/>
          <w:numId w:val="25"/>
        </w:numPr>
        <w:spacing w:line="360" w:lineRule="auto"/>
        <w:rPr>
          <w:rFonts w:ascii="Times New Roman" w:hAnsi="Times New Roman"/>
          <w:b/>
          <w:bCs/>
          <w:color w:val="auto"/>
          <w:sz w:val="24"/>
          <w:szCs w:val="24"/>
        </w:rPr>
      </w:pPr>
      <w:bookmarkStart w:id="3389" w:name="_Toc21423"/>
      <w:bookmarkStart w:id="3390" w:name="_Toc9198"/>
      <w:bookmarkStart w:id="3391" w:name="_Toc3794"/>
      <w:bookmarkStart w:id="3392" w:name="_Toc32627"/>
      <w:bookmarkStart w:id="3393" w:name="_Toc27086"/>
      <w:bookmarkStart w:id="3394" w:name="_Toc5437"/>
      <w:bookmarkStart w:id="3395" w:name="_Toc9447"/>
      <w:bookmarkStart w:id="3396" w:name="_Toc5608"/>
      <w:bookmarkStart w:id="3397" w:name="_Toc29674"/>
      <w:bookmarkStart w:id="3398" w:name="_Toc27020"/>
      <w:bookmarkStart w:id="3399" w:name="_Toc22988"/>
      <w:bookmarkStart w:id="3400" w:name="_Toc32493"/>
      <w:bookmarkStart w:id="3401" w:name="_Toc11259"/>
      <w:bookmarkStart w:id="3402" w:name="_Toc18086"/>
      <w:bookmarkStart w:id="3403" w:name="_Toc15145"/>
      <w:r>
        <w:rPr>
          <w:rFonts w:ascii="Times New Roman" w:hAnsi="Times New Roman"/>
          <w:b/>
          <w:bCs/>
          <w:color w:val="auto"/>
          <w:sz w:val="24"/>
          <w:szCs w:val="24"/>
        </w:rPr>
        <w:t>包装、储存和运输</w:t>
      </w:r>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设备制造完成并通过试验后应及时包装，否则应得到切实的保护, 确保其不受污损。所有部件经妥善包装或装箱后, 在运输过程中应采取其它防护措施, 以免散失损坏或被盗。</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在包装箱外应标明招标方的订货号、发货号。</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各种包装应能确保各零部件在运输过程中不致遭到损坏、丢失、变形、受潮和腐蚀。</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包装箱上应有明显的包装储运图示标志（按GB191）。</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整体产品或分别运输的部件都要适合运输和装载的要求。</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随产品提供的技术资料应完整无缺，提供份额符合GB11032的要求。</w:t>
      </w:r>
    </w:p>
    <w:p>
      <w:pPr>
        <w:pStyle w:val="31"/>
        <w:numPr>
          <w:ilvl w:val="0"/>
          <w:numId w:val="126"/>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包装、运输和贮存均由投标方负责，运输的目的地为安装地点或招标方指定地点，设备抵达目的地后，投标方组织开箱验收。如果发现任一设备有偏差、损坏、损失、遗漏或数量、质量、技术规范因投标方的责任与合同不符，招标方有权向投标方提出索赔。</w:t>
      </w:r>
    </w:p>
    <w:p>
      <w:pPr>
        <w:pStyle w:val="4"/>
        <w:numPr>
          <w:ilvl w:val="1"/>
          <w:numId w:val="25"/>
        </w:numPr>
        <w:spacing w:line="360" w:lineRule="auto"/>
        <w:rPr>
          <w:rFonts w:ascii="Times New Roman" w:hAnsi="Times New Roman"/>
          <w:b/>
          <w:bCs/>
          <w:color w:val="auto"/>
          <w:sz w:val="24"/>
          <w:szCs w:val="24"/>
        </w:rPr>
      </w:pPr>
      <w:bookmarkStart w:id="3404" w:name="_Toc22679"/>
      <w:bookmarkStart w:id="3405" w:name="_Toc7887"/>
      <w:bookmarkStart w:id="3406" w:name="_Toc15736"/>
      <w:bookmarkStart w:id="3407" w:name="_Toc29727"/>
      <w:bookmarkStart w:id="3408" w:name="_Toc11957"/>
      <w:bookmarkStart w:id="3409" w:name="_Toc6962"/>
      <w:bookmarkStart w:id="3410" w:name="_Toc24786"/>
      <w:bookmarkStart w:id="3411" w:name="_Toc799"/>
      <w:bookmarkStart w:id="3412" w:name="_Toc30741"/>
      <w:bookmarkStart w:id="3413" w:name="_Toc19362"/>
      <w:bookmarkStart w:id="3414" w:name="_Toc14137"/>
      <w:bookmarkStart w:id="3415" w:name="_Toc9213"/>
      <w:bookmarkStart w:id="3416" w:name="_Toc9769"/>
      <w:bookmarkStart w:id="3417" w:name="_Toc1274"/>
      <w:bookmarkStart w:id="3418" w:name="_Toc21461"/>
      <w:r>
        <w:rPr>
          <w:rFonts w:ascii="Times New Roman" w:hAnsi="Times New Roman"/>
          <w:b/>
          <w:bCs/>
          <w:color w:val="auto"/>
          <w:sz w:val="24"/>
          <w:szCs w:val="24"/>
        </w:rPr>
        <w:t>现场查勘辅助</w:t>
      </w:r>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合同签订后，投标方应协助招标方和设计方完成现场查勘，所发生的相关费用自理。</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投标方工勘后须提供基础设备、材料等相关图纸，提供的材料包括但不限于：</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子框槽位配置说明；</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设备前视/后视图；</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应用软件的具体功能说明；</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机柜的安装基础图；</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安装尺寸图：应标明设备的尺寸、螺栓的位置和尺寸；</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设备安装图 （机架设备布置图、机架上模块布置图、机架安装图、各种电气接线图表等）、端子排图等，以及设备的型号、技术特点和性能参数、设备手册及随机资料等；</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所需电源种类、功耗、电压、地线要求；</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运输包装示意图；</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设备安装方式和抗震措施；</w:t>
      </w:r>
    </w:p>
    <w:p>
      <w:pPr>
        <w:pStyle w:val="31"/>
        <w:numPr>
          <w:ilvl w:val="0"/>
          <w:numId w:val="127"/>
        </w:numPr>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其他有关的图纸。</w:t>
      </w:r>
    </w:p>
    <w:p>
      <w:pPr>
        <w:pStyle w:val="4"/>
        <w:numPr>
          <w:ilvl w:val="1"/>
          <w:numId w:val="25"/>
        </w:numPr>
        <w:spacing w:line="360" w:lineRule="auto"/>
        <w:rPr>
          <w:rFonts w:ascii="Times New Roman" w:hAnsi="Times New Roman"/>
          <w:b/>
          <w:bCs/>
          <w:color w:val="auto"/>
          <w:sz w:val="24"/>
          <w:szCs w:val="24"/>
        </w:rPr>
      </w:pPr>
      <w:bookmarkStart w:id="3419" w:name="_Toc11735"/>
      <w:bookmarkStart w:id="3420" w:name="_Toc6658"/>
      <w:bookmarkStart w:id="3421" w:name="_Toc4967"/>
      <w:bookmarkStart w:id="3422" w:name="_Toc18501"/>
      <w:bookmarkStart w:id="3423" w:name="_Toc4993"/>
      <w:bookmarkStart w:id="3424" w:name="_Toc11859"/>
      <w:bookmarkStart w:id="3425" w:name="_Toc11609"/>
      <w:bookmarkStart w:id="3426" w:name="_Toc10238"/>
      <w:bookmarkStart w:id="3427" w:name="_Toc8349"/>
      <w:bookmarkStart w:id="3428" w:name="_Toc29755"/>
      <w:bookmarkStart w:id="3429" w:name="_Toc12217"/>
      <w:bookmarkStart w:id="3430" w:name="_Toc1368"/>
      <w:bookmarkStart w:id="3431" w:name="_Toc29205"/>
      <w:bookmarkStart w:id="3432" w:name="_Toc18666"/>
      <w:bookmarkStart w:id="3433" w:name="_Toc2275"/>
      <w:r>
        <w:rPr>
          <w:rFonts w:ascii="Times New Roman" w:hAnsi="Times New Roman"/>
          <w:b/>
          <w:bCs/>
          <w:color w:val="auto"/>
          <w:sz w:val="24"/>
          <w:szCs w:val="24"/>
        </w:rPr>
        <w:t>调试督导</w:t>
      </w:r>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投标方负责本次招标所供设备的现场安装指导、系统调试督导，设备与现网互联、割接的调试督导，配合进行业务开通、投运和最终验收，并提供调试、割接、业务开通的技术建议。</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招标方选派技术人员参加调试，投标方有责任对招标方技术人员提出的问题做出解答。</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调试应进行详细记录，并由投标方技术人员签字确认。</w:t>
      </w:r>
    </w:p>
    <w:p>
      <w:pPr>
        <w:pStyle w:val="4"/>
        <w:numPr>
          <w:ilvl w:val="1"/>
          <w:numId w:val="25"/>
        </w:numPr>
        <w:spacing w:line="360" w:lineRule="auto"/>
        <w:rPr>
          <w:rFonts w:ascii="Times New Roman" w:hAnsi="Times New Roman"/>
          <w:b/>
          <w:bCs/>
          <w:color w:val="auto"/>
          <w:sz w:val="24"/>
          <w:szCs w:val="24"/>
        </w:rPr>
      </w:pPr>
      <w:bookmarkStart w:id="3434" w:name="_Toc10001"/>
      <w:bookmarkStart w:id="3435" w:name="_Toc10151"/>
      <w:bookmarkStart w:id="3436" w:name="_Toc8051"/>
      <w:bookmarkStart w:id="3437" w:name="_Toc23521"/>
      <w:bookmarkStart w:id="3438" w:name="_Toc9936"/>
      <w:bookmarkStart w:id="3439" w:name="_Toc12684"/>
      <w:bookmarkStart w:id="3440" w:name="_Toc8849"/>
      <w:bookmarkStart w:id="3441" w:name="_Toc14958"/>
      <w:bookmarkStart w:id="3442" w:name="_Toc19893"/>
      <w:bookmarkStart w:id="3443" w:name="_Toc28056"/>
      <w:bookmarkStart w:id="3444" w:name="_Toc2937"/>
      <w:bookmarkStart w:id="3445" w:name="_Toc22202"/>
      <w:bookmarkStart w:id="3446" w:name="_Toc16449"/>
      <w:bookmarkStart w:id="3447" w:name="_Toc22971"/>
      <w:bookmarkStart w:id="3448" w:name="_Toc363"/>
      <w:r>
        <w:rPr>
          <w:rFonts w:ascii="Times New Roman" w:hAnsi="Times New Roman"/>
          <w:b/>
          <w:bCs/>
          <w:color w:val="auto"/>
          <w:sz w:val="24"/>
          <w:szCs w:val="24"/>
        </w:rPr>
        <w:t>质量保证</w:t>
      </w:r>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投标方应保证所提供的所有设备都是全新的，未使用过的，且应按最佳方式进行设计和制造。采用的是优质材料和先进工艺，并在各方面符合合同规定的质量、规格和性能要求。</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投标方应保证所供设备经过正确安装、正常操作和保养，在其寿命期内运行良好。</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投标方提供的所有设备均应附有制造商发出的，有投标方签字的检查记录、质量保证书和试验报告。</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在合同设备的制造和集成过程中，必要时，招标方将分批派遣有经验的工程师去工厂对设备的组装和系统的组态、工厂验收等方面进行监制和抽查验证。招标方监制人员不签署任何质量证明。招标方人员参加监制既不解除投标方按招标规定所承担的责任，也不代替招标方的到货检验。投标方应提供生产计划表，以便于招标方选定去工厂的时间和需参加监制的项目和内容。</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提供设备制造商的详细质量保障体系文档供招标方对其质量保障体系有效性进行评估。若投标方为代理商，则投标方应提供自身以及设备制造商的详细质量保障体系文档供招标方对其质量保障体系有效性进行评估。</w:t>
      </w:r>
    </w:p>
    <w:p>
      <w:pPr>
        <w:pStyle w:val="4"/>
        <w:numPr>
          <w:ilvl w:val="1"/>
          <w:numId w:val="25"/>
        </w:numPr>
        <w:spacing w:line="360" w:lineRule="auto"/>
        <w:rPr>
          <w:rFonts w:ascii="Times New Roman" w:hAnsi="Times New Roman"/>
          <w:b/>
          <w:bCs/>
          <w:color w:val="auto"/>
          <w:sz w:val="24"/>
          <w:szCs w:val="24"/>
        </w:rPr>
      </w:pPr>
      <w:bookmarkStart w:id="3449" w:name="_Toc23633"/>
      <w:bookmarkStart w:id="3450" w:name="_Toc20144"/>
      <w:bookmarkStart w:id="3451" w:name="_Toc16014"/>
      <w:bookmarkStart w:id="3452" w:name="_Toc23461"/>
      <w:bookmarkStart w:id="3453" w:name="_Toc21036"/>
      <w:bookmarkStart w:id="3454" w:name="_Toc6219"/>
      <w:bookmarkStart w:id="3455" w:name="_Toc28831"/>
      <w:bookmarkStart w:id="3456" w:name="_Toc13425"/>
      <w:bookmarkStart w:id="3457" w:name="_Toc14994"/>
      <w:bookmarkStart w:id="3458" w:name="_Toc1477"/>
      <w:bookmarkStart w:id="3459" w:name="_Toc25461"/>
      <w:bookmarkStart w:id="3460" w:name="_Toc7259"/>
      <w:bookmarkStart w:id="3461" w:name="_Toc17992"/>
      <w:bookmarkStart w:id="3462" w:name="_Toc2690"/>
      <w:bookmarkStart w:id="3463" w:name="_Toc10671"/>
      <w:r>
        <w:rPr>
          <w:rFonts w:ascii="Times New Roman" w:hAnsi="Times New Roman"/>
          <w:b/>
          <w:bCs/>
          <w:color w:val="auto"/>
          <w:sz w:val="24"/>
          <w:szCs w:val="24"/>
        </w:rPr>
        <w:t>售后服务</w:t>
      </w:r>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投标方应保证所提供的所有设备都是全新的，未使用过的，且应按最佳方式进行设计和制造。采用的是优质材料和先进工艺，并在各方面符合合同规定的质量、规格和性能要求。</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投标方应保证所供设备经过正确安装、正常操作和保养，在其寿命期内运行良好。</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投标方提供的所有设备均应附有制造商发出的，有投标方签字的检查记录、质量保证书和试验报告。</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在合同设备的制造和集成过程中，必要时，招标方将分批派遣有经验的工程师去工厂对设备的组装和系统的组态、工厂验收等方面进行监制和抽查验证。招标方监制人员不签署任何质量证明。招标方人员参加监制既不解除投标方按招标规定所承担的责任，也不代替招标方的到货检验。投标方应提供生产计划表，以便于招标方选定去工厂的时间和需参加监制的项目和内容。</w:t>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应提供设备制造商的详细质量保障体系文档供招标方对其质量保障体系有效性进行评估。若投标方为代理商，则投标方应提供自身以及设备制造商的详细质量保障体系文档供招标方对其质量保障体系有效性进行评估。</w:t>
      </w:r>
    </w:p>
    <w:p>
      <w:pPr>
        <w:pStyle w:val="3"/>
        <w:numPr>
          <w:ilvl w:val="0"/>
          <w:numId w:val="25"/>
        </w:numPr>
        <w:spacing w:line="360" w:lineRule="auto"/>
        <w:rPr>
          <w:rFonts w:ascii="Times New Roman" w:hAnsi="Times New Roman"/>
          <w:color w:val="auto"/>
          <w:sz w:val="24"/>
          <w:szCs w:val="24"/>
        </w:rPr>
      </w:pPr>
      <w:bookmarkStart w:id="3464" w:name="_Toc21425"/>
      <w:bookmarkStart w:id="3465" w:name="_Toc8802"/>
      <w:bookmarkStart w:id="3466" w:name="_Toc31989"/>
      <w:bookmarkStart w:id="3467" w:name="_Toc27712"/>
      <w:bookmarkStart w:id="3468" w:name="_Toc7147"/>
      <w:bookmarkStart w:id="3469" w:name="_Toc27783"/>
      <w:bookmarkStart w:id="3470" w:name="_Toc30273"/>
      <w:bookmarkStart w:id="3471" w:name="_Toc6121"/>
      <w:bookmarkStart w:id="3472" w:name="_Toc3438"/>
      <w:bookmarkStart w:id="3473" w:name="_Toc3952"/>
      <w:bookmarkStart w:id="3474" w:name="_Toc13798"/>
      <w:bookmarkStart w:id="3475" w:name="_Toc2838"/>
      <w:bookmarkStart w:id="3476" w:name="_Toc28846"/>
      <w:bookmarkStart w:id="3477" w:name="_Toc28142"/>
      <w:r>
        <w:rPr>
          <w:rFonts w:ascii="Times New Roman" w:hAnsi="Times New Roman"/>
          <w:color w:val="auto"/>
          <w:sz w:val="24"/>
          <w:szCs w:val="24"/>
        </w:rPr>
        <w:t>其他</w:t>
      </w:r>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p>
    <w:p>
      <w:pPr>
        <w:pStyle w:val="4"/>
        <w:numPr>
          <w:ilvl w:val="1"/>
          <w:numId w:val="25"/>
        </w:numPr>
        <w:spacing w:line="360" w:lineRule="auto"/>
        <w:rPr>
          <w:rFonts w:ascii="Times New Roman" w:hAnsi="Times New Roman"/>
          <w:b/>
          <w:bCs/>
          <w:color w:val="auto"/>
          <w:sz w:val="24"/>
          <w:szCs w:val="24"/>
        </w:rPr>
      </w:pPr>
      <w:bookmarkStart w:id="3478" w:name="_Toc19178"/>
      <w:bookmarkStart w:id="3479" w:name="_Toc26541"/>
      <w:bookmarkStart w:id="3480" w:name="_Toc26037"/>
      <w:bookmarkStart w:id="3481" w:name="_Toc6939"/>
      <w:bookmarkStart w:id="3482" w:name="_Toc15876"/>
      <w:bookmarkStart w:id="3483" w:name="_Toc13670"/>
      <w:bookmarkStart w:id="3484" w:name="_Toc25693"/>
      <w:bookmarkStart w:id="3485" w:name="_Toc2867"/>
      <w:bookmarkStart w:id="3486" w:name="_Toc27394"/>
      <w:bookmarkStart w:id="3487" w:name="_Toc1163"/>
      <w:bookmarkStart w:id="3488" w:name="_Toc30069"/>
      <w:bookmarkStart w:id="3489" w:name="_Toc19872"/>
      <w:bookmarkStart w:id="3490" w:name="_Toc25792"/>
      <w:bookmarkStart w:id="3491" w:name="_Toc20342"/>
      <w:bookmarkStart w:id="3492" w:name="_Toc4518"/>
      <w:r>
        <w:rPr>
          <w:rFonts w:ascii="Times New Roman" w:hAnsi="Times New Roman"/>
          <w:b/>
          <w:bCs/>
          <w:color w:val="auto"/>
          <w:sz w:val="24"/>
          <w:szCs w:val="24"/>
        </w:rPr>
        <w:t>上架标签治理</w:t>
      </w:r>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投标方所投标的硬件设备，在进行设备部署、安装时须根据“南网储能公司数字化标签标准”对设备的标签标识进行数据录入、数据治理和粘贴。详见附件一。</w:t>
      </w:r>
    </w:p>
    <w:p>
      <w:pPr>
        <w:pStyle w:val="3"/>
        <w:numPr>
          <w:ilvl w:val="255"/>
          <w:numId w:val="0"/>
        </w:numPr>
        <w:spacing w:line="360" w:lineRule="auto"/>
        <w:ind w:firstLine="482" w:firstLineChars="200"/>
        <w:rPr>
          <w:rFonts w:ascii="Times New Roman" w:hAnsi="Times New Roman"/>
          <w:color w:val="auto"/>
          <w:sz w:val="24"/>
          <w:szCs w:val="24"/>
        </w:rPr>
      </w:pPr>
      <w:bookmarkStart w:id="3493" w:name="_Toc22604"/>
      <w:bookmarkStart w:id="3494" w:name="_Toc12361"/>
      <w:bookmarkStart w:id="3495" w:name="_Toc25317"/>
      <w:bookmarkStart w:id="3496" w:name="_Toc21830"/>
      <w:bookmarkStart w:id="3497" w:name="_Toc18772"/>
      <w:bookmarkStart w:id="3498" w:name="_Toc8305"/>
      <w:bookmarkStart w:id="3499" w:name="_Toc7571"/>
      <w:bookmarkStart w:id="3500" w:name="_Toc15408"/>
      <w:bookmarkStart w:id="3501" w:name="_Toc818"/>
      <w:bookmarkStart w:id="3502" w:name="_Toc6314"/>
      <w:bookmarkStart w:id="3503" w:name="_Toc17787"/>
      <w:bookmarkStart w:id="3504" w:name="_Toc19406"/>
      <w:bookmarkStart w:id="3505" w:name="_Toc18090"/>
      <w:bookmarkStart w:id="3506" w:name="_Toc2367"/>
      <w:bookmarkStart w:id="3507" w:name="_Toc20652"/>
      <w:r>
        <w:rPr>
          <w:rFonts w:ascii="Times New Roman" w:hAnsi="Times New Roman"/>
          <w:color w:val="auto"/>
          <w:sz w:val="24"/>
          <w:szCs w:val="24"/>
        </w:rPr>
        <w:t>附件一：南网储能数字化标签技术规范</w:t>
      </w:r>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p>
    <w:p>
      <w:pPr>
        <w:pStyle w:val="83"/>
        <w:numPr>
          <w:ilvl w:val="0"/>
          <w:numId w:val="128"/>
        </w:numPr>
        <w:ind w:left="0" w:firstLine="480" w:firstLineChars="200"/>
        <w:jc w:val="left"/>
        <w:rPr>
          <w:rFonts w:ascii="Times New Roman" w:hAnsi="Times New Roman"/>
          <w:color w:val="auto"/>
          <w:sz w:val="24"/>
          <w:szCs w:val="24"/>
        </w:rPr>
      </w:pPr>
      <w:r>
        <w:rPr>
          <w:rFonts w:ascii="Times New Roman" w:hAnsi="Times New Roman"/>
          <w:color w:val="auto"/>
          <w:sz w:val="24"/>
          <w:szCs w:val="24"/>
        </w:rPr>
        <w:t>数字化标签应用整体要求</w:t>
      </w:r>
    </w:p>
    <w:p>
      <w:pPr>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 xml:space="preserve">   投标方所投标的硬件设备，在进行设备部署、安装时须根据“南网储能公司数字化标签标准”对设备的标签标识进行数据录入、数据治理和粘贴。结合实际应用情况，可对南网储能公司数字化标签知识产权相关产品及授权进行采购。</w:t>
      </w:r>
    </w:p>
    <w:p>
      <w:pPr>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1.1数字化标签释义</w:t>
      </w:r>
    </w:p>
    <w:p>
      <w:pPr>
        <w:spacing w:line="360" w:lineRule="auto"/>
        <w:ind w:firstLine="480" w:firstLineChars="200"/>
        <w:jc w:val="left"/>
        <w:rPr>
          <w:rFonts w:ascii="Times New Roman" w:hAnsi="Times New Roman"/>
          <w:color w:val="auto"/>
          <w:sz w:val="24"/>
          <w:szCs w:val="24"/>
        </w:rPr>
      </w:pPr>
      <w:r>
        <w:rPr>
          <w:rFonts w:ascii="Times New Roman" w:hAnsi="Times New Roman"/>
          <w:color w:val="auto"/>
          <w:sz w:val="24"/>
          <w:szCs w:val="24"/>
        </w:rPr>
        <w:t xml:space="preserve">  南网储能数字化标签主要通过二维码形式展现，粘贴于设备所在空间（如机房）内的机柜、设备、线缆之上，在粘贴前需根据各类主体的关键信息或主体之间的链路关系进行信息台账的梳理录入。通过启用数字化标签，能根据设备、线缆的信息台账或后期相关的管理系统，快速定位故障发生位置，分析故障发生原因，同时简化了设备或线缆信息变化时的更新流程，加强了机房的精细化管理，有利于机房数据的全方位收集，服务于未来相关数字化产品的建设。</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1.2数字化标签规范要求说明</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1.2.1设备标签</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6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适用范围</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机房内硬件设备。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位置</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粘贴于设备前面板空白处左上侧，以不遮挡设备指示灯、可插拔板卡、散热孔为宜；如前面板左侧无粘贴位置可粘贴到右侧，如遇交换机或配线架等设备无可粘贴处时可粘贴到左侧固定两螺丝之间。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内容</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设备资产、状态等各类信息。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字体</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黑体。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尺寸</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21mm x 24mm。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色带规格</w:t>
            </w:r>
          </w:p>
        </w:tc>
        <w:tc>
          <w:tcPr>
            <w:tcW w:w="6854"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适用于brother标签打印机24mm白底黑字标签色带。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tcPr>
          <w:p>
            <w:pPr>
              <w:adjustRightInd w:val="0"/>
              <w:spacing w:line="360" w:lineRule="auto"/>
              <w:ind w:firstLine="0" w:firstLineChars="0"/>
              <w:textAlignment w:val="baseline"/>
              <w:rPr>
                <w:rFonts w:ascii="Times New Roman" w:hAnsi="Times New Roman"/>
                <w:color w:val="auto"/>
                <w:sz w:val="24"/>
                <w:szCs w:val="24"/>
              </w:rPr>
            </w:pPr>
            <w:r>
              <w:rPr>
                <w:rFonts w:ascii="Times New Roman" w:hAnsi="Times New Roman"/>
                <w:color w:val="auto"/>
                <w:sz w:val="24"/>
                <w:szCs w:val="24"/>
              </w:rPr>
              <w:t>范例</w:t>
            </w:r>
          </w:p>
        </w:tc>
        <w:tc>
          <w:tcPr>
            <w:tcW w:w="6854" w:type="dxa"/>
          </w:tcPr>
          <w:p>
            <w:pPr>
              <w:adjustRightInd w:val="0"/>
              <w:spacing w:line="360" w:lineRule="auto"/>
              <w:ind w:firstLine="0" w:firstLineChars="0"/>
              <w:jc w:val="center"/>
              <w:textAlignment w:val="baseline"/>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539240" cy="1762125"/>
                  <wp:effectExtent l="0" t="0" r="1016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47"/>
                          <a:srcRect l="935" t="546"/>
                          <a:stretch>
                            <a:fillRect/>
                          </a:stretch>
                        </pic:blipFill>
                        <pic:spPr>
                          <a:xfrm>
                            <a:off x="0" y="0"/>
                            <a:ext cx="1539240" cy="1762125"/>
                          </a:xfrm>
                          <a:prstGeom prst="rect">
                            <a:avLst/>
                          </a:prstGeom>
                          <a:noFill/>
                          <a:ln>
                            <a:noFill/>
                          </a:ln>
                        </pic:spPr>
                      </pic:pic>
                    </a:graphicData>
                  </a:graphic>
                </wp:inline>
              </w:drawing>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1.2.2线缆标签</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适用范围</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机房内光纤、电缆跳线、网络线、音频线、视频线、电源线、备用线等。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位置</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粘贴于线缆上，距离端口连接处3至5cm，同一机房内应保证标签粘贴方式一致。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内容</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接线表信息。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字体</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黑体。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尺寸</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100mm x 18mm。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色带规格</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适用于brother标签打印机18mm白底黑字标签色带。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范例</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4173220" cy="949325"/>
                  <wp:effectExtent l="0" t="0" r="5080" b="317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48"/>
                          <a:stretch>
                            <a:fillRect/>
                          </a:stretch>
                        </pic:blipFill>
                        <pic:spPr>
                          <a:xfrm>
                            <a:off x="0" y="0"/>
                            <a:ext cx="4173220" cy="949325"/>
                          </a:xfrm>
                          <a:prstGeom prst="rect">
                            <a:avLst/>
                          </a:prstGeom>
                          <a:noFill/>
                          <a:ln>
                            <a:noFill/>
                          </a:ln>
                        </pic:spPr>
                      </pic:pic>
                    </a:graphicData>
                  </a:graphic>
                </wp:inline>
              </w:drawing>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1.2.2位置标签</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适用范围</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机房内机柜与机房位置。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位置</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粘贴机柜门、机房门开门侧离地1.5m处。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内容</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位置信息。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字体</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黑体。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尺寸</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38mm x 38mm。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色带规格</w:t>
            </w:r>
          </w:p>
        </w:tc>
        <w:tc>
          <w:tcPr>
            <w:tcW w:w="7138"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适用于brother标签打印机38mm白底黑字标签色带。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Pr>
          <w:p>
            <w:pPr>
              <w:adjustRightInd w:val="0"/>
              <w:spacing w:line="360" w:lineRule="auto"/>
              <w:textAlignment w:val="baseline"/>
              <w:rPr>
                <w:rFonts w:ascii="Times New Roman" w:hAnsi="Times New Roman"/>
                <w:color w:val="auto"/>
                <w:sz w:val="24"/>
                <w:szCs w:val="24"/>
              </w:rPr>
            </w:pPr>
            <w:r>
              <w:rPr>
                <w:rFonts w:ascii="Times New Roman" w:hAnsi="Times New Roman"/>
                <w:color w:val="auto"/>
                <w:sz w:val="24"/>
                <w:szCs w:val="24"/>
              </w:rPr>
              <w:t>范例</w:t>
            </w:r>
          </w:p>
        </w:tc>
        <w:tc>
          <w:tcPr>
            <w:tcW w:w="7138" w:type="dxa"/>
          </w:tcPr>
          <w:p>
            <w:pPr>
              <w:adjustRightInd w:val="0"/>
              <w:spacing w:line="360" w:lineRule="auto"/>
              <w:jc w:val="center"/>
              <w:textAlignment w:val="baseline"/>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499870" cy="1495425"/>
                  <wp:effectExtent l="0" t="0" r="11430" b="3175"/>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49"/>
                          <a:stretch>
                            <a:fillRect/>
                          </a:stretch>
                        </pic:blipFill>
                        <pic:spPr>
                          <a:xfrm>
                            <a:off x="0" y="0"/>
                            <a:ext cx="1499870" cy="1495425"/>
                          </a:xfrm>
                          <a:prstGeom prst="rect">
                            <a:avLst/>
                          </a:prstGeom>
                          <a:noFill/>
                          <a:ln>
                            <a:noFill/>
                          </a:ln>
                        </pic:spPr>
                      </pic:pic>
                    </a:graphicData>
                  </a:graphic>
                </wp:inline>
              </w:drawing>
            </w:r>
          </w:p>
        </w:tc>
      </w:tr>
    </w:tbl>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3.数字化标签规范录入要求</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3.1资产台帐</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资产台账信息包含资产名称、存放位置、物资类别（品牌及型号）、实物照片、IP信息（如有）等。</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3.1.1资产名称命名</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位置信息/项目用途+设备类型+序号</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例如：M208机房二摄像头1#、 南网云四区接入交换机1#、南网云四区计算节点服务器2#；</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3.2实物照片拍摄</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设备前后照片至少各一张，要求前面板照片能反映设备所在机柜U数处。如需反映设备状态照片可增加局部照片。</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5273675" cy="1901190"/>
            <wp:effectExtent l="0" t="0" r="9525" b="381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50"/>
                    <a:stretch>
                      <a:fillRect/>
                    </a:stretch>
                  </pic:blipFill>
                  <pic:spPr>
                    <a:xfrm>
                      <a:off x="0" y="0"/>
                      <a:ext cx="5273675" cy="1901190"/>
                    </a:xfrm>
                    <a:prstGeom prst="rect">
                      <a:avLst/>
                    </a:prstGeom>
                    <a:noFill/>
                    <a:ln>
                      <a:noFill/>
                    </a:ln>
                  </pic:spPr>
                </pic:pic>
              </a:graphicData>
            </a:graphic>
          </wp:inline>
        </w:drawing>
      </w:r>
    </w:p>
    <w:p>
      <w:pPr>
        <w:spacing w:line="360" w:lineRule="auto"/>
        <w:ind w:firstLine="480" w:firstLineChars="200"/>
        <w:rPr>
          <w:rFonts w:ascii="Times New Roman" w:hAnsi="Times New Roman"/>
          <w:color w:val="auto"/>
          <w:sz w:val="24"/>
          <w:szCs w:val="24"/>
        </w:rPr>
      </w:pP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3.2资产接口信息</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根据设备接口录入本设备的全部接口（光口、电口、电源口、USB口）</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3.2.1 接口名称命名</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a. 接口类型+序号：电源1#，USB1#，串口1#；</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b. 接口带宽+序号：（如网络安全设备接口类）GE_1，10GE_1，40GE_1；</w:t>
      </w:r>
    </w:p>
    <w:p>
      <w:pPr>
        <w:spacing w:line="360" w:lineRule="auto"/>
        <w:ind w:firstLine="480" w:firstLineChars="200"/>
        <w:jc w:val="center"/>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1828800" cy="1057275"/>
            <wp:effectExtent l="0" t="0" r="0" b="952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51"/>
                    <a:stretch>
                      <a:fillRect/>
                    </a:stretch>
                  </pic:blipFill>
                  <pic:spPr>
                    <a:xfrm>
                      <a:off x="0" y="0"/>
                      <a:ext cx="1828800" cy="1057275"/>
                    </a:xfrm>
                    <a:prstGeom prst="rect">
                      <a:avLst/>
                    </a:prstGeom>
                    <a:noFill/>
                    <a:ln>
                      <a:noFill/>
                    </a:ln>
                  </pic:spPr>
                </pic:pic>
              </a:graphicData>
            </a:graphic>
          </wp:inline>
        </w:drawing>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c. 接口板卡位置+序号：（如服务器类）slot1/1，P1-1，</w:t>
      </w:r>
    </w:p>
    <w:p>
      <w:pPr>
        <w:spacing w:line="360" w:lineRule="auto"/>
        <w:ind w:firstLine="480" w:firstLineChars="200"/>
        <w:jc w:val="center"/>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3171825" cy="1438275"/>
            <wp:effectExtent l="0" t="0" r="3175" b="952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52"/>
                    <a:stretch>
                      <a:fillRect/>
                    </a:stretch>
                  </pic:blipFill>
                  <pic:spPr>
                    <a:xfrm>
                      <a:off x="0" y="0"/>
                      <a:ext cx="3171825" cy="1438275"/>
                    </a:xfrm>
                    <a:prstGeom prst="rect">
                      <a:avLst/>
                    </a:prstGeom>
                    <a:noFill/>
                    <a:ln>
                      <a:noFill/>
                    </a:ln>
                  </pic:spPr>
                </pic:pic>
              </a:graphicData>
            </a:graphic>
          </wp:inline>
        </w:drawing>
      </w:r>
    </w:p>
    <w:p>
      <w:pPr>
        <w:spacing w:line="360" w:lineRule="auto"/>
        <w:ind w:firstLine="480" w:firstLineChars="200"/>
        <w:rPr>
          <w:rFonts w:ascii="Times New Roman" w:hAnsi="Times New Roman"/>
          <w:color w:val="auto"/>
          <w:sz w:val="24"/>
          <w:szCs w:val="24"/>
        </w:rPr>
      </w:pP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d. 设备自有编号：槽位号（如无槽位可省略）+端口编号</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例如：0/2/1、T1、NT1、ETH1</w:t>
      </w:r>
    </w:p>
    <w:p>
      <w:pPr>
        <w:spacing w:line="360" w:lineRule="auto"/>
        <w:ind w:firstLine="480" w:firstLineChars="200"/>
        <w:jc w:val="center"/>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3924300" cy="1539875"/>
            <wp:effectExtent l="0" t="0" r="0" b="952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53"/>
                    <a:stretch>
                      <a:fillRect/>
                    </a:stretch>
                  </pic:blipFill>
                  <pic:spPr>
                    <a:xfrm>
                      <a:off x="0" y="0"/>
                      <a:ext cx="3924300" cy="1539875"/>
                    </a:xfrm>
                    <a:prstGeom prst="rect">
                      <a:avLst/>
                    </a:prstGeom>
                    <a:noFill/>
                    <a:ln>
                      <a:noFill/>
                    </a:ln>
                  </pic:spPr>
                </pic:pic>
              </a:graphicData>
            </a:graphic>
          </wp:inline>
        </w:drawing>
      </w:r>
    </w:p>
    <w:p>
      <w:pPr>
        <w:spacing w:line="360" w:lineRule="auto"/>
        <w:ind w:firstLine="480" w:firstLineChars="200"/>
        <w:jc w:val="center"/>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4171950" cy="1333500"/>
            <wp:effectExtent l="0" t="0" r="6350" b="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54"/>
                    <a:stretch>
                      <a:fillRect/>
                    </a:stretch>
                  </pic:blipFill>
                  <pic:spPr>
                    <a:xfrm>
                      <a:off x="0" y="0"/>
                      <a:ext cx="4171950" cy="1333500"/>
                    </a:xfrm>
                    <a:prstGeom prst="rect">
                      <a:avLst/>
                    </a:prstGeom>
                    <a:noFill/>
                    <a:ln>
                      <a:noFill/>
                    </a:ln>
                  </pic:spPr>
                </pic:pic>
              </a:graphicData>
            </a:graphic>
          </wp:inline>
        </w:drawing>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e. 电源口：电源A、电源B</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3.3资产接线表</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t>根据设备链路接口录入本条链路所经过的接口，第一个为起始接口，最后一个为终点接口（注：接线表无方向性，只做A至B不用重复做B至A）。</w:t>
      </w:r>
    </w:p>
    <w:p>
      <w:pPr>
        <w:spacing w:line="360" w:lineRule="auto"/>
        <w:ind w:firstLine="480" w:firstLineChars="200"/>
        <w:rPr>
          <w:rFonts w:ascii="Times New Roman" w:hAnsi="Times New Roman"/>
          <w:color w:val="auto"/>
          <w:sz w:val="24"/>
          <w:szCs w:val="24"/>
        </w:rPr>
      </w:pPr>
      <w:r>
        <w:rPr>
          <w:rFonts w:ascii="Times New Roman" w:hAnsi="Times New Roman"/>
          <w:color w:val="auto"/>
          <w:sz w:val="24"/>
          <w:szCs w:val="24"/>
        </w:rPr>
        <w:drawing>
          <wp:inline distT="0" distB="0" distL="114300" distR="114300">
            <wp:extent cx="5273040" cy="3596640"/>
            <wp:effectExtent l="0" t="0" r="10160" b="1016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55"/>
                    <a:stretch>
                      <a:fillRect/>
                    </a:stretch>
                  </pic:blipFill>
                  <pic:spPr>
                    <a:xfrm>
                      <a:off x="0" y="0"/>
                      <a:ext cx="5273040" cy="3596640"/>
                    </a:xfrm>
                    <a:prstGeom prst="rect">
                      <a:avLst/>
                    </a:prstGeom>
                    <a:noFill/>
                    <a:ln>
                      <a:noFill/>
                    </a:ln>
                  </pic:spPr>
                </pic:pic>
              </a:graphicData>
            </a:graphic>
          </wp:inline>
        </w:drawing>
      </w:r>
    </w:p>
    <w:p>
      <w:pPr>
        <w:pStyle w:val="31"/>
        <w:snapToGrid w:val="0"/>
        <w:spacing w:after="0" w:line="360" w:lineRule="auto"/>
        <w:ind w:firstLine="480" w:firstLineChars="200"/>
        <w:rPr>
          <w:rFonts w:hint="default" w:ascii="Times New Roman" w:hAnsi="Times New Roman"/>
          <w:color w:val="auto"/>
          <w:sz w:val="24"/>
          <w:szCs w:val="24"/>
        </w:rPr>
      </w:pPr>
      <w:r>
        <w:rPr>
          <w:rFonts w:hint="default" w:ascii="Times New Roman" w:hAnsi="Times New Roman"/>
          <w:color w:val="auto"/>
          <w:sz w:val="24"/>
          <w:szCs w:val="24"/>
        </w:rPr>
        <w:t>。</w:t>
      </w:r>
    </w:p>
    <w:p>
      <w:pPr>
        <w:rPr>
          <w:color w:val="auto"/>
        </w:rPr>
      </w:pPr>
    </w:p>
    <w:sectPr>
      <w:headerReference r:id="rId7" w:type="default"/>
      <w:footerReference r:id="rId8" w:type="default"/>
      <w:pgSz w:w="11906" w:h="16838"/>
      <w:pgMar w:top="1440" w:right="1080" w:bottom="1440" w:left="108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Courier New"/>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方正书宋简体">
    <w:altName w:val="宋体"/>
    <w:panose1 w:val="00000000000000000000"/>
    <w:charset w:val="86"/>
    <w:family w:val="script"/>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FZZD Extra JW">
    <w:altName w:val="宋体"/>
    <w:panose1 w:val="00000000000000000000"/>
    <w:charset w:val="86"/>
    <w:family w:val="swiss"/>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Calisto MT">
    <w:panose1 w:val="02040603050505030304"/>
    <w:charset w:val="00"/>
    <w:family w:val="roman"/>
    <w:pitch w:val="default"/>
    <w:sig w:usb0="00000003" w:usb1="00000000" w:usb2="00000000" w:usb3="00000000" w:csb0="20000001" w:csb1="00000000"/>
  </w:font>
  <w:font w:name="FuturaA Md BT">
    <w:altName w:val="Segoe Print"/>
    <w:panose1 w:val="00000000000000000000"/>
    <w:charset w:val="00"/>
    <w:family w:val="swiss"/>
    <w:pitch w:val="default"/>
    <w:sig w:usb0="00000000" w:usb1="00000000" w:usb2="00000000" w:usb3="00000000" w:csb0="0000001B"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体">
    <w:altName w:val="仿宋"/>
    <w:panose1 w:val="00000000000000000000"/>
    <w:charset w:val="86"/>
    <w:family w:val="roman"/>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GillSans">
    <w:altName w:val="Segoe Print"/>
    <w:panose1 w:val="00000000000000000000"/>
    <w:charset w:val="00"/>
    <w:family w:val="swiss"/>
    <w:pitch w:val="default"/>
    <w:sig w:usb0="00000000" w:usb1="00000000" w:usb2="00000000" w:usb3="00000000" w:csb0="00000001" w:csb1="00000000"/>
  </w:font>
  <w:font w:name="FuturaA Bk BT">
    <w:altName w:val="Segoe Print"/>
    <w:panose1 w:val="00000000000000000000"/>
    <w:charset w:val="00"/>
    <w:family w:val="swiss"/>
    <w:pitch w:val="default"/>
    <w:sig w:usb0="00000000" w:usb1="00000000" w:usb2="00000000" w:usb3="00000000" w:csb0="0000001B" w:csb1="00000000"/>
  </w:font>
  <w:font w:name="Futura Std">
    <w:altName w:val="宋体"/>
    <w:panose1 w:val="00000000000000000000"/>
    <w:charset w:val="86"/>
    <w:family w:val="auto"/>
    <w:pitch w:val="default"/>
    <w:sig w:usb0="00000000" w:usb1="00000000" w:usb2="00000010" w:usb3="00000000" w:csb0="00040001" w:csb1="00000000"/>
  </w:font>
  <w:font w:name="华文细黑">
    <w:panose1 w:val="02010600040101010101"/>
    <w:charset w:val="86"/>
    <w:family w:val="auto"/>
    <w:pitch w:val="default"/>
    <w:sig w:usb0="00000287" w:usb1="080F0000" w:usb2="00000000" w:usb3="00000000" w:csb0="0004009F" w:csb1="DFD70000"/>
  </w:font>
  <w:font w:name="文鼎粗黑">
    <w:altName w:val="黑体"/>
    <w:panose1 w:val="00000000000000000000"/>
    <w:charset w:val="86"/>
    <w:family w:val="modern"/>
    <w:pitch w:val="default"/>
    <w:sig w:usb0="00000000" w:usb1="00000000" w:usb2="00000010" w:usb3="00000000" w:csb0="00040000" w:csb1="00000000"/>
  </w:font>
  <w:font w:name="Univers (WN)">
    <w:altName w:val="Courier New"/>
    <w:panose1 w:val="00000000000000000000"/>
    <w:charset w:val="00"/>
    <w:family w:val="auto"/>
    <w:pitch w:val="default"/>
    <w:sig w:usb0="00000000" w:usb1="00000000" w:usb2="00000000" w:usb3="00000000" w:csb0="00000001" w:csb1="00000000"/>
  </w:font>
  <w:font w:name="方正姚体">
    <w:panose1 w:val="02010601030101010101"/>
    <w:charset w:val="86"/>
    <w:family w:val="auto"/>
    <w:pitch w:val="default"/>
    <w:sig w:usb0="00000003"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360"/>
      <w:jc w:val="center"/>
    </w:pPr>
    <w:r>
      <w:fldChar w:fldCharType="begin"/>
    </w:r>
    <w:r>
      <w:instrText xml:space="preserve"> PAGE   \* MERGEFORMAT </w:instrText>
    </w:r>
    <w:r>
      <w:fldChar w:fldCharType="separate"/>
    </w:r>
    <w:r>
      <w:rPr>
        <w:rFonts w:cs="宋体"/>
        <w:sz w:val="26"/>
      </w:rPr>
      <w:t>2</w:t>
    </w:r>
    <w:r>
      <w:rPr>
        <w:rFonts w:cs="宋体"/>
        <w:sz w:val="2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360"/>
      <w:jc w:val="center"/>
    </w:pPr>
    <w:r>
      <w:fldChar w:fldCharType="begin"/>
    </w:r>
    <w:r>
      <w:instrText xml:space="preserve"> PAGE   \* MERGEFORMAT </w:instrText>
    </w:r>
    <w:r>
      <w:fldChar w:fldCharType="separate"/>
    </w:r>
    <w:r>
      <w:rPr>
        <w:rFonts w:cs="宋体"/>
        <w:sz w:val="26"/>
      </w:rPr>
      <w:t>1</w:t>
    </w:r>
    <w:r>
      <w:rPr>
        <w:rFonts w:cs="宋体"/>
        <w:sz w:val="2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259" w:lineRule="auto"/>
                            <w:ind w:right="360"/>
                            <w:jc w:val="center"/>
                          </w:pPr>
                          <w:r>
                            <w:fldChar w:fldCharType="begin"/>
                          </w:r>
                          <w:r>
                            <w:instrText xml:space="preserve"> PAGE   \* MERGEFORMAT </w:instrText>
                          </w:r>
                          <w:r>
                            <w:fldChar w:fldCharType="separate"/>
                          </w:r>
                          <w:r>
                            <w:rPr>
                              <w:rFonts w:cs="宋体"/>
                              <w:sz w:val="26"/>
                            </w:rPr>
                            <w:t>71</w:t>
                          </w:r>
                          <w:r>
                            <w:rPr>
                              <w:rFonts w:cs="宋体"/>
                              <w:sz w:val="2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pacing w:line="259" w:lineRule="auto"/>
                      <w:ind w:right="360"/>
                      <w:jc w:val="center"/>
                    </w:pPr>
                    <w:r>
                      <w:fldChar w:fldCharType="begin"/>
                    </w:r>
                    <w:r>
                      <w:instrText xml:space="preserve"> PAGE   \* MERGEFORMAT </w:instrText>
                    </w:r>
                    <w:r>
                      <w:fldChar w:fldCharType="separate"/>
                    </w:r>
                    <w:r>
                      <w:rPr>
                        <w:rFonts w:cs="宋体"/>
                        <w:sz w:val="26"/>
                      </w:rPr>
                      <w:t>71</w:t>
                    </w:r>
                    <w:r>
                      <w:rPr>
                        <w:rFonts w:cs="宋体"/>
                        <w:sz w:val="26"/>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80215"/>
    <w:multiLevelType w:val="singleLevel"/>
    <w:tmpl w:val="83380215"/>
    <w:lvl w:ilvl="0" w:tentative="0">
      <w:start w:val="1"/>
      <w:numFmt w:val="lowerLetter"/>
      <w:lvlText w:val="%1."/>
      <w:lvlJc w:val="left"/>
      <w:pPr>
        <w:ind w:left="425" w:hanging="425"/>
      </w:pPr>
      <w:rPr>
        <w:rFonts w:hint="default"/>
      </w:rPr>
    </w:lvl>
  </w:abstractNum>
  <w:abstractNum w:abstractNumId="1">
    <w:nsid w:val="83C28DC8"/>
    <w:multiLevelType w:val="multilevel"/>
    <w:tmpl w:val="83C28DC8"/>
    <w:lvl w:ilvl="0" w:tentative="0">
      <w:start w:val="1"/>
      <w:numFmt w:val="decimal"/>
      <w:suff w:val="space"/>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845AB416"/>
    <w:multiLevelType w:val="multilevel"/>
    <w:tmpl w:val="845AB41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87334692"/>
    <w:multiLevelType w:val="singleLevel"/>
    <w:tmpl w:val="87334692"/>
    <w:lvl w:ilvl="0" w:tentative="0">
      <w:start w:val="1"/>
      <w:numFmt w:val="lowerLetter"/>
      <w:lvlText w:val="%1."/>
      <w:lvlJc w:val="left"/>
      <w:pPr>
        <w:ind w:left="425" w:hanging="425"/>
      </w:pPr>
      <w:rPr>
        <w:rFonts w:hint="default"/>
      </w:rPr>
    </w:lvl>
  </w:abstractNum>
  <w:abstractNum w:abstractNumId="4">
    <w:nsid w:val="8CF7EB22"/>
    <w:multiLevelType w:val="multilevel"/>
    <w:tmpl w:val="8CF7EB22"/>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5">
    <w:nsid w:val="90DC9AF5"/>
    <w:multiLevelType w:val="singleLevel"/>
    <w:tmpl w:val="90DC9AF5"/>
    <w:lvl w:ilvl="0" w:tentative="0">
      <w:start w:val="1"/>
      <w:numFmt w:val="lowerLetter"/>
      <w:lvlText w:val="%1."/>
      <w:lvlJc w:val="left"/>
      <w:pPr>
        <w:ind w:left="425" w:hanging="425"/>
      </w:pPr>
      <w:rPr>
        <w:rFonts w:hint="default"/>
      </w:rPr>
    </w:lvl>
  </w:abstractNum>
  <w:abstractNum w:abstractNumId="6">
    <w:nsid w:val="952EC7D5"/>
    <w:multiLevelType w:val="singleLevel"/>
    <w:tmpl w:val="952EC7D5"/>
    <w:lvl w:ilvl="0" w:tentative="0">
      <w:start w:val="1"/>
      <w:numFmt w:val="decimal"/>
      <w:lvlText w:val="%1."/>
      <w:lvlJc w:val="left"/>
      <w:pPr>
        <w:ind w:left="425" w:hanging="425"/>
      </w:pPr>
      <w:rPr>
        <w:rFonts w:hint="default"/>
      </w:rPr>
    </w:lvl>
  </w:abstractNum>
  <w:abstractNum w:abstractNumId="7">
    <w:nsid w:val="957DC8B0"/>
    <w:multiLevelType w:val="singleLevel"/>
    <w:tmpl w:val="957DC8B0"/>
    <w:lvl w:ilvl="0" w:tentative="0">
      <w:start w:val="1"/>
      <w:numFmt w:val="decimal"/>
      <w:suff w:val="space"/>
      <w:lvlText w:val="%1."/>
      <w:lvlJc w:val="left"/>
      <w:pPr>
        <w:ind w:left="845" w:hanging="425"/>
      </w:pPr>
      <w:rPr>
        <w:rFonts w:hint="default"/>
      </w:rPr>
    </w:lvl>
  </w:abstractNum>
  <w:abstractNum w:abstractNumId="8">
    <w:nsid w:val="95DA5A80"/>
    <w:multiLevelType w:val="singleLevel"/>
    <w:tmpl w:val="95DA5A80"/>
    <w:lvl w:ilvl="0" w:tentative="0">
      <w:start w:val="1"/>
      <w:numFmt w:val="lowerLetter"/>
      <w:lvlText w:val="%1."/>
      <w:lvlJc w:val="left"/>
      <w:pPr>
        <w:ind w:left="425" w:hanging="425"/>
      </w:pPr>
      <w:rPr>
        <w:rFonts w:hint="default"/>
      </w:rPr>
    </w:lvl>
  </w:abstractNum>
  <w:abstractNum w:abstractNumId="9">
    <w:nsid w:val="9DE62941"/>
    <w:multiLevelType w:val="singleLevel"/>
    <w:tmpl w:val="9DE62941"/>
    <w:lvl w:ilvl="0" w:tentative="0">
      <w:start w:val="1"/>
      <w:numFmt w:val="decimal"/>
      <w:lvlText w:val="%1."/>
      <w:lvlJc w:val="left"/>
      <w:pPr>
        <w:ind w:left="845" w:hanging="425"/>
      </w:pPr>
      <w:rPr>
        <w:rFonts w:hint="default"/>
      </w:rPr>
    </w:lvl>
  </w:abstractNum>
  <w:abstractNum w:abstractNumId="10">
    <w:nsid w:val="A036B895"/>
    <w:multiLevelType w:val="singleLevel"/>
    <w:tmpl w:val="A036B895"/>
    <w:lvl w:ilvl="0" w:tentative="0">
      <w:start w:val="1"/>
      <w:numFmt w:val="lowerLetter"/>
      <w:lvlText w:val="%1."/>
      <w:lvlJc w:val="left"/>
      <w:pPr>
        <w:ind w:left="425" w:hanging="425"/>
      </w:pPr>
      <w:rPr>
        <w:rFonts w:hint="default"/>
      </w:rPr>
    </w:lvl>
  </w:abstractNum>
  <w:abstractNum w:abstractNumId="11">
    <w:nsid w:val="A219A20D"/>
    <w:multiLevelType w:val="multilevel"/>
    <w:tmpl w:val="A219A20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AB847D07"/>
    <w:multiLevelType w:val="multilevel"/>
    <w:tmpl w:val="AB847D07"/>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AD668BE9"/>
    <w:multiLevelType w:val="singleLevel"/>
    <w:tmpl w:val="AD668BE9"/>
    <w:lvl w:ilvl="0" w:tentative="0">
      <w:start w:val="1"/>
      <w:numFmt w:val="decimal"/>
      <w:lvlText w:val="(%1)"/>
      <w:lvlJc w:val="left"/>
      <w:pPr>
        <w:ind w:left="845" w:hanging="425"/>
      </w:pPr>
      <w:rPr>
        <w:rFonts w:hint="default"/>
      </w:rPr>
    </w:lvl>
  </w:abstractNum>
  <w:abstractNum w:abstractNumId="14">
    <w:nsid w:val="AD8D7AAD"/>
    <w:multiLevelType w:val="multilevel"/>
    <w:tmpl w:val="AD8D7AAD"/>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B0841019"/>
    <w:multiLevelType w:val="singleLevel"/>
    <w:tmpl w:val="B0841019"/>
    <w:lvl w:ilvl="0" w:tentative="0">
      <w:start w:val="1"/>
      <w:numFmt w:val="decimal"/>
      <w:suff w:val="space"/>
      <w:lvlText w:val="%1."/>
      <w:lvlJc w:val="left"/>
      <w:pPr>
        <w:ind w:left="845" w:hanging="425"/>
      </w:pPr>
      <w:rPr>
        <w:rFonts w:hint="default"/>
      </w:rPr>
    </w:lvl>
  </w:abstractNum>
  <w:abstractNum w:abstractNumId="16">
    <w:nsid w:val="B0E530E2"/>
    <w:multiLevelType w:val="multilevel"/>
    <w:tmpl w:val="B0E530E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B1EF9C50"/>
    <w:multiLevelType w:val="singleLevel"/>
    <w:tmpl w:val="B1EF9C50"/>
    <w:lvl w:ilvl="0" w:tentative="0">
      <w:start w:val="1"/>
      <w:numFmt w:val="decimal"/>
      <w:lvlText w:val="%1)"/>
      <w:lvlJc w:val="left"/>
      <w:pPr>
        <w:ind w:left="425" w:hanging="425"/>
      </w:pPr>
      <w:rPr>
        <w:rFonts w:hint="default"/>
      </w:rPr>
    </w:lvl>
  </w:abstractNum>
  <w:abstractNum w:abstractNumId="18">
    <w:nsid w:val="B532AECD"/>
    <w:multiLevelType w:val="multilevel"/>
    <w:tmpl w:val="B532AECD"/>
    <w:lvl w:ilvl="0" w:tentative="0">
      <w:start w:val="1"/>
      <w:numFmt w:val="decimal"/>
      <w:suff w:val="space"/>
      <w:lvlText w:val="（%1）"/>
      <w:lvlJc w:val="left"/>
      <w:pPr>
        <w:ind w:left="0" w:firstLine="0"/>
      </w:pPr>
      <w:rPr>
        <w:rFonts w:ascii="Times New Roman" w:hAnsi="Times New Roman" w:cs="Times New Roman"/>
        <w:b w:val="0"/>
        <w:bCs w:val="0"/>
        <w:i w:val="0"/>
        <w:iCs w:val="0"/>
        <w:caps w:val="0"/>
        <w:smallCaps w:val="0"/>
        <w:strike w:val="0"/>
        <w:dstrike w:val="0"/>
        <w:vanish w:val="0"/>
        <w:spacing w:val="0"/>
        <w:position w:val="0"/>
        <w:u w:val="none"/>
        <w:vertAlign w:val="baseline"/>
        <w:lang w:val="sv-SE"/>
      </w:rPr>
    </w:lvl>
    <w:lvl w:ilvl="1" w:tentative="0">
      <w:start w:val="1"/>
      <w:numFmt w:val="lowerLetter"/>
      <w:lvlText w:val="%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19">
    <w:nsid w:val="B5BBE331"/>
    <w:multiLevelType w:val="multilevel"/>
    <w:tmpl w:val="B5BBE331"/>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default" w:ascii="Times New Roman" w:hAnsi="Times New Roman" w:eastAsia="黑体" w:cs="Times New Roman"/>
        <w:b w:val="0"/>
        <w:i w:val="0"/>
        <w:sz w:val="21"/>
      </w:rPr>
    </w:lvl>
    <w:lvl w:ilvl="2" w:tentative="0">
      <w:start w:val="1"/>
      <w:numFmt w:val="decimal"/>
      <w:suff w:val="nothing"/>
      <w:lvlText w:val="%1%2.%3　"/>
      <w:lvlJc w:val="left"/>
      <w:pPr>
        <w:ind w:left="0" w:firstLine="0"/>
      </w:pPr>
      <w:rPr>
        <w:rFonts w:hint="default" w:ascii="Times New Roman" w:hAnsi="Times New Roman" w:eastAsia="黑体" w:cs="Times New Roman"/>
        <w:b w:val="0"/>
        <w:i w:val="0"/>
        <w:sz w:val="21"/>
      </w:rPr>
    </w:lvl>
    <w:lvl w:ilvl="3" w:tentative="0">
      <w:start w:val="1"/>
      <w:numFmt w:val="decimal"/>
      <w:suff w:val="space"/>
      <w:lvlText w:val="%4)"/>
      <w:lvlJc w:val="left"/>
      <w:pPr>
        <w:ind w:left="0" w:firstLine="0"/>
      </w:pPr>
      <w:rPr>
        <w:rFonts w:hint="default" w:ascii="宋体" w:hAnsi="宋体" w:eastAsia="宋体" w:cs="宋体"/>
        <w:b w:val="0"/>
        <w:i w:val="0"/>
        <w:sz w:val="24"/>
        <w:szCs w:val="24"/>
      </w:rPr>
    </w:lvl>
    <w:lvl w:ilvl="4" w:tentative="0">
      <w:start w:val="1"/>
      <w:numFmt w:val="decimal"/>
      <w:suff w:val="nothing"/>
      <w:lvlText w:val="%1%2.%3.%4.%5　"/>
      <w:lvlJc w:val="left"/>
      <w:pPr>
        <w:ind w:left="0" w:firstLine="0"/>
      </w:pPr>
      <w:rPr>
        <w:rFonts w:hint="default" w:ascii="Times New Roman" w:hAnsi="Times New Roman" w:eastAsia="黑体" w:cs="Times New Roman"/>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0">
    <w:nsid w:val="B67FF196"/>
    <w:multiLevelType w:val="multilevel"/>
    <w:tmpl w:val="B67FF196"/>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1">
    <w:nsid w:val="B87DBE45"/>
    <w:multiLevelType w:val="singleLevel"/>
    <w:tmpl w:val="B87DBE45"/>
    <w:lvl w:ilvl="0" w:tentative="0">
      <w:start w:val="1"/>
      <w:numFmt w:val="decimal"/>
      <w:suff w:val="space"/>
      <w:lvlText w:val="%1."/>
      <w:lvlJc w:val="left"/>
      <w:pPr>
        <w:ind w:left="845" w:hanging="425"/>
      </w:pPr>
      <w:rPr>
        <w:rFonts w:hint="default"/>
      </w:rPr>
    </w:lvl>
  </w:abstractNum>
  <w:abstractNum w:abstractNumId="22">
    <w:nsid w:val="BF1EC993"/>
    <w:multiLevelType w:val="singleLevel"/>
    <w:tmpl w:val="BF1EC993"/>
    <w:lvl w:ilvl="0" w:tentative="0">
      <w:start w:val="1"/>
      <w:numFmt w:val="decimal"/>
      <w:lvlText w:val="%1."/>
      <w:lvlJc w:val="left"/>
      <w:pPr>
        <w:ind w:left="845" w:hanging="425"/>
      </w:pPr>
      <w:rPr>
        <w:rFonts w:hint="default"/>
      </w:rPr>
    </w:lvl>
  </w:abstractNum>
  <w:abstractNum w:abstractNumId="23">
    <w:nsid w:val="BF22450E"/>
    <w:multiLevelType w:val="singleLevel"/>
    <w:tmpl w:val="BF22450E"/>
    <w:lvl w:ilvl="0" w:tentative="0">
      <w:start w:val="1"/>
      <w:numFmt w:val="decimal"/>
      <w:lvlText w:val="%1."/>
      <w:lvlJc w:val="left"/>
      <w:pPr>
        <w:ind w:left="845" w:hanging="425"/>
      </w:pPr>
      <w:rPr>
        <w:rFonts w:hint="default"/>
      </w:rPr>
    </w:lvl>
  </w:abstractNum>
  <w:abstractNum w:abstractNumId="24">
    <w:nsid w:val="BF8EBEEF"/>
    <w:multiLevelType w:val="multilevel"/>
    <w:tmpl w:val="BF8EBEEF"/>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BFFE8DEE"/>
    <w:multiLevelType w:val="multilevel"/>
    <w:tmpl w:val="BFFE8DEE"/>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6">
    <w:nsid w:val="C3FB3BF4"/>
    <w:multiLevelType w:val="multilevel"/>
    <w:tmpl w:val="C3FB3BF4"/>
    <w:lvl w:ilvl="0" w:tentative="0">
      <w:start w:val="1"/>
      <w:numFmt w:val="decimal"/>
      <w:suff w:val="space"/>
      <w:lvlText w:val="%1、"/>
      <w:lvlJc w:val="left"/>
      <w:pPr>
        <w:ind w:left="84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7">
    <w:nsid w:val="C4A39315"/>
    <w:multiLevelType w:val="singleLevel"/>
    <w:tmpl w:val="C4A39315"/>
    <w:lvl w:ilvl="0" w:tentative="0">
      <w:start w:val="1"/>
      <w:numFmt w:val="lowerLetter"/>
      <w:lvlText w:val="%1."/>
      <w:lvlJc w:val="left"/>
      <w:pPr>
        <w:ind w:left="425" w:hanging="425"/>
      </w:pPr>
      <w:rPr>
        <w:rFonts w:hint="default"/>
      </w:rPr>
    </w:lvl>
  </w:abstractNum>
  <w:abstractNum w:abstractNumId="28">
    <w:nsid w:val="CB1A4DEC"/>
    <w:multiLevelType w:val="multilevel"/>
    <w:tmpl w:val="CB1A4DEC"/>
    <w:lvl w:ilvl="0" w:tentative="0">
      <w:start w:val="1"/>
      <w:numFmt w:val="decimal"/>
      <w:lvlText w:val="%1)"/>
      <w:lvlJc w:val="left"/>
      <w:pPr>
        <w:ind w:left="0" w:firstLine="0"/>
      </w:pPr>
      <w:rPr>
        <w:rFonts w:hint="eastAsia"/>
      </w:rPr>
    </w:lvl>
    <w:lvl w:ilvl="1" w:tentative="0">
      <w:start w:val="1"/>
      <w:numFmt w:val="decimal"/>
      <w:lvlText w:val="4.1.%2 "/>
      <w:lvlJc w:val="left"/>
      <w:pPr>
        <w:tabs>
          <w:tab w:val="left" w:pos="840"/>
        </w:tabs>
        <w:ind w:left="-62" w:firstLine="482"/>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CCBADAEB"/>
    <w:multiLevelType w:val="multilevel"/>
    <w:tmpl w:val="CCBADAEB"/>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D26A5829"/>
    <w:multiLevelType w:val="multilevel"/>
    <w:tmpl w:val="D26A582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D6C6CF1F"/>
    <w:multiLevelType w:val="singleLevel"/>
    <w:tmpl w:val="D6C6CF1F"/>
    <w:lvl w:ilvl="0" w:tentative="0">
      <w:start w:val="1"/>
      <w:numFmt w:val="decimal"/>
      <w:suff w:val="space"/>
      <w:lvlText w:val="%1."/>
      <w:lvlJc w:val="left"/>
      <w:pPr>
        <w:ind w:left="845" w:hanging="425"/>
      </w:pPr>
      <w:rPr>
        <w:rFonts w:hint="default"/>
      </w:rPr>
    </w:lvl>
  </w:abstractNum>
  <w:abstractNum w:abstractNumId="32">
    <w:nsid w:val="D7FC855A"/>
    <w:multiLevelType w:val="multilevel"/>
    <w:tmpl w:val="D7FC855A"/>
    <w:lvl w:ilvl="0" w:tentative="0">
      <w:start w:val="1"/>
      <w:numFmt w:val="decimal"/>
      <w:lvlText w:val="%1）"/>
      <w:lvlJc w:val="left"/>
      <w:pPr>
        <w:ind w:left="360" w:hanging="360"/>
      </w:pPr>
      <w:rPr>
        <w:rFonts w:hint="default" w:ascii="Times New Roman" w:hAnsi="Times New Roman" w:cs="Times New Roman"/>
        <w:color w:val="000000"/>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3">
    <w:nsid w:val="D8C94C93"/>
    <w:multiLevelType w:val="singleLevel"/>
    <w:tmpl w:val="D8C94C93"/>
    <w:lvl w:ilvl="0" w:tentative="0">
      <w:start w:val="1"/>
      <w:numFmt w:val="bullet"/>
      <w:pStyle w:val="695"/>
      <w:lvlText w:val=""/>
      <w:lvlJc w:val="left"/>
      <w:pPr>
        <w:ind w:left="420" w:hanging="420"/>
      </w:pPr>
      <w:rPr>
        <w:rFonts w:hint="default" w:ascii="Wingdings" w:hAnsi="Wingdings"/>
      </w:rPr>
    </w:lvl>
  </w:abstractNum>
  <w:abstractNum w:abstractNumId="34">
    <w:nsid w:val="DFB31C88"/>
    <w:multiLevelType w:val="multilevel"/>
    <w:tmpl w:val="DFB31C8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E07BF769"/>
    <w:multiLevelType w:val="singleLevel"/>
    <w:tmpl w:val="E07BF769"/>
    <w:lvl w:ilvl="0" w:tentative="0">
      <w:start w:val="1"/>
      <w:numFmt w:val="decimal"/>
      <w:lvlText w:val="%1."/>
      <w:lvlJc w:val="left"/>
      <w:pPr>
        <w:ind w:left="845" w:hanging="425"/>
      </w:pPr>
      <w:rPr>
        <w:rFonts w:hint="default"/>
      </w:rPr>
    </w:lvl>
  </w:abstractNum>
  <w:abstractNum w:abstractNumId="36">
    <w:nsid w:val="E12A25A6"/>
    <w:multiLevelType w:val="singleLevel"/>
    <w:tmpl w:val="E12A25A6"/>
    <w:lvl w:ilvl="0" w:tentative="0">
      <w:start w:val="1"/>
      <w:numFmt w:val="decimal"/>
      <w:lvlText w:val="%1)"/>
      <w:lvlJc w:val="left"/>
      <w:pPr>
        <w:ind w:left="425" w:hanging="425"/>
      </w:pPr>
      <w:rPr>
        <w:rFonts w:hint="default"/>
      </w:rPr>
    </w:lvl>
  </w:abstractNum>
  <w:abstractNum w:abstractNumId="37">
    <w:nsid w:val="E1651371"/>
    <w:multiLevelType w:val="singleLevel"/>
    <w:tmpl w:val="E1651371"/>
    <w:lvl w:ilvl="0" w:tentative="0">
      <w:start w:val="1"/>
      <w:numFmt w:val="decimal"/>
      <w:lvlText w:val="%1."/>
      <w:lvlJc w:val="left"/>
      <w:pPr>
        <w:ind w:left="845" w:hanging="425"/>
      </w:pPr>
      <w:rPr>
        <w:rFonts w:hint="default"/>
      </w:rPr>
    </w:lvl>
  </w:abstractNum>
  <w:abstractNum w:abstractNumId="38">
    <w:nsid w:val="E456D4AE"/>
    <w:multiLevelType w:val="multilevel"/>
    <w:tmpl w:val="E456D4AE"/>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EBEF7654"/>
    <w:multiLevelType w:val="multilevel"/>
    <w:tmpl w:val="EBEF765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EF5E4618"/>
    <w:multiLevelType w:val="multilevel"/>
    <w:tmpl w:val="EF5E4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EFF5520F"/>
    <w:multiLevelType w:val="multilevel"/>
    <w:tmpl w:val="EFF5520F"/>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EFFB4360"/>
    <w:multiLevelType w:val="multilevel"/>
    <w:tmpl w:val="EFFB4360"/>
    <w:lvl w:ilvl="0" w:tentative="0">
      <w:start w:val="1"/>
      <w:numFmt w:val="decimal"/>
      <w:pStyle w:val="822"/>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5"/>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3">
    <w:nsid w:val="F079450A"/>
    <w:multiLevelType w:val="multilevel"/>
    <w:tmpl w:val="F079450A"/>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F41BCC63"/>
    <w:multiLevelType w:val="singleLevel"/>
    <w:tmpl w:val="F41BCC63"/>
    <w:lvl w:ilvl="0" w:tentative="0">
      <w:start w:val="1"/>
      <w:numFmt w:val="decimal"/>
      <w:suff w:val="space"/>
      <w:lvlText w:val="%1."/>
      <w:lvlJc w:val="left"/>
      <w:pPr>
        <w:ind w:left="845" w:hanging="425"/>
      </w:pPr>
      <w:rPr>
        <w:rFonts w:hint="default"/>
      </w:rPr>
    </w:lvl>
  </w:abstractNum>
  <w:abstractNum w:abstractNumId="45">
    <w:nsid w:val="F67421CB"/>
    <w:multiLevelType w:val="multilevel"/>
    <w:tmpl w:val="F67421CB"/>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6">
    <w:nsid w:val="F7FBCCA9"/>
    <w:multiLevelType w:val="multilevel"/>
    <w:tmpl w:val="F7FBCCA9"/>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7">
    <w:nsid w:val="F9208C4C"/>
    <w:multiLevelType w:val="multilevel"/>
    <w:tmpl w:val="F9208C4C"/>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8">
    <w:nsid w:val="F96C2878"/>
    <w:multiLevelType w:val="singleLevel"/>
    <w:tmpl w:val="F96C2878"/>
    <w:lvl w:ilvl="0" w:tentative="0">
      <w:start w:val="1"/>
      <w:numFmt w:val="decimal"/>
      <w:lvlText w:val="(%1)"/>
      <w:lvlJc w:val="left"/>
      <w:pPr>
        <w:ind w:left="845" w:hanging="425"/>
      </w:pPr>
      <w:rPr>
        <w:rFonts w:hint="default"/>
      </w:rPr>
    </w:lvl>
  </w:abstractNum>
  <w:abstractNum w:abstractNumId="49">
    <w:nsid w:val="FADEB2E8"/>
    <w:multiLevelType w:val="multilevel"/>
    <w:tmpl w:val="FADEB2E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FDDFA89D"/>
    <w:multiLevelType w:val="multilevel"/>
    <w:tmpl w:val="FDDFA89D"/>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51">
    <w:nsid w:val="FDEC95A6"/>
    <w:multiLevelType w:val="multilevel"/>
    <w:tmpl w:val="FDEC95A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2">
    <w:nsid w:val="FEF0685E"/>
    <w:multiLevelType w:val="singleLevel"/>
    <w:tmpl w:val="FEF0685E"/>
    <w:lvl w:ilvl="0" w:tentative="0">
      <w:start w:val="1"/>
      <w:numFmt w:val="decimal"/>
      <w:suff w:val="nothing"/>
      <w:lvlText w:val="%1．"/>
      <w:lvlJc w:val="left"/>
      <w:pPr>
        <w:ind w:left="0" w:firstLine="400"/>
      </w:pPr>
      <w:rPr>
        <w:rFonts w:hint="default"/>
      </w:rPr>
    </w:lvl>
  </w:abstractNum>
  <w:abstractNum w:abstractNumId="53">
    <w:nsid w:val="FFFFFF83"/>
    <w:multiLevelType w:val="singleLevel"/>
    <w:tmpl w:val="FFFFFF83"/>
    <w:lvl w:ilvl="0" w:tentative="0">
      <w:start w:val="1"/>
      <w:numFmt w:val="bullet"/>
      <w:pStyle w:val="754"/>
      <w:lvlText w:val=""/>
      <w:lvlJc w:val="left"/>
      <w:pPr>
        <w:tabs>
          <w:tab w:val="left" w:pos="780"/>
        </w:tabs>
        <w:ind w:left="780" w:leftChars="200" w:hanging="360" w:hangingChars="200"/>
      </w:pPr>
      <w:rPr>
        <w:rFonts w:hint="default" w:ascii="Wingdings" w:hAnsi="Wingdings"/>
      </w:rPr>
    </w:lvl>
  </w:abstractNum>
  <w:abstractNum w:abstractNumId="54">
    <w:nsid w:val="FFFFFF88"/>
    <w:multiLevelType w:val="singleLevel"/>
    <w:tmpl w:val="FFFFFF88"/>
    <w:lvl w:ilvl="0" w:tentative="0">
      <w:start w:val="1"/>
      <w:numFmt w:val="decimal"/>
      <w:lvlText w:val="%1."/>
      <w:lvlJc w:val="left"/>
      <w:pPr>
        <w:tabs>
          <w:tab w:val="left" w:pos="360"/>
        </w:tabs>
        <w:ind w:left="360" w:hanging="360" w:hangingChars="200"/>
      </w:pPr>
    </w:lvl>
  </w:abstractNum>
  <w:abstractNum w:abstractNumId="55">
    <w:nsid w:val="FFFFFF89"/>
    <w:multiLevelType w:val="singleLevel"/>
    <w:tmpl w:val="FFFFFF89"/>
    <w:lvl w:ilvl="0" w:tentative="0">
      <w:start w:val="1"/>
      <w:numFmt w:val="bullet"/>
      <w:pStyle w:val="790"/>
      <w:lvlText w:val=""/>
      <w:lvlJc w:val="left"/>
      <w:pPr>
        <w:tabs>
          <w:tab w:val="left" w:pos="360"/>
        </w:tabs>
        <w:ind w:left="360" w:hanging="360" w:hangingChars="200"/>
      </w:pPr>
      <w:rPr>
        <w:rFonts w:hint="default" w:ascii="Wingdings" w:hAnsi="Wingdings"/>
      </w:rPr>
    </w:lvl>
  </w:abstractNum>
  <w:abstractNum w:abstractNumId="56">
    <w:nsid w:val="00000015"/>
    <w:multiLevelType w:val="multilevel"/>
    <w:tmpl w:val="00000015"/>
    <w:lvl w:ilvl="0" w:tentative="0">
      <w:start w:val="1"/>
      <w:numFmt w:val="decimal"/>
      <w:pStyle w:val="8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7">
    <w:nsid w:val="00000016"/>
    <w:multiLevelType w:val="multilevel"/>
    <w:tmpl w:val="00000016"/>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520"/>
      <w:lvlText w:val="%3."/>
      <w:lvlJc w:val="left"/>
      <w:pPr>
        <w:tabs>
          <w:tab w:val="left" w:pos="2126"/>
        </w:tabs>
        <w:ind w:left="1701" w:firstLine="0"/>
      </w:pPr>
      <w:rPr>
        <w:rFonts w:hint="eastAsia"/>
      </w:rPr>
    </w:lvl>
    <w:lvl w:ilvl="3" w:tentative="0">
      <w:start w:val="1"/>
      <w:numFmt w:val="lowerLetter"/>
      <w:pStyle w:val="519"/>
      <w:lvlText w:val="%4)"/>
      <w:lvlJc w:val="left"/>
      <w:pPr>
        <w:tabs>
          <w:tab w:val="left" w:pos="2976"/>
        </w:tabs>
        <w:ind w:left="2551" w:firstLine="0"/>
      </w:pPr>
      <w:rPr>
        <w:rFonts w:hint="eastAsia"/>
      </w:rPr>
    </w:lvl>
    <w:lvl w:ilvl="4" w:tentative="0">
      <w:start w:val="1"/>
      <w:numFmt w:val="decimal"/>
      <w:pStyle w:val="518"/>
      <w:lvlText w:val="(%5)"/>
      <w:lvlJc w:val="left"/>
      <w:pPr>
        <w:tabs>
          <w:tab w:val="left" w:pos="3827"/>
        </w:tabs>
        <w:ind w:left="3402" w:firstLine="0"/>
      </w:pPr>
      <w:rPr>
        <w:rFonts w:hint="eastAsia"/>
      </w:rPr>
    </w:lvl>
    <w:lvl w:ilvl="5" w:tentative="0">
      <w:start w:val="1"/>
      <w:numFmt w:val="lowerLetter"/>
      <w:pStyle w:val="8"/>
      <w:suff w:val="nothing"/>
      <w:lvlText w:val="(%6)"/>
      <w:lvlJc w:val="left"/>
      <w:pPr>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8">
    <w:nsid w:val="0000001A"/>
    <w:multiLevelType w:val="multilevel"/>
    <w:tmpl w:val="0000001A"/>
    <w:lvl w:ilvl="0" w:tentative="0">
      <w:start w:val="1"/>
      <w:numFmt w:val="decimal"/>
      <w:pStyle w:val="604"/>
      <w:lvlText w:val="%1)"/>
      <w:lvlJc w:val="left"/>
      <w:pPr>
        <w:tabs>
          <w:tab w:val="left" w:pos="845"/>
        </w:tabs>
        <w:ind w:left="6" w:firstLine="420"/>
      </w:pPr>
      <w:rPr>
        <w:rFonts w:hint="eastAsia"/>
      </w:rPr>
    </w:lvl>
    <w:lvl w:ilvl="1" w:tentative="0">
      <w:start w:val="1"/>
      <w:numFmt w:val="lowerLetter"/>
      <w:pStyle w:val="390"/>
      <w:lvlText w:val="%2."/>
      <w:lvlJc w:val="left"/>
      <w:pPr>
        <w:tabs>
          <w:tab w:val="left" w:pos="839"/>
        </w:tabs>
        <w:ind w:left="0" w:firstLine="420"/>
      </w:pPr>
      <w:rPr>
        <w:rFonts w:hint="eastAsia"/>
      </w:rPr>
    </w:lvl>
    <w:lvl w:ilvl="2" w:tentative="0">
      <w:start w:val="1"/>
      <w:numFmt w:val="none"/>
      <w:lvlRestart w:val="0"/>
      <w:pStyle w:val="745"/>
      <w:lvlText w:val=""/>
      <w:lvlJc w:val="left"/>
      <w:pPr>
        <w:tabs>
          <w:tab w:val="left" w:pos="1140"/>
        </w:tabs>
        <w:ind w:left="1140" w:hanging="432"/>
      </w:pPr>
      <w:rPr>
        <w:rFonts w:hint="eastAsia"/>
      </w:rPr>
    </w:lvl>
    <w:lvl w:ilvl="3" w:tentative="0">
      <w:start w:val="1"/>
      <w:numFmt w:val="none"/>
      <w:lvlRestart w:val="0"/>
      <w:pStyle w:val="746"/>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59">
    <w:nsid w:val="00000022"/>
    <w:multiLevelType w:val="multilevel"/>
    <w:tmpl w:val="00000022"/>
    <w:lvl w:ilvl="0" w:tentative="0">
      <w:start w:val="1"/>
      <w:numFmt w:val="lowerLetter"/>
      <w:suff w:val="space"/>
      <w:lvlText w:val="%1) "/>
      <w:lvlJc w:val="left"/>
      <w:pPr>
        <w:ind w:left="0" w:firstLine="48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60">
    <w:nsid w:val="00000023"/>
    <w:multiLevelType w:val="multilevel"/>
    <w:tmpl w:val="00000023"/>
    <w:lvl w:ilvl="0" w:tentative="0">
      <w:start w:val="1"/>
      <w:numFmt w:val="decimal"/>
      <w:lvlText w:val="%1)"/>
      <w:lvlJc w:val="left"/>
      <w:pPr>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016E1E74"/>
    <w:multiLevelType w:val="singleLevel"/>
    <w:tmpl w:val="016E1E74"/>
    <w:lvl w:ilvl="0" w:tentative="0">
      <w:start w:val="1"/>
      <w:numFmt w:val="decimal"/>
      <w:suff w:val="nothing"/>
      <w:lvlText w:val="%1、"/>
      <w:lvlJc w:val="left"/>
    </w:lvl>
  </w:abstractNum>
  <w:abstractNum w:abstractNumId="62">
    <w:nsid w:val="030041AB"/>
    <w:multiLevelType w:val="multilevel"/>
    <w:tmpl w:val="030041AB"/>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3">
    <w:nsid w:val="040A15CD"/>
    <w:multiLevelType w:val="multilevel"/>
    <w:tmpl w:val="040A15CD"/>
    <w:lvl w:ilvl="0" w:tentative="0">
      <w:start w:val="1"/>
      <w:numFmt w:val="none"/>
      <w:pStyle w:val="545"/>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248"/>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4">
    <w:nsid w:val="0616E9EC"/>
    <w:multiLevelType w:val="singleLevel"/>
    <w:tmpl w:val="0616E9EC"/>
    <w:lvl w:ilvl="0" w:tentative="0">
      <w:start w:val="1"/>
      <w:numFmt w:val="decimal"/>
      <w:lvlText w:val="%1."/>
      <w:lvlJc w:val="left"/>
      <w:pPr>
        <w:ind w:left="845" w:hanging="425"/>
      </w:pPr>
      <w:rPr>
        <w:rFonts w:hint="default"/>
      </w:rPr>
    </w:lvl>
  </w:abstractNum>
  <w:abstractNum w:abstractNumId="65">
    <w:nsid w:val="06285E71"/>
    <w:multiLevelType w:val="multilevel"/>
    <w:tmpl w:val="06285E71"/>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0720012B"/>
    <w:multiLevelType w:val="multilevel"/>
    <w:tmpl w:val="0720012B"/>
    <w:lvl w:ilvl="0" w:tentative="0">
      <w:start w:val="1"/>
      <w:numFmt w:val="lowerLetter"/>
      <w:lvlText w:val="%1)"/>
      <w:lvlJc w:val="left"/>
      <w:pPr>
        <w:ind w:left="780" w:hanging="420"/>
      </w:p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7">
    <w:nsid w:val="08572910"/>
    <w:multiLevelType w:val="multilevel"/>
    <w:tmpl w:val="08572910"/>
    <w:lvl w:ilvl="0" w:tentative="0">
      <w:start w:val="1"/>
      <w:numFmt w:val="decimal"/>
      <w:pStyle w:val="798"/>
      <w:suff w:val="space"/>
      <w:lvlText w:val="（%1）"/>
      <w:lvlJc w:val="left"/>
      <w:pPr>
        <w:ind w:left="0" w:firstLine="0"/>
      </w:pPr>
      <w:rPr>
        <w:lang w:val="en-US"/>
      </w:rPr>
    </w:lvl>
    <w:lvl w:ilvl="1" w:tentative="0">
      <w:start w:val="1"/>
      <w:numFmt w:val="lowerLetter"/>
      <w:lvlText w:val="%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68">
    <w:nsid w:val="098B7133"/>
    <w:multiLevelType w:val="multilevel"/>
    <w:tmpl w:val="098B7133"/>
    <w:lvl w:ilvl="0" w:tentative="0">
      <w:start w:val="1"/>
      <w:numFmt w:val="decimal"/>
      <w:suff w:val="space"/>
      <w:lvlText w:val="(%1)"/>
      <w:lvlJc w:val="left"/>
      <w:pPr>
        <w:ind w:left="0" w:firstLine="0"/>
      </w:pPr>
      <w:rPr>
        <w:rFonts w:hint="default"/>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69">
    <w:nsid w:val="0B569976"/>
    <w:multiLevelType w:val="singleLevel"/>
    <w:tmpl w:val="0B569976"/>
    <w:lvl w:ilvl="0" w:tentative="0">
      <w:start w:val="1"/>
      <w:numFmt w:val="decimal"/>
      <w:suff w:val="space"/>
      <w:lvlText w:val="%1."/>
      <w:lvlJc w:val="left"/>
      <w:pPr>
        <w:ind w:left="845" w:hanging="425"/>
      </w:pPr>
      <w:rPr>
        <w:rFonts w:hint="default"/>
      </w:rPr>
    </w:lvl>
  </w:abstractNum>
  <w:abstractNum w:abstractNumId="70">
    <w:nsid w:val="0EDB2900"/>
    <w:multiLevelType w:val="multilevel"/>
    <w:tmpl w:val="0EDB2900"/>
    <w:lvl w:ilvl="0" w:tentative="0">
      <w:start w:val="1"/>
      <w:numFmt w:val="bullet"/>
      <w:pStyle w:val="245"/>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pStyle w:val="533"/>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71">
    <w:nsid w:val="1154DBA6"/>
    <w:multiLevelType w:val="singleLevel"/>
    <w:tmpl w:val="1154DBA6"/>
    <w:lvl w:ilvl="0" w:tentative="0">
      <w:start w:val="1"/>
      <w:numFmt w:val="decimal"/>
      <w:lvlText w:val="(%1)"/>
      <w:lvlJc w:val="left"/>
      <w:pPr>
        <w:ind w:left="845" w:hanging="425"/>
      </w:pPr>
      <w:rPr>
        <w:rFonts w:hint="default"/>
      </w:rPr>
    </w:lvl>
  </w:abstractNum>
  <w:abstractNum w:abstractNumId="72">
    <w:nsid w:val="1222A68B"/>
    <w:multiLevelType w:val="singleLevel"/>
    <w:tmpl w:val="1222A68B"/>
    <w:lvl w:ilvl="0" w:tentative="0">
      <w:start w:val="1"/>
      <w:numFmt w:val="decimal"/>
      <w:lvlText w:val="%1."/>
      <w:lvlJc w:val="left"/>
      <w:pPr>
        <w:ind w:left="845" w:hanging="425"/>
      </w:pPr>
      <w:rPr>
        <w:rFonts w:hint="default"/>
      </w:rPr>
    </w:lvl>
  </w:abstractNum>
  <w:abstractNum w:abstractNumId="73">
    <w:nsid w:val="12DAEEF6"/>
    <w:multiLevelType w:val="singleLevel"/>
    <w:tmpl w:val="12DAEEF6"/>
    <w:lvl w:ilvl="0" w:tentative="0">
      <w:start w:val="1"/>
      <w:numFmt w:val="decimal"/>
      <w:lvlText w:val="%1."/>
      <w:lvlJc w:val="left"/>
      <w:pPr>
        <w:ind w:left="845" w:hanging="425"/>
      </w:pPr>
      <w:rPr>
        <w:rFonts w:hint="default"/>
      </w:rPr>
    </w:lvl>
  </w:abstractNum>
  <w:abstractNum w:abstractNumId="74">
    <w:nsid w:val="14E44708"/>
    <w:multiLevelType w:val="singleLevel"/>
    <w:tmpl w:val="14E44708"/>
    <w:lvl w:ilvl="0" w:tentative="0">
      <w:start w:val="1"/>
      <w:numFmt w:val="lowerLetter"/>
      <w:lvlText w:val="%1."/>
      <w:lvlJc w:val="left"/>
      <w:pPr>
        <w:ind w:left="425" w:hanging="425"/>
      </w:pPr>
      <w:rPr>
        <w:rFonts w:hint="default"/>
      </w:rPr>
    </w:lvl>
  </w:abstractNum>
  <w:abstractNum w:abstractNumId="75">
    <w:nsid w:val="1644615A"/>
    <w:multiLevelType w:val="multilevel"/>
    <w:tmpl w:val="1644615A"/>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6">
    <w:nsid w:val="1A7B1449"/>
    <w:multiLevelType w:val="multilevel"/>
    <w:tmpl w:val="1A7B1449"/>
    <w:lvl w:ilvl="0" w:tentative="0">
      <w:start w:val="1"/>
      <w:numFmt w:val="decimal"/>
      <w:lvlText w:val="(%1)"/>
      <w:lvlJc w:val="left"/>
      <w:pPr>
        <w:ind w:left="0" w:firstLine="0"/>
      </w:pPr>
      <w:rPr>
        <w:rFonts w:hint="default"/>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77">
    <w:nsid w:val="1C662CE0"/>
    <w:multiLevelType w:val="multilevel"/>
    <w:tmpl w:val="1C662CE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8">
    <w:nsid w:val="20F163E0"/>
    <w:multiLevelType w:val="multilevel"/>
    <w:tmpl w:val="20F163E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9">
    <w:nsid w:val="2399F6B7"/>
    <w:multiLevelType w:val="multilevel"/>
    <w:tmpl w:val="2399F6B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0">
    <w:nsid w:val="28061821"/>
    <w:multiLevelType w:val="multilevel"/>
    <w:tmpl w:val="28061821"/>
    <w:lvl w:ilvl="0" w:tentative="0">
      <w:start w:val="1"/>
      <w:numFmt w:val="lowerLetter"/>
      <w:lvlText w:val="%1)"/>
      <w:lvlJc w:val="left"/>
      <w:pPr>
        <w:tabs>
          <w:tab w:val="left" w:pos="840"/>
        </w:tabs>
        <w:ind w:left="839" w:hanging="419"/>
      </w:pPr>
      <w:rPr>
        <w:rFonts w:hint="eastAsia" w:ascii="宋体" w:hAnsi="Times New Roman" w:eastAsia="宋体"/>
        <w:b w:val="0"/>
        <w:i w:val="0"/>
        <w:sz w:val="21"/>
        <w:szCs w:val="21"/>
      </w:rPr>
    </w:lvl>
    <w:lvl w:ilvl="1" w:tentative="0">
      <w:start w:val="1"/>
      <w:numFmt w:val="decimal"/>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81">
    <w:nsid w:val="29EC73B4"/>
    <w:multiLevelType w:val="multilevel"/>
    <w:tmpl w:val="29EC73B4"/>
    <w:lvl w:ilvl="0" w:tentative="0">
      <w:start w:val="1"/>
      <w:numFmt w:val="decimal"/>
      <w:lvlText w:val="%1)"/>
      <w:lvlJc w:val="left"/>
      <w:pPr>
        <w:ind w:left="0" w:firstLine="0"/>
      </w:pPr>
      <w:rPr>
        <w:rFonts w:hint="eastAsia"/>
      </w:rPr>
    </w:lvl>
    <w:lvl w:ilvl="1" w:tentative="0">
      <w:start w:val="1"/>
      <w:numFmt w:val="decimal"/>
      <w:lvlText w:val="4.1.%2 "/>
      <w:lvlJc w:val="left"/>
      <w:pPr>
        <w:tabs>
          <w:tab w:val="left" w:pos="840"/>
        </w:tabs>
        <w:ind w:left="-62" w:firstLine="482"/>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2">
    <w:nsid w:val="2AF36E33"/>
    <w:multiLevelType w:val="multilevel"/>
    <w:tmpl w:val="2AF36E33"/>
    <w:lvl w:ilvl="0" w:tentative="0">
      <w:start w:val="1"/>
      <w:numFmt w:val="decimal"/>
      <w:pStyle w:val="766"/>
      <w:lvlText w:val="表%1"/>
      <w:lvlJc w:val="left"/>
      <w:pPr>
        <w:ind w:left="840" w:hanging="420"/>
      </w:pPr>
      <w:rPr>
        <w:rFonts w:hint="eastAsia"/>
      </w:rPr>
    </w:lvl>
    <w:lvl w:ilvl="1" w:tentative="0">
      <w:start w:val="1"/>
      <w:numFmt w:val="decimal"/>
      <w:lvlText w:val="表%2"/>
      <w:lvlJc w:val="left"/>
      <w:pPr>
        <w:ind w:left="840" w:hanging="420"/>
      </w:pPr>
      <w:rPr>
        <w:rFonts w:hint="eastAsia"/>
        <w:sz w:val="21"/>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2D4C7617"/>
    <w:multiLevelType w:val="multilevel"/>
    <w:tmpl w:val="2D4C7617"/>
    <w:lvl w:ilvl="0" w:tentative="0">
      <w:start w:val="1"/>
      <w:numFmt w:val="decimal"/>
      <w:lvlText w:val="(%1)"/>
      <w:lvlJc w:val="left"/>
      <w:pPr>
        <w:ind w:left="0" w:firstLine="0"/>
      </w:pPr>
      <w:rPr>
        <w:rFonts w:hint="default"/>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84">
    <w:nsid w:val="2E40FBE6"/>
    <w:multiLevelType w:val="singleLevel"/>
    <w:tmpl w:val="2E40FBE6"/>
    <w:lvl w:ilvl="0" w:tentative="0">
      <w:start w:val="1"/>
      <w:numFmt w:val="decimal"/>
      <w:suff w:val="space"/>
      <w:lvlText w:val="%1."/>
      <w:lvlJc w:val="left"/>
      <w:pPr>
        <w:ind w:left="845" w:hanging="425"/>
      </w:pPr>
      <w:rPr>
        <w:rFonts w:hint="default"/>
      </w:rPr>
    </w:lvl>
  </w:abstractNum>
  <w:abstractNum w:abstractNumId="85">
    <w:nsid w:val="2EB49AFF"/>
    <w:multiLevelType w:val="singleLevel"/>
    <w:tmpl w:val="2EB49AFF"/>
    <w:lvl w:ilvl="0" w:tentative="0">
      <w:start w:val="1"/>
      <w:numFmt w:val="decimal"/>
      <w:suff w:val="space"/>
      <w:lvlText w:val="%1."/>
      <w:lvlJc w:val="left"/>
      <w:pPr>
        <w:ind w:left="845" w:hanging="425"/>
      </w:pPr>
      <w:rPr>
        <w:rFonts w:hint="default"/>
      </w:rPr>
    </w:lvl>
  </w:abstractNum>
  <w:abstractNum w:abstractNumId="86">
    <w:nsid w:val="2FBDB1C3"/>
    <w:multiLevelType w:val="multilevel"/>
    <w:tmpl w:val="2FBDB1C3"/>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suff w:val="space"/>
      <w:lvlText w:val="%1.%2.%3"/>
      <w:lvlJc w:val="left"/>
      <w:pPr>
        <w:ind w:left="1392" w:hanging="972"/>
      </w:pPr>
    </w:lvl>
    <w:lvl w:ilvl="3" w:tentative="0">
      <w:start w:val="1"/>
      <w:numFmt w:val="decimal"/>
      <w:lvlText w:val="%1.%2.%3.%4"/>
      <w:lvlJc w:val="left"/>
      <w:pPr>
        <w:ind w:left="1128" w:hanging="708"/>
      </w:pPr>
      <w:rPr>
        <w:color w:val="000000" w:themeColor="text1"/>
        <w14:textFill>
          <w14:solidFill>
            <w14:schemeClr w14:val="tx1"/>
          </w14:solidFill>
        </w14:textFill>
      </w:r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7">
    <w:nsid w:val="31C9191C"/>
    <w:multiLevelType w:val="multilevel"/>
    <w:tmpl w:val="31C9191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33C37394"/>
    <w:multiLevelType w:val="multilevel"/>
    <w:tmpl w:val="33C3739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33F2EA73"/>
    <w:multiLevelType w:val="singleLevel"/>
    <w:tmpl w:val="33F2EA73"/>
    <w:lvl w:ilvl="0" w:tentative="0">
      <w:start w:val="1"/>
      <w:numFmt w:val="decimal"/>
      <w:suff w:val="space"/>
      <w:lvlText w:val="%1."/>
      <w:lvlJc w:val="left"/>
      <w:pPr>
        <w:ind w:left="845" w:hanging="425"/>
      </w:pPr>
      <w:rPr>
        <w:rFonts w:hint="default"/>
      </w:rPr>
    </w:lvl>
  </w:abstractNum>
  <w:abstractNum w:abstractNumId="90">
    <w:nsid w:val="346F4FD1"/>
    <w:multiLevelType w:val="multilevel"/>
    <w:tmpl w:val="346F4FD1"/>
    <w:lvl w:ilvl="0" w:tentative="0">
      <w:start w:val="1"/>
      <w:numFmt w:val="decimal"/>
      <w:pStyle w:val="752"/>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1">
    <w:nsid w:val="399410CF"/>
    <w:multiLevelType w:val="multilevel"/>
    <w:tmpl w:val="399410CF"/>
    <w:lvl w:ilvl="0" w:tentative="0">
      <w:start w:val="1"/>
      <w:numFmt w:val="lowerLetter"/>
      <w:lvlText w:val="%1)"/>
      <w:lvlJc w:val="left"/>
      <w:pPr>
        <w:tabs>
          <w:tab w:val="left" w:pos="840"/>
        </w:tabs>
        <w:ind w:left="839" w:hanging="419"/>
      </w:pPr>
      <w:rPr>
        <w:rFonts w:hint="eastAsia" w:ascii="宋体" w:hAnsi="Times New Roman" w:eastAsia="宋体"/>
        <w:b w:val="0"/>
        <w:i w:val="0"/>
        <w:sz w:val="21"/>
        <w:szCs w:val="21"/>
      </w:rPr>
    </w:lvl>
    <w:lvl w:ilvl="1" w:tentative="0">
      <w:start w:val="1"/>
      <w:numFmt w:val="decimal"/>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92">
    <w:nsid w:val="3B60E971"/>
    <w:multiLevelType w:val="singleLevel"/>
    <w:tmpl w:val="3B60E971"/>
    <w:lvl w:ilvl="0" w:tentative="0">
      <w:start w:val="1"/>
      <w:numFmt w:val="lowerLetter"/>
      <w:lvlText w:val="%1."/>
      <w:lvlJc w:val="left"/>
      <w:pPr>
        <w:ind w:left="425" w:hanging="425"/>
      </w:pPr>
      <w:rPr>
        <w:rFonts w:hint="default"/>
      </w:rPr>
    </w:lvl>
  </w:abstractNum>
  <w:abstractNum w:abstractNumId="93">
    <w:nsid w:val="3BEE651C"/>
    <w:multiLevelType w:val="multilevel"/>
    <w:tmpl w:val="3BEE651C"/>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4">
    <w:nsid w:val="3C8D340A"/>
    <w:multiLevelType w:val="multilevel"/>
    <w:tmpl w:val="3C8D340A"/>
    <w:lvl w:ilvl="0" w:tentative="0">
      <w:start w:val="3"/>
      <w:numFmt w:val="decimal"/>
      <w:lvlText w:val="第%1章 "/>
      <w:lvlJc w:val="left"/>
      <w:pPr>
        <w:tabs>
          <w:tab w:val="left" w:pos="420"/>
        </w:tabs>
        <w:ind w:left="420" w:hanging="420"/>
      </w:pPr>
      <w:rPr>
        <w:rFonts w:hint="eastAsia"/>
      </w:rPr>
    </w:lvl>
    <w:lvl w:ilvl="1" w:tentative="0">
      <w:start w:val="1"/>
      <w:numFmt w:val="decimal"/>
      <w:lvlText w:val="1.%2"/>
      <w:lvlJc w:val="left"/>
      <w:pPr>
        <w:tabs>
          <w:tab w:val="left" w:pos="720"/>
        </w:tabs>
        <w:ind w:left="576" w:hanging="576"/>
      </w:pPr>
      <w:rPr>
        <w:rFonts w:hint="eastAsia"/>
      </w:rPr>
    </w:lvl>
    <w:lvl w:ilvl="2" w:tentative="0">
      <w:start w:val="1"/>
      <w:numFmt w:val="decimal"/>
      <w:lvlText w:val="%1.%2.%3"/>
      <w:lvlJc w:val="left"/>
      <w:pPr>
        <w:tabs>
          <w:tab w:val="left" w:pos="1004"/>
        </w:tabs>
        <w:ind w:left="720" w:hanging="720"/>
      </w:pPr>
      <w:rPr>
        <w:rFonts w:hint="eastAsia"/>
      </w:rPr>
    </w:lvl>
    <w:lvl w:ilvl="3" w:tentative="0">
      <w:start w:val="1"/>
      <w:numFmt w:val="decimal"/>
      <w:lvlText w:val="%1.%2.%3.%4"/>
      <w:lvlJc w:val="left"/>
      <w:pPr>
        <w:tabs>
          <w:tab w:val="left" w:pos="864"/>
        </w:tabs>
        <w:ind w:left="864" w:hanging="864"/>
      </w:pPr>
      <w:rPr>
        <w:rFonts w:hint="default" w:ascii="Times New Roman" w:hAnsi="Times New Roman" w:cs="Times New Roman"/>
      </w:rPr>
    </w:lvl>
    <w:lvl w:ilvl="4" w:tentative="0">
      <w:start w:val="1"/>
      <w:numFmt w:val="decimal"/>
      <w:lvlText w:val="(%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5">
    <w:nsid w:val="3CF00844"/>
    <w:multiLevelType w:val="multilevel"/>
    <w:tmpl w:val="3CF00844"/>
    <w:lvl w:ilvl="0" w:tentative="0">
      <w:start w:val="1"/>
      <w:numFmt w:val="decimal"/>
      <w:lvlText w:val="%1"/>
      <w:lvlJc w:val="left"/>
      <w:pPr>
        <w:ind w:left="425" w:hanging="425"/>
      </w:pPr>
      <w:rPr>
        <w:rFonts w:hint="default"/>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pStyle w:val="7"/>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6">
    <w:nsid w:val="3F09C5CD"/>
    <w:multiLevelType w:val="singleLevel"/>
    <w:tmpl w:val="3F09C5CD"/>
    <w:lvl w:ilvl="0" w:tentative="0">
      <w:start w:val="1"/>
      <w:numFmt w:val="decimal"/>
      <w:lvlText w:val="%1."/>
      <w:lvlJc w:val="left"/>
      <w:pPr>
        <w:ind w:left="845" w:hanging="425"/>
      </w:pPr>
      <w:rPr>
        <w:rFonts w:hint="default"/>
      </w:rPr>
    </w:lvl>
  </w:abstractNum>
  <w:abstractNum w:abstractNumId="97">
    <w:nsid w:val="40718947"/>
    <w:multiLevelType w:val="singleLevel"/>
    <w:tmpl w:val="40718947"/>
    <w:lvl w:ilvl="0" w:tentative="0">
      <w:start w:val="1"/>
      <w:numFmt w:val="decimal"/>
      <w:lvlText w:val="(%1)"/>
      <w:lvlJc w:val="left"/>
      <w:pPr>
        <w:ind w:left="845" w:hanging="425"/>
      </w:pPr>
      <w:rPr>
        <w:rFonts w:hint="default"/>
      </w:rPr>
    </w:lvl>
  </w:abstractNum>
  <w:abstractNum w:abstractNumId="98">
    <w:nsid w:val="413AC769"/>
    <w:multiLevelType w:val="singleLevel"/>
    <w:tmpl w:val="413AC769"/>
    <w:lvl w:ilvl="0" w:tentative="0">
      <w:start w:val="1"/>
      <w:numFmt w:val="decimal"/>
      <w:suff w:val="space"/>
      <w:lvlText w:val="%1."/>
      <w:lvlJc w:val="left"/>
      <w:pPr>
        <w:ind w:left="845" w:hanging="425"/>
      </w:pPr>
      <w:rPr>
        <w:rFonts w:hint="default"/>
      </w:rPr>
    </w:lvl>
  </w:abstractNum>
  <w:abstractNum w:abstractNumId="99">
    <w:nsid w:val="43B3560D"/>
    <w:multiLevelType w:val="singleLevel"/>
    <w:tmpl w:val="43B3560D"/>
    <w:lvl w:ilvl="0" w:tentative="0">
      <w:start w:val="1"/>
      <w:numFmt w:val="lowerLetter"/>
      <w:lvlText w:val="%1."/>
      <w:lvlJc w:val="left"/>
      <w:pPr>
        <w:ind w:left="425" w:hanging="425"/>
      </w:pPr>
      <w:rPr>
        <w:rFonts w:hint="default"/>
      </w:rPr>
    </w:lvl>
  </w:abstractNum>
  <w:abstractNum w:abstractNumId="100">
    <w:nsid w:val="44B47A96"/>
    <w:multiLevelType w:val="multilevel"/>
    <w:tmpl w:val="44B47A96"/>
    <w:lvl w:ilvl="0" w:tentative="0">
      <w:start w:val="1"/>
      <w:numFmt w:val="lowerLetter"/>
      <w:lvlText w:val="%1)"/>
      <w:lvlJc w:val="left"/>
      <w:pPr>
        <w:tabs>
          <w:tab w:val="left" w:pos="840"/>
        </w:tabs>
        <w:ind w:left="839" w:hanging="419"/>
      </w:pPr>
      <w:rPr>
        <w:rFonts w:hint="eastAsia" w:ascii="宋体" w:hAnsi="Times New Roman" w:eastAsia="宋体"/>
        <w:b w:val="0"/>
        <w:i w:val="0"/>
        <w:sz w:val="21"/>
        <w:szCs w:val="21"/>
      </w:rPr>
    </w:lvl>
    <w:lvl w:ilvl="1" w:tentative="0">
      <w:start w:val="1"/>
      <w:numFmt w:val="decimal"/>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101">
    <w:nsid w:val="45144590"/>
    <w:multiLevelType w:val="multilevel"/>
    <w:tmpl w:val="45144590"/>
    <w:lvl w:ilvl="0" w:tentative="0">
      <w:start w:val="1"/>
      <w:numFmt w:val="decimal"/>
      <w:pStyle w:val="792"/>
      <w:lvlText w:val="%1"/>
      <w:lvlJc w:val="left"/>
      <w:pPr>
        <w:ind w:left="425" w:hanging="425"/>
      </w:pPr>
      <w:rPr>
        <w:rFonts w:hint="eastAsia" w:eastAsia="黑体"/>
        <w:sz w:val="28"/>
        <w:szCs w:val="28"/>
      </w:rPr>
    </w:lvl>
    <w:lvl w:ilvl="1" w:tentative="0">
      <w:start w:val="1"/>
      <w:numFmt w:val="decimal"/>
      <w:lvlText w:val="%1.%2"/>
      <w:lvlJc w:val="left"/>
      <w:pPr>
        <w:ind w:left="992" w:hanging="567"/>
      </w:pPr>
      <w:rPr>
        <w:rFonts w:hint="eastAsia"/>
        <w:sz w:val="24"/>
        <w:szCs w:val="24"/>
      </w:rPr>
    </w:lvl>
    <w:lvl w:ilvl="2" w:tentative="0">
      <w:start w:val="1"/>
      <w:numFmt w:val="decimal"/>
      <w:lvlText w:val="%1.%2.%3"/>
      <w:lvlJc w:val="left"/>
      <w:pPr>
        <w:ind w:left="1418" w:hanging="567"/>
      </w:pPr>
      <w:rPr>
        <w:rFonts w:hint="eastAsia"/>
        <w:sz w:val="21"/>
        <w:szCs w:val="21"/>
      </w:rPr>
    </w:lvl>
    <w:lvl w:ilvl="3" w:tentative="0">
      <w:start w:val="1"/>
      <w:numFmt w:val="decimal"/>
      <w:lvlText w:val="%1.%2.%3.%4"/>
      <w:lvlJc w:val="left"/>
      <w:pPr>
        <w:ind w:left="1984" w:hanging="708"/>
      </w:pPr>
      <w:rPr>
        <w:rFonts w:hint="eastAsia" w:ascii="宋体" w:hAnsi="宋体" w:eastAsia="宋体"/>
        <w:b/>
        <w:sz w:val="21"/>
        <w:szCs w:val="21"/>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2">
    <w:nsid w:val="45C5C9E0"/>
    <w:multiLevelType w:val="multilevel"/>
    <w:tmpl w:val="45C5C9E0"/>
    <w:lvl w:ilvl="0" w:tentative="0">
      <w:start w:val="1"/>
      <w:numFmt w:val="decimal"/>
      <w:lvlText w:val="%1"/>
      <w:lvlJc w:val="left"/>
      <w:pPr>
        <w:ind w:left="432" w:hanging="432"/>
      </w:pPr>
      <w:rPr>
        <w:rFonts w:hint="default" w:ascii="黑体" w:hAnsi="黑体" w:eastAsia="黑体" w:cs="黑体"/>
        <w:sz w:val="21"/>
        <w:szCs w:val="21"/>
      </w:rPr>
    </w:lvl>
    <w:lvl w:ilvl="1" w:tentative="0">
      <w:start w:val="1"/>
      <w:numFmt w:val="decimal"/>
      <w:lvlText w:val="%1.%2"/>
      <w:lvlJc w:val="left"/>
      <w:pPr>
        <w:ind w:left="575" w:hanging="575"/>
      </w:pPr>
      <w:rPr>
        <w:rFonts w:hint="default" w:ascii="黑体" w:hAnsi="黑体" w:eastAsia="黑体" w:cs="黑体"/>
      </w:rPr>
    </w:lvl>
    <w:lvl w:ilvl="2" w:tentative="0">
      <w:start w:val="1"/>
      <w:numFmt w:val="decimal"/>
      <w:pStyle w:val="5"/>
      <w:lvlText w:val="%1.%2.%3"/>
      <w:lvlJc w:val="left"/>
      <w:pPr>
        <w:ind w:left="720" w:hanging="720"/>
      </w:pPr>
      <w:rPr>
        <w:rFonts w:hint="default" w:ascii="黑体" w:hAnsi="黑体" w:eastAsia="黑体" w:cs="黑体"/>
        <w:sz w:val="21"/>
        <w:szCs w:val="21"/>
      </w:rPr>
    </w:lvl>
    <w:lvl w:ilvl="3" w:tentative="0">
      <w:start w:val="1"/>
      <w:numFmt w:val="decimal"/>
      <w:lvlText w:val="%1.%2.%3.%4"/>
      <w:lvlJc w:val="left"/>
      <w:pPr>
        <w:ind w:left="864" w:hanging="864"/>
      </w:pPr>
      <w:rPr>
        <w:rFonts w:hint="default" w:ascii="黑体" w:hAnsi="黑体" w:eastAsia="黑体" w:cs="黑体"/>
        <w:sz w:val="21"/>
        <w:szCs w:val="21"/>
      </w:rPr>
    </w:lvl>
    <w:lvl w:ilvl="4" w:tentative="0">
      <w:start w:val="1"/>
      <w:numFmt w:val="decimal"/>
      <w:lvlText w:val="%1.%2.%3.%4.%5."/>
      <w:lvlJc w:val="left"/>
      <w:pPr>
        <w:ind w:left="1008" w:hanging="1008"/>
      </w:pPr>
      <w:rPr>
        <w:rFonts w:hint="default"/>
      </w:rPr>
    </w:lvl>
    <w:lvl w:ilvl="5" w:tentative="0">
      <w:start w:val="1"/>
      <w:numFmt w:val="decimal"/>
      <w:pStyle w:val="608"/>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03">
    <w:nsid w:val="462B8475"/>
    <w:multiLevelType w:val="singleLevel"/>
    <w:tmpl w:val="462B8475"/>
    <w:lvl w:ilvl="0" w:tentative="0">
      <w:start w:val="1"/>
      <w:numFmt w:val="decimal"/>
      <w:lvlText w:val="%1)"/>
      <w:lvlJc w:val="left"/>
      <w:pPr>
        <w:ind w:left="425" w:hanging="425"/>
      </w:pPr>
      <w:rPr>
        <w:rFonts w:hint="default"/>
      </w:rPr>
    </w:lvl>
  </w:abstractNum>
  <w:abstractNum w:abstractNumId="104">
    <w:nsid w:val="4939D076"/>
    <w:multiLevelType w:val="singleLevel"/>
    <w:tmpl w:val="4939D076"/>
    <w:lvl w:ilvl="0" w:tentative="0">
      <w:start w:val="1"/>
      <w:numFmt w:val="decimal"/>
      <w:suff w:val="space"/>
      <w:lvlText w:val="%1."/>
      <w:lvlJc w:val="left"/>
      <w:pPr>
        <w:ind w:left="845" w:hanging="425"/>
      </w:pPr>
      <w:rPr>
        <w:rFonts w:hint="default"/>
      </w:rPr>
    </w:lvl>
  </w:abstractNum>
  <w:abstractNum w:abstractNumId="105">
    <w:nsid w:val="4C8A0440"/>
    <w:multiLevelType w:val="multilevel"/>
    <w:tmpl w:val="4C8A0440"/>
    <w:lvl w:ilvl="0" w:tentative="0">
      <w:start w:val="1"/>
      <w:numFmt w:val="decimal"/>
      <w:pStyle w:val="83"/>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6">
    <w:nsid w:val="4EFA3541"/>
    <w:multiLevelType w:val="singleLevel"/>
    <w:tmpl w:val="4EFA3541"/>
    <w:lvl w:ilvl="0" w:tentative="0">
      <w:start w:val="1"/>
      <w:numFmt w:val="decimal"/>
      <w:lvlText w:val="%1)"/>
      <w:lvlJc w:val="left"/>
      <w:pPr>
        <w:ind w:left="425" w:hanging="425"/>
      </w:pPr>
      <w:rPr>
        <w:rFonts w:hint="default"/>
      </w:rPr>
    </w:lvl>
  </w:abstractNum>
  <w:abstractNum w:abstractNumId="107">
    <w:nsid w:val="527345D6"/>
    <w:multiLevelType w:val="multilevel"/>
    <w:tmpl w:val="527345D6"/>
    <w:lvl w:ilvl="0" w:tentative="0">
      <w:start w:val="1"/>
      <w:numFmt w:val="decimal"/>
      <w:suff w:val="space"/>
      <w:lvlText w:val="（%1）"/>
      <w:lvlJc w:val="left"/>
      <w:pPr>
        <w:ind w:left="0" w:firstLine="0"/>
      </w:pPr>
      <w:rPr>
        <w:rFonts w:ascii="Times New Roman" w:hAnsi="Times New Roman" w:cs="Times New Roman"/>
        <w:b w:val="0"/>
        <w:bCs w:val="0"/>
        <w:i w:val="0"/>
        <w:iCs w:val="0"/>
        <w:caps w:val="0"/>
        <w:smallCaps w:val="0"/>
        <w:strike w:val="0"/>
        <w:dstrike w:val="0"/>
        <w:vanish w:val="0"/>
        <w:spacing w:val="0"/>
        <w:position w:val="0"/>
        <w:u w:val="none"/>
        <w:vertAlign w:val="baseline"/>
        <w:lang w:val="sv-SE"/>
      </w:rPr>
    </w:lvl>
    <w:lvl w:ilvl="1" w:tentative="0">
      <w:start w:val="1"/>
      <w:numFmt w:val="lowerLetter"/>
      <w:lvlText w:val="%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108">
    <w:nsid w:val="54446B4D"/>
    <w:multiLevelType w:val="multilevel"/>
    <w:tmpl w:val="54446B4D"/>
    <w:lvl w:ilvl="0" w:tentative="0">
      <w:start w:val="1"/>
      <w:numFmt w:val="bullet"/>
      <w:pStyle w:val="398"/>
      <w:lvlText w:val=""/>
      <w:lvlJc w:val="left"/>
      <w:pPr>
        <w:ind w:left="902" w:hanging="420"/>
      </w:pPr>
      <w:rPr>
        <w:rFonts w:hint="default" w:ascii="Wingdings" w:hAnsi="Wingdings"/>
      </w:rPr>
    </w:lvl>
    <w:lvl w:ilvl="1" w:tentative="0">
      <w:start w:val="1"/>
      <w:numFmt w:val="bullet"/>
      <w:pStyle w:val="617"/>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9">
    <w:nsid w:val="54B7BF4C"/>
    <w:multiLevelType w:val="singleLevel"/>
    <w:tmpl w:val="54B7BF4C"/>
    <w:lvl w:ilvl="0" w:tentative="0">
      <w:start w:val="1"/>
      <w:numFmt w:val="lowerLetter"/>
      <w:lvlText w:val="%1."/>
      <w:lvlJc w:val="left"/>
      <w:pPr>
        <w:ind w:left="425" w:hanging="425"/>
      </w:pPr>
      <w:rPr>
        <w:rFonts w:hint="default"/>
      </w:rPr>
    </w:lvl>
  </w:abstractNum>
  <w:abstractNum w:abstractNumId="110">
    <w:nsid w:val="54C849DA"/>
    <w:multiLevelType w:val="multilevel"/>
    <w:tmpl w:val="54C849DA"/>
    <w:lvl w:ilvl="0" w:tentative="0">
      <w:start w:val="1"/>
      <w:numFmt w:val="decimal"/>
      <w:lvlText w:val="%1"/>
      <w:lvlJc w:val="left"/>
      <w:pPr>
        <w:ind w:left="425" w:hanging="425"/>
      </w:pPr>
      <w:rPr>
        <w:rFonts w:hint="eastAsia"/>
      </w:rPr>
    </w:lvl>
    <w:lvl w:ilvl="1" w:tentative="0">
      <w:start w:val="1"/>
      <w:numFmt w:val="decimal"/>
      <w:pStyle w:val="117"/>
      <w:lvlText w:val="%1.%2"/>
      <w:lvlJc w:val="left"/>
      <w:pPr>
        <w:ind w:left="992" w:hanging="567"/>
      </w:pPr>
      <w:rPr>
        <w:rFonts w:hint="eastAsia"/>
      </w:rPr>
    </w:lvl>
    <w:lvl w:ilvl="2" w:tentative="0">
      <w:start w:val="1"/>
      <w:numFmt w:val="decimal"/>
      <w:pStyle w:val="118"/>
      <w:lvlText w:val="%1.%2.%3"/>
      <w:lvlJc w:val="left"/>
      <w:pPr>
        <w:ind w:left="851" w:hanging="567"/>
      </w:pPr>
      <w:rPr>
        <w:rFonts w:hint="eastAsia"/>
        <w:lang w:eastAsia="zh-CN"/>
      </w:rPr>
    </w:lvl>
    <w:lvl w:ilvl="3" w:tentative="0">
      <w:start w:val="1"/>
      <w:numFmt w:val="decimal"/>
      <w:lvlText w:val="%1.%2.%3.%4"/>
      <w:lvlJc w:val="left"/>
      <w:pPr>
        <w:ind w:left="1984" w:hanging="708"/>
      </w:pPr>
      <w:rPr>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1">
    <w:nsid w:val="557C2AF5"/>
    <w:multiLevelType w:val="multilevel"/>
    <w:tmpl w:val="557C2AF5"/>
    <w:lvl w:ilvl="0" w:tentative="0">
      <w:start w:val="1"/>
      <w:numFmt w:val="decimal"/>
      <w:pStyle w:val="84"/>
      <w:suff w:val="nothing"/>
      <w:lvlText w:val="图%1　"/>
      <w:lvlJc w:val="left"/>
      <w:pPr>
        <w:ind w:left="5775"/>
      </w:pPr>
      <w:rPr>
        <w:rFonts w:hint="eastAsia" w:ascii="黑体" w:hAnsi="Times New Roman" w:eastAsia="黑体" w:cs="Times New Roman"/>
        <w:b w:val="0"/>
        <w:bCs w:val="0"/>
        <w:i w:val="0"/>
        <w:iCs w:val="0"/>
        <w:sz w:val="21"/>
        <w:szCs w:val="21"/>
        <w:lang w:val="en-US"/>
      </w:rPr>
    </w:lvl>
    <w:lvl w:ilvl="1" w:tentative="0">
      <w:start w:val="1"/>
      <w:numFmt w:val="decimal"/>
      <w:suff w:val="nothing"/>
      <w:lvlText w:val="%1%2　"/>
      <w:lvlJc w:val="left"/>
      <w:rPr>
        <w:rFonts w:hint="default" w:ascii="Times New Roman" w:hAnsi="Times New Roman" w:eastAsia="黑体" w:cs="Times New Roman"/>
        <w:b w:val="0"/>
        <w:bCs w:val="0"/>
        <w:i w:val="0"/>
        <w:iCs w:val="0"/>
        <w:sz w:val="21"/>
        <w:szCs w:val="21"/>
      </w:rPr>
    </w:lvl>
    <w:lvl w:ilvl="2" w:tentative="0">
      <w:start w:val="1"/>
      <w:numFmt w:val="decimal"/>
      <w:suff w:val="nothing"/>
      <w:lvlText w:val="%1%2.%3　"/>
      <w:lvlJc w:val="left"/>
      <w:rPr>
        <w:rFonts w:hint="default" w:ascii="Times New Roman" w:hAnsi="Times New Roman" w:eastAsia="黑体" w:cs="Times New Roman"/>
        <w:b w:val="0"/>
        <w:bCs w:val="0"/>
        <w:i w:val="0"/>
        <w:iCs w:val="0"/>
        <w:sz w:val="21"/>
        <w:szCs w:val="21"/>
      </w:rPr>
    </w:lvl>
    <w:lvl w:ilvl="3" w:tentative="0">
      <w:start w:val="1"/>
      <w:numFmt w:val="decimal"/>
      <w:suff w:val="nothing"/>
      <w:lvlText w:val="%1%2.%3.%4　"/>
      <w:lvlJc w:val="left"/>
      <w:rPr>
        <w:rFonts w:hint="default" w:ascii="Times New Roman" w:hAnsi="Times New Roman" w:eastAsia="黑体" w:cs="Times New Roman"/>
        <w:b w:val="0"/>
        <w:bCs w:val="0"/>
        <w:i w:val="0"/>
        <w:iCs w:val="0"/>
        <w:sz w:val="21"/>
        <w:szCs w:val="21"/>
      </w:rPr>
    </w:lvl>
    <w:lvl w:ilvl="4" w:tentative="0">
      <w:start w:val="1"/>
      <w:numFmt w:val="decimal"/>
      <w:suff w:val="nothing"/>
      <w:lvlText w:val="%1%2.%3.%4.%5　"/>
      <w:lvlJc w:val="left"/>
      <w:rPr>
        <w:rFonts w:hint="default" w:ascii="Times New Roman" w:hAnsi="Times New Roman" w:eastAsia="黑体" w:cs="Times New Roman"/>
        <w:b w:val="0"/>
        <w:bCs w:val="0"/>
        <w:i w:val="0"/>
        <w:iCs w:val="0"/>
        <w:sz w:val="21"/>
        <w:szCs w:val="21"/>
      </w:rPr>
    </w:lvl>
    <w:lvl w:ilvl="5" w:tentative="0">
      <w:start w:val="1"/>
      <w:numFmt w:val="decimal"/>
      <w:suff w:val="nothing"/>
      <w:lvlText w:val="%1%2.%3.%4.%5.%6　"/>
      <w:lvlJc w:val="left"/>
      <w:rPr>
        <w:rFonts w:hint="default" w:ascii="Times New Roman" w:hAnsi="Times New Roman" w:eastAsia="黑体" w:cs="Times New Roman"/>
        <w:b w:val="0"/>
        <w:bCs w:val="0"/>
        <w:i w:val="0"/>
        <w:iCs w:val="0"/>
        <w:sz w:val="21"/>
        <w:szCs w:val="21"/>
      </w:rPr>
    </w:lvl>
    <w:lvl w:ilvl="6" w:tentative="0">
      <w:start w:val="1"/>
      <w:numFmt w:val="decimal"/>
      <w:suff w:val="nothing"/>
      <w:lvlText w:val="%1%2.%3.%4.%5.%6.%7　"/>
      <w:lvlJc w:val="left"/>
      <w:rPr>
        <w:rFonts w:hint="default" w:ascii="Times New Roman" w:hAnsi="Times New Roman" w:eastAsia="黑体" w:cs="Times New Roman"/>
        <w:b w:val="0"/>
        <w:bCs w:val="0"/>
        <w:i w:val="0"/>
        <w:iCs w:val="0"/>
        <w:sz w:val="21"/>
        <w:szCs w:val="21"/>
      </w:rPr>
    </w:lvl>
    <w:lvl w:ilvl="7" w:tentative="0">
      <w:start w:val="1"/>
      <w:numFmt w:val="decimal"/>
      <w:lvlText w:val="%1.%2.%3.%4.%5.%6.%7.%8"/>
      <w:lvlJc w:val="left"/>
      <w:pPr>
        <w:tabs>
          <w:tab w:val="left" w:pos="7291"/>
        </w:tabs>
        <w:ind w:left="6909" w:hanging="1418"/>
      </w:pPr>
      <w:rPr>
        <w:rFonts w:hint="eastAsia" w:cs="Times New Roman"/>
      </w:rPr>
    </w:lvl>
    <w:lvl w:ilvl="8" w:tentative="0">
      <w:start w:val="1"/>
      <w:numFmt w:val="decimal"/>
      <w:lvlText w:val="%1.%2.%3.%4.%5.%6.%7.%8.%9"/>
      <w:lvlJc w:val="left"/>
      <w:pPr>
        <w:tabs>
          <w:tab w:val="left" w:pos="7717"/>
        </w:tabs>
        <w:ind w:left="7617" w:hanging="1700"/>
      </w:pPr>
      <w:rPr>
        <w:rFonts w:hint="eastAsia" w:cs="Times New Roman"/>
      </w:rPr>
    </w:lvl>
  </w:abstractNum>
  <w:abstractNum w:abstractNumId="112">
    <w:nsid w:val="5BAC7FB6"/>
    <w:multiLevelType w:val="multilevel"/>
    <w:tmpl w:val="5BAC7FB6"/>
    <w:lvl w:ilvl="0" w:tentative="0">
      <w:start w:val="1"/>
      <w:numFmt w:val="decimal"/>
      <w:lvlText w:val="%1"/>
      <w:lvlJc w:val="left"/>
      <w:pPr>
        <w:ind w:left="432" w:hanging="432"/>
      </w:pPr>
      <w:rPr>
        <w:rFonts w:hint="default" w:ascii="黑体" w:hAnsi="黑体" w:eastAsia="黑体" w:cs="黑体"/>
        <w:sz w:val="21"/>
        <w:szCs w:val="21"/>
      </w:rPr>
    </w:lvl>
    <w:lvl w:ilvl="1" w:tentative="0">
      <w:start w:val="1"/>
      <w:numFmt w:val="decimal"/>
      <w:pStyle w:val="583"/>
      <w:lvlText w:val="%1.%2"/>
      <w:lvlJc w:val="left"/>
      <w:pPr>
        <w:ind w:left="575" w:hanging="575"/>
      </w:pPr>
      <w:rPr>
        <w:rFonts w:hint="default" w:ascii="黑体" w:hAnsi="黑体" w:eastAsia="黑体" w:cs="黑体"/>
        <w:sz w:val="21"/>
        <w:szCs w:val="21"/>
      </w:rPr>
    </w:lvl>
    <w:lvl w:ilvl="2" w:tentative="0">
      <w:start w:val="1"/>
      <w:numFmt w:val="decimal"/>
      <w:pStyle w:val="668"/>
      <w:lvlText w:val="%1.%2.%3"/>
      <w:lvlJc w:val="left"/>
      <w:pPr>
        <w:ind w:left="720" w:hanging="720"/>
      </w:pPr>
      <w:rPr>
        <w:rFonts w:hint="default" w:ascii="黑体" w:hAnsi="黑体" w:eastAsia="黑体" w:cs="黑体"/>
        <w:b w:val="0"/>
        <w:bCs w:val="0"/>
        <w:sz w:val="21"/>
        <w:szCs w:val="21"/>
      </w:rPr>
    </w:lvl>
    <w:lvl w:ilvl="3" w:tentative="0">
      <w:start w:val="1"/>
      <w:numFmt w:val="decimal"/>
      <w:pStyle w:val="6"/>
      <w:lvlText w:val="%1.%2.%3.%4"/>
      <w:lvlJc w:val="left"/>
      <w:pPr>
        <w:ind w:left="864" w:hanging="864"/>
      </w:pPr>
      <w:rPr>
        <w:rFonts w:hint="default" w:ascii="黑体" w:hAnsi="黑体" w:eastAsia="黑体" w:cs="黑体"/>
        <w:b w:val="0"/>
        <w:bCs w:val="0"/>
        <w:sz w:val="21"/>
        <w:szCs w:val="21"/>
      </w:rPr>
    </w:lvl>
    <w:lvl w:ilvl="4" w:tentative="0">
      <w:start w:val="1"/>
      <w:numFmt w:val="decimal"/>
      <w:lvlText w:val="%1.%2.%3.%4.%5."/>
      <w:lvlJc w:val="left"/>
      <w:pPr>
        <w:ind w:left="1008" w:hanging="1008"/>
      </w:pPr>
      <w:rPr>
        <w:rFonts w:hint="default" w:ascii="黑体" w:hAnsi="黑体" w:eastAsia="黑体" w:cs="黑体"/>
        <w:sz w:val="21"/>
        <w:szCs w:val="21"/>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13">
    <w:nsid w:val="5C370421"/>
    <w:multiLevelType w:val="multilevel"/>
    <w:tmpl w:val="5C370421"/>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pStyle w:val="667"/>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4">
    <w:nsid w:val="5D531AC1"/>
    <w:multiLevelType w:val="multilevel"/>
    <w:tmpl w:val="5D531AC1"/>
    <w:lvl w:ilvl="0" w:tentative="0">
      <w:start w:val="1"/>
      <w:numFmt w:val="decimal"/>
      <w:suff w:val="space"/>
      <w:lvlText w:val="（%1）"/>
      <w:lvlJc w:val="left"/>
      <w:pPr>
        <w:ind w:left="0" w:firstLine="0"/>
      </w:pPr>
      <w:rPr>
        <w:rFonts w:ascii="Times New Roman" w:hAnsi="Times New Roman" w:cs="Times New Roman"/>
        <w:b w:val="0"/>
        <w:bCs w:val="0"/>
        <w:i w:val="0"/>
        <w:iCs w:val="0"/>
        <w:caps w:val="0"/>
        <w:smallCaps w:val="0"/>
        <w:strike w:val="0"/>
        <w:dstrike w:val="0"/>
        <w:vanish w:val="0"/>
        <w:spacing w:val="0"/>
        <w:position w:val="0"/>
        <w:u w:val="none"/>
        <w:vertAlign w:val="baseline"/>
        <w:lang w:val="sv-SE"/>
      </w:rPr>
    </w:lvl>
    <w:lvl w:ilvl="1" w:tentative="0">
      <w:start w:val="1"/>
      <w:numFmt w:val="lowerLetter"/>
      <w:lvlText w:val="%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115">
    <w:nsid w:val="5F058E93"/>
    <w:multiLevelType w:val="singleLevel"/>
    <w:tmpl w:val="5F058E93"/>
    <w:lvl w:ilvl="0" w:tentative="0">
      <w:start w:val="1"/>
      <w:numFmt w:val="decimal"/>
      <w:suff w:val="space"/>
      <w:lvlText w:val="%1."/>
      <w:lvlJc w:val="left"/>
      <w:pPr>
        <w:ind w:left="845" w:hanging="425"/>
      </w:pPr>
      <w:rPr>
        <w:rFonts w:hint="default"/>
      </w:rPr>
    </w:lvl>
  </w:abstractNum>
  <w:abstractNum w:abstractNumId="116">
    <w:nsid w:val="62798B27"/>
    <w:multiLevelType w:val="singleLevel"/>
    <w:tmpl w:val="62798B27"/>
    <w:lvl w:ilvl="0" w:tentative="0">
      <w:start w:val="1"/>
      <w:numFmt w:val="decimal"/>
      <w:suff w:val="space"/>
      <w:lvlText w:val="%1."/>
      <w:lvlJc w:val="left"/>
      <w:pPr>
        <w:ind w:left="845" w:hanging="425"/>
      </w:pPr>
      <w:rPr>
        <w:rFonts w:hint="default"/>
      </w:rPr>
    </w:lvl>
  </w:abstractNum>
  <w:abstractNum w:abstractNumId="117">
    <w:nsid w:val="646260FA"/>
    <w:multiLevelType w:val="multilevel"/>
    <w:tmpl w:val="646260FA"/>
    <w:lvl w:ilvl="0" w:tentative="0">
      <w:start w:val="1"/>
      <w:numFmt w:val="decimal"/>
      <w:pStyle w:val="76"/>
      <w:suff w:val="nothing"/>
      <w:lvlText w:val="表%1　"/>
      <w:lvlJc w:val="left"/>
      <w:rPr>
        <w:rFonts w:hint="eastAsia" w:ascii="黑体" w:hAnsi="Times New Roman" w:eastAsia="黑体" w:cs="Times New Roman"/>
        <w:b w:val="0"/>
        <w:bCs w:val="0"/>
        <w:i w:val="0"/>
        <w:iCs w:val="0"/>
        <w:sz w:val="21"/>
        <w:szCs w:val="21"/>
      </w:rPr>
    </w:lvl>
    <w:lvl w:ilvl="1" w:tentative="0">
      <w:start w:val="1"/>
      <w:numFmt w:val="decimal"/>
      <w:lvlText w:val="%1.%2"/>
      <w:lvlJc w:val="left"/>
      <w:pPr>
        <w:tabs>
          <w:tab w:val="left" w:pos="4037"/>
        </w:tabs>
        <w:ind w:left="4037" w:hanging="567"/>
      </w:pPr>
      <w:rPr>
        <w:rFonts w:hint="eastAsia" w:cs="Times New Roman"/>
      </w:rPr>
    </w:lvl>
    <w:lvl w:ilvl="2" w:tentative="0">
      <w:start w:val="1"/>
      <w:numFmt w:val="decimal"/>
      <w:lvlText w:val="%1.%2.%3"/>
      <w:lvlJc w:val="left"/>
      <w:pPr>
        <w:tabs>
          <w:tab w:val="left" w:pos="4463"/>
        </w:tabs>
        <w:ind w:left="4463" w:hanging="567"/>
      </w:pPr>
      <w:rPr>
        <w:rFonts w:hint="eastAsia" w:cs="Times New Roman"/>
      </w:rPr>
    </w:lvl>
    <w:lvl w:ilvl="3" w:tentative="0">
      <w:start w:val="1"/>
      <w:numFmt w:val="decimal"/>
      <w:lvlText w:val="%1.%2.%3.%4"/>
      <w:lvlJc w:val="left"/>
      <w:pPr>
        <w:tabs>
          <w:tab w:val="left" w:pos="5029"/>
        </w:tabs>
        <w:ind w:left="5029" w:hanging="708"/>
      </w:pPr>
      <w:rPr>
        <w:rFonts w:hint="eastAsia" w:cs="Times New Roman"/>
      </w:rPr>
    </w:lvl>
    <w:lvl w:ilvl="4" w:tentative="0">
      <w:start w:val="1"/>
      <w:numFmt w:val="decimal"/>
      <w:lvlText w:val="%1.%2.%3.%4.%5"/>
      <w:lvlJc w:val="left"/>
      <w:pPr>
        <w:tabs>
          <w:tab w:val="left" w:pos="5596"/>
        </w:tabs>
        <w:ind w:left="5596" w:hanging="850"/>
      </w:pPr>
      <w:rPr>
        <w:rFonts w:hint="eastAsia" w:cs="Times New Roman"/>
      </w:rPr>
    </w:lvl>
    <w:lvl w:ilvl="5" w:tentative="0">
      <w:start w:val="1"/>
      <w:numFmt w:val="decimal"/>
      <w:lvlText w:val="%1.%2.%3.%4.%5.%6"/>
      <w:lvlJc w:val="left"/>
      <w:pPr>
        <w:tabs>
          <w:tab w:val="left" w:pos="6305"/>
        </w:tabs>
        <w:ind w:left="6305" w:hanging="1134"/>
      </w:pPr>
      <w:rPr>
        <w:rFonts w:hint="eastAsia" w:cs="Times New Roman"/>
      </w:rPr>
    </w:lvl>
    <w:lvl w:ilvl="6" w:tentative="0">
      <w:start w:val="1"/>
      <w:numFmt w:val="decimal"/>
      <w:lvlText w:val="%1.%2.%3.%4.%5.%6.%7"/>
      <w:lvlJc w:val="left"/>
      <w:pPr>
        <w:tabs>
          <w:tab w:val="left" w:pos="6872"/>
        </w:tabs>
        <w:ind w:left="6872" w:hanging="1276"/>
      </w:pPr>
      <w:rPr>
        <w:rFonts w:hint="eastAsia" w:cs="Times New Roman"/>
      </w:rPr>
    </w:lvl>
    <w:lvl w:ilvl="7" w:tentative="0">
      <w:start w:val="1"/>
      <w:numFmt w:val="decimal"/>
      <w:lvlText w:val="%1.%2.%3.%4.%5.%6.%7.%8"/>
      <w:lvlJc w:val="left"/>
      <w:pPr>
        <w:tabs>
          <w:tab w:val="left" w:pos="7439"/>
        </w:tabs>
        <w:ind w:left="7439" w:hanging="1418"/>
      </w:pPr>
      <w:rPr>
        <w:rFonts w:hint="eastAsia" w:cs="Times New Roman"/>
      </w:rPr>
    </w:lvl>
    <w:lvl w:ilvl="8" w:tentative="0">
      <w:start w:val="1"/>
      <w:numFmt w:val="decimal"/>
      <w:lvlText w:val="%1.%2.%3.%4.%5.%6.%7.%8.%9"/>
      <w:lvlJc w:val="left"/>
      <w:pPr>
        <w:tabs>
          <w:tab w:val="left" w:pos="8147"/>
        </w:tabs>
        <w:ind w:left="8147" w:hanging="1700"/>
      </w:pPr>
      <w:rPr>
        <w:rFonts w:hint="eastAsia" w:cs="Times New Roman"/>
      </w:rPr>
    </w:lvl>
  </w:abstractNum>
  <w:abstractNum w:abstractNumId="118">
    <w:nsid w:val="67450F97"/>
    <w:multiLevelType w:val="singleLevel"/>
    <w:tmpl w:val="67450F97"/>
    <w:lvl w:ilvl="0" w:tentative="0">
      <w:start w:val="1"/>
      <w:numFmt w:val="decimal"/>
      <w:lvlText w:val="%1."/>
      <w:lvlJc w:val="left"/>
      <w:pPr>
        <w:ind w:left="845" w:hanging="425"/>
      </w:pPr>
      <w:rPr>
        <w:rFonts w:hint="default"/>
      </w:rPr>
    </w:lvl>
  </w:abstractNum>
  <w:abstractNum w:abstractNumId="119">
    <w:nsid w:val="6B441B10"/>
    <w:multiLevelType w:val="multilevel"/>
    <w:tmpl w:val="6B441B1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0">
    <w:nsid w:val="6DFA50C9"/>
    <w:multiLevelType w:val="multilevel"/>
    <w:tmpl w:val="6DFA50C9"/>
    <w:lvl w:ilvl="0" w:tentative="0">
      <w:start w:val="1"/>
      <w:numFmt w:val="decimal"/>
      <w:lvlText w:val="%1"/>
      <w:lvlJc w:val="left"/>
      <w:pPr>
        <w:ind w:left="420" w:hanging="420"/>
      </w:pPr>
      <w:rPr>
        <w:rFonts w:hint="default"/>
      </w:rPr>
    </w:lvl>
    <w:lvl w:ilvl="1" w:tentative="0">
      <w:start w:val="1"/>
      <w:numFmt w:val="decimal"/>
      <w:isLgl/>
      <w:lvlText w:val="%1.%2"/>
      <w:lvlJc w:val="left"/>
      <w:pPr>
        <w:ind w:left="840" w:hanging="600"/>
      </w:pPr>
      <w:rPr>
        <w:rFonts w:hint="default"/>
      </w:rPr>
    </w:lvl>
    <w:lvl w:ilvl="2" w:tentative="0">
      <w:start w:val="1"/>
      <w:numFmt w:val="decimal"/>
      <w:isLgl/>
      <w:lvlText w:val="%1.%2.%3"/>
      <w:lvlJc w:val="left"/>
      <w:pPr>
        <w:ind w:left="1200" w:hanging="720"/>
      </w:pPr>
      <w:rPr>
        <w:rFonts w:hint="default"/>
      </w:rPr>
    </w:lvl>
    <w:lvl w:ilvl="3" w:tentative="0">
      <w:start w:val="1"/>
      <w:numFmt w:val="decimal"/>
      <w:isLgl/>
      <w:lvlText w:val="%1.%2.%3.%4"/>
      <w:lvlJc w:val="left"/>
      <w:pPr>
        <w:ind w:left="1440" w:hanging="720"/>
      </w:pPr>
      <w:rPr>
        <w:rFonts w:hint="default"/>
      </w:rPr>
    </w:lvl>
    <w:lvl w:ilvl="4" w:tentative="0">
      <w:start w:val="1"/>
      <w:numFmt w:val="decimal"/>
      <w:isLgl/>
      <w:lvlText w:val="%1.%2.%3.%4.%5"/>
      <w:lvlJc w:val="left"/>
      <w:pPr>
        <w:ind w:left="2040" w:hanging="1080"/>
      </w:pPr>
      <w:rPr>
        <w:rFonts w:hint="default"/>
      </w:rPr>
    </w:lvl>
    <w:lvl w:ilvl="5" w:tentative="0">
      <w:start w:val="1"/>
      <w:numFmt w:val="decimal"/>
      <w:isLgl/>
      <w:lvlText w:val="%1.%2.%3.%4.%5.%6"/>
      <w:lvlJc w:val="left"/>
      <w:pPr>
        <w:ind w:left="2280" w:hanging="1080"/>
      </w:pPr>
      <w:rPr>
        <w:rFonts w:hint="default"/>
      </w:rPr>
    </w:lvl>
    <w:lvl w:ilvl="6" w:tentative="0">
      <w:start w:val="1"/>
      <w:numFmt w:val="decimal"/>
      <w:isLgl/>
      <w:lvlText w:val="%1.%2.%3.%4.%5.%6.%7"/>
      <w:lvlJc w:val="left"/>
      <w:pPr>
        <w:ind w:left="2880" w:hanging="1440"/>
      </w:pPr>
      <w:rPr>
        <w:rFonts w:hint="default"/>
      </w:rPr>
    </w:lvl>
    <w:lvl w:ilvl="7" w:tentative="0">
      <w:start w:val="1"/>
      <w:numFmt w:val="decimal"/>
      <w:isLgl/>
      <w:lvlText w:val="%1.%2.%3.%4.%5.%6.%7.%8"/>
      <w:lvlJc w:val="left"/>
      <w:pPr>
        <w:ind w:left="3120" w:hanging="1440"/>
      </w:pPr>
      <w:rPr>
        <w:rFonts w:hint="default"/>
      </w:rPr>
    </w:lvl>
    <w:lvl w:ilvl="8" w:tentative="0">
      <w:start w:val="1"/>
      <w:numFmt w:val="decimal"/>
      <w:isLgl/>
      <w:lvlText w:val="%1.%2.%3.%4.%5.%6.%7.%8.%9"/>
      <w:lvlJc w:val="left"/>
      <w:pPr>
        <w:ind w:left="3720" w:hanging="1800"/>
      </w:pPr>
      <w:rPr>
        <w:rFonts w:hint="default"/>
      </w:rPr>
    </w:lvl>
  </w:abstractNum>
  <w:abstractNum w:abstractNumId="121">
    <w:nsid w:val="70E73971"/>
    <w:multiLevelType w:val="singleLevel"/>
    <w:tmpl w:val="70E73971"/>
    <w:lvl w:ilvl="0" w:tentative="0">
      <w:start w:val="1"/>
      <w:numFmt w:val="decimal"/>
      <w:lvlText w:val="%1."/>
      <w:lvlJc w:val="left"/>
      <w:pPr>
        <w:ind w:left="845" w:hanging="425"/>
      </w:pPr>
      <w:rPr>
        <w:rFonts w:hint="default"/>
      </w:rPr>
    </w:lvl>
  </w:abstractNum>
  <w:abstractNum w:abstractNumId="122">
    <w:nsid w:val="73726F99"/>
    <w:multiLevelType w:val="singleLevel"/>
    <w:tmpl w:val="73726F99"/>
    <w:lvl w:ilvl="0" w:tentative="0">
      <w:start w:val="1"/>
      <w:numFmt w:val="lowerLetter"/>
      <w:lvlText w:val="%1."/>
      <w:lvlJc w:val="left"/>
      <w:pPr>
        <w:ind w:left="425" w:hanging="425"/>
      </w:pPr>
      <w:rPr>
        <w:rFonts w:hint="default"/>
      </w:rPr>
    </w:lvl>
  </w:abstractNum>
  <w:abstractNum w:abstractNumId="123">
    <w:nsid w:val="7615649A"/>
    <w:multiLevelType w:val="multilevel"/>
    <w:tmpl w:val="7615649A"/>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4">
    <w:nsid w:val="795107C4"/>
    <w:multiLevelType w:val="multilevel"/>
    <w:tmpl w:val="795107C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default" w:ascii="Times New Roman" w:hAnsi="Times New Roman" w:eastAsia="黑体" w:cs="Times New Roman"/>
        <w:b w:val="0"/>
        <w:i w:val="0"/>
        <w:sz w:val="21"/>
      </w:rPr>
    </w:lvl>
    <w:lvl w:ilvl="2" w:tentative="0">
      <w:start w:val="1"/>
      <w:numFmt w:val="decimal"/>
      <w:suff w:val="nothing"/>
      <w:lvlText w:val="%1%2.%3　"/>
      <w:lvlJc w:val="left"/>
      <w:pPr>
        <w:ind w:left="0" w:firstLine="0"/>
      </w:pPr>
      <w:rPr>
        <w:rFonts w:hint="default" w:ascii="Times New Roman" w:hAnsi="Times New Roman" w:eastAsia="黑体" w:cs="Times New Roman"/>
        <w:b w:val="0"/>
        <w:i w:val="0"/>
        <w:sz w:val="21"/>
      </w:rPr>
    </w:lvl>
    <w:lvl w:ilvl="3" w:tentative="0">
      <w:start w:val="1"/>
      <w:numFmt w:val="decimal"/>
      <w:suff w:val="space"/>
      <w:lvlText w:val="%4)"/>
      <w:lvlJc w:val="left"/>
      <w:pPr>
        <w:ind w:left="0" w:firstLine="0"/>
      </w:pPr>
      <w:rPr>
        <w:rFonts w:hint="default" w:ascii="宋体" w:hAnsi="宋体" w:eastAsia="宋体" w:cs="宋体"/>
        <w:b w:val="0"/>
        <w:i w:val="0"/>
        <w:sz w:val="24"/>
        <w:szCs w:val="24"/>
      </w:rPr>
    </w:lvl>
    <w:lvl w:ilvl="4" w:tentative="0">
      <w:start w:val="1"/>
      <w:numFmt w:val="decimal"/>
      <w:suff w:val="nothing"/>
      <w:lvlText w:val="%1%2.%3.%4.%5　"/>
      <w:lvlJc w:val="left"/>
      <w:pPr>
        <w:ind w:left="0" w:firstLine="0"/>
      </w:pPr>
      <w:rPr>
        <w:rFonts w:hint="default" w:ascii="Times New Roman" w:hAnsi="Times New Roman" w:eastAsia="黑体" w:cs="Times New Roman"/>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5">
    <w:nsid w:val="7A4157A7"/>
    <w:multiLevelType w:val="multilevel"/>
    <w:tmpl w:val="7A4157A7"/>
    <w:lvl w:ilvl="0" w:tentative="0">
      <w:start w:val="1"/>
      <w:numFmt w:val="decimal"/>
      <w:pStyle w:val="577"/>
      <w:suff w:val="space"/>
      <w:lvlText w:val="%1"/>
      <w:lvlJc w:val="left"/>
      <w:pPr>
        <w:ind w:left="0" w:firstLine="0"/>
      </w:pPr>
      <w:rPr>
        <w:rFonts w:hint="eastAsia"/>
        <w:lang w:val="en-US"/>
      </w:rPr>
    </w:lvl>
    <w:lvl w:ilvl="1" w:tentative="0">
      <w:start w:val="1"/>
      <w:numFmt w:val="decimal"/>
      <w:pStyle w:val="388"/>
      <w:suff w:val="space"/>
      <w:lvlText w:val="%1.%2"/>
      <w:lvlJc w:val="left"/>
      <w:pPr>
        <w:ind w:left="0" w:firstLine="0"/>
      </w:pPr>
      <w:rPr>
        <w:rFonts w:hint="eastAsia"/>
        <w:b/>
        <w:lang w:val="en-US"/>
      </w:rPr>
    </w:lvl>
    <w:lvl w:ilvl="2" w:tentative="0">
      <w:start w:val="1"/>
      <w:numFmt w:val="decimal"/>
      <w:suff w:val="space"/>
      <w:lvlText w:val="%1.%2.%3"/>
      <w:lvlJc w:val="left"/>
      <w:pPr>
        <w:ind w:left="0" w:firstLine="0"/>
      </w:pPr>
      <w:rPr>
        <w:rFonts w:hint="eastAsia"/>
        <w:color w:val="auto"/>
        <w:lang w:val="en-US"/>
      </w:rPr>
    </w:lvl>
    <w:lvl w:ilvl="3" w:tentative="0">
      <w:start w:val="1"/>
      <w:numFmt w:val="decimal"/>
      <w:lvlText w:val="%1.%2.%3.%4"/>
      <w:lvlJc w:val="left"/>
      <w:pPr>
        <w:tabs>
          <w:tab w:val="left" w:pos="0"/>
        </w:tabs>
        <w:ind w:left="0" w:firstLine="0"/>
      </w:pPr>
      <w:rPr>
        <w:rFonts w:hint="eastAsia" w:ascii="宋体" w:hAnsi="宋体" w:eastAsia="宋体"/>
        <w:b w:val="0"/>
        <w:bCs w:val="0"/>
        <w:color w:val="auto"/>
        <w:sz w:val="21"/>
        <w:szCs w:val="21"/>
      </w:rPr>
    </w:lvl>
    <w:lvl w:ilvl="4" w:tentative="0">
      <w:start w:val="1"/>
      <w:numFmt w:val="decimal"/>
      <w:lvlText w:val="%1.%2.%3.%4.%5"/>
      <w:lvlJc w:val="left"/>
      <w:pPr>
        <w:tabs>
          <w:tab w:val="left" w:pos="0"/>
        </w:tabs>
        <w:ind w:left="0" w:firstLine="0"/>
      </w:pPr>
      <w:rPr>
        <w:rFonts w:hint="eastAsia"/>
      </w:rPr>
    </w:lvl>
    <w:lvl w:ilvl="5" w:tentative="0">
      <w:start w:val="1"/>
      <w:numFmt w:val="decimal"/>
      <w:lvlText w:val="%1.%2.%3.%4.%5.%6"/>
      <w:lvlJc w:val="left"/>
      <w:pPr>
        <w:tabs>
          <w:tab w:val="left" w:pos="0"/>
        </w:tabs>
        <w:ind w:left="0" w:firstLine="0"/>
      </w:pPr>
      <w:rPr>
        <w:rFonts w:hint="eastAsia"/>
      </w:rPr>
    </w:lvl>
    <w:lvl w:ilvl="6" w:tentative="0">
      <w:start w:val="1"/>
      <w:numFmt w:val="decimal"/>
      <w:lvlText w:val="%1.%2.%3.%4.%5.%6.%7"/>
      <w:lvlJc w:val="left"/>
      <w:pPr>
        <w:tabs>
          <w:tab w:val="left" w:pos="0"/>
        </w:tabs>
        <w:ind w:left="0" w:firstLine="0"/>
      </w:pPr>
      <w:rPr>
        <w:rFonts w:hint="eastAsia"/>
      </w:rPr>
    </w:lvl>
    <w:lvl w:ilvl="7" w:tentative="0">
      <w:start w:val="1"/>
      <w:numFmt w:val="decimal"/>
      <w:lvlText w:val="%1.%2.%3.%4.%5.%6.%7.%8"/>
      <w:lvlJc w:val="left"/>
      <w:pPr>
        <w:tabs>
          <w:tab w:val="left" w:pos="0"/>
        </w:tabs>
        <w:ind w:left="0" w:firstLine="0"/>
      </w:pPr>
      <w:rPr>
        <w:rFonts w:hint="eastAsia"/>
      </w:rPr>
    </w:lvl>
    <w:lvl w:ilvl="8" w:tentative="0">
      <w:start w:val="1"/>
      <w:numFmt w:val="decimal"/>
      <w:lvlText w:val="%1.%2.%3.%4.%5.%6.%7.%8.%9"/>
      <w:lvlJc w:val="left"/>
      <w:pPr>
        <w:tabs>
          <w:tab w:val="left" w:pos="0"/>
        </w:tabs>
        <w:ind w:left="0" w:firstLine="0"/>
      </w:pPr>
      <w:rPr>
        <w:rFonts w:hint="eastAsia"/>
      </w:rPr>
    </w:lvl>
  </w:abstractNum>
  <w:abstractNum w:abstractNumId="126">
    <w:nsid w:val="7C676134"/>
    <w:multiLevelType w:val="multilevel"/>
    <w:tmpl w:val="7C67613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7">
    <w:nsid w:val="7E4C0C2B"/>
    <w:multiLevelType w:val="multilevel"/>
    <w:tmpl w:val="7E4C0C2B"/>
    <w:lvl w:ilvl="0" w:tentative="0">
      <w:start w:val="1"/>
      <w:numFmt w:val="lowerLetter"/>
      <w:lvlText w:val="%1)"/>
      <w:lvlJc w:val="left"/>
      <w:pPr>
        <w:ind w:left="780" w:hanging="420"/>
      </w:p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102"/>
  </w:num>
  <w:num w:numId="2">
    <w:abstractNumId w:val="112"/>
  </w:num>
  <w:num w:numId="3">
    <w:abstractNumId w:val="95"/>
  </w:num>
  <w:num w:numId="4">
    <w:abstractNumId w:val="57"/>
  </w:num>
  <w:num w:numId="5">
    <w:abstractNumId w:val="117"/>
  </w:num>
  <w:num w:numId="6">
    <w:abstractNumId w:val="105"/>
  </w:num>
  <w:num w:numId="7">
    <w:abstractNumId w:val="111"/>
  </w:num>
  <w:num w:numId="8">
    <w:abstractNumId w:val="56"/>
  </w:num>
  <w:num w:numId="9">
    <w:abstractNumId w:val="110"/>
  </w:num>
  <w:num w:numId="10">
    <w:abstractNumId w:val="70"/>
  </w:num>
  <w:num w:numId="11">
    <w:abstractNumId w:val="63"/>
  </w:num>
  <w:num w:numId="12">
    <w:abstractNumId w:val="125"/>
  </w:num>
  <w:num w:numId="13">
    <w:abstractNumId w:val="58"/>
  </w:num>
  <w:num w:numId="14">
    <w:abstractNumId w:val="108"/>
  </w:num>
  <w:num w:numId="15">
    <w:abstractNumId w:val="113"/>
  </w:num>
  <w:num w:numId="16">
    <w:abstractNumId w:val="33"/>
  </w:num>
  <w:num w:numId="17">
    <w:abstractNumId w:val="54"/>
  </w:num>
  <w:num w:numId="18">
    <w:abstractNumId w:val="90"/>
  </w:num>
  <w:num w:numId="19">
    <w:abstractNumId w:val="53"/>
  </w:num>
  <w:num w:numId="20">
    <w:abstractNumId w:val="82"/>
  </w:num>
  <w:num w:numId="21">
    <w:abstractNumId w:val="55"/>
  </w:num>
  <w:num w:numId="22">
    <w:abstractNumId w:val="101"/>
  </w:num>
  <w:num w:numId="23">
    <w:abstractNumId w:val="67"/>
  </w:num>
  <w:num w:numId="24">
    <w:abstractNumId w:val="42"/>
  </w:num>
  <w:num w:numId="25">
    <w:abstractNumId w:val="86"/>
  </w:num>
  <w:num w:numId="26">
    <w:abstractNumId w:val="120"/>
  </w:num>
  <w:num w:numId="27">
    <w:abstractNumId w:val="106"/>
  </w:num>
  <w:num w:numId="28">
    <w:abstractNumId w:val="107"/>
  </w:num>
  <w:num w:numId="29">
    <w:abstractNumId w:val="39"/>
  </w:num>
  <w:num w:numId="30">
    <w:abstractNumId w:val="49"/>
  </w:num>
  <w:num w:numId="31">
    <w:abstractNumId w:val="1"/>
  </w:num>
  <w:num w:numId="32">
    <w:abstractNumId w:val="47"/>
  </w:num>
  <w:num w:numId="33">
    <w:abstractNumId w:val="12"/>
  </w:num>
  <w:num w:numId="34">
    <w:abstractNumId w:val="51"/>
  </w:num>
  <w:num w:numId="35">
    <w:abstractNumId w:val="40"/>
  </w:num>
  <w:num w:numId="36">
    <w:abstractNumId w:val="41"/>
  </w:num>
  <w:num w:numId="37">
    <w:abstractNumId w:val="24"/>
  </w:num>
  <w:num w:numId="38">
    <w:abstractNumId w:val="26"/>
  </w:num>
  <w:num w:numId="39">
    <w:abstractNumId w:val="14"/>
  </w:num>
  <w:num w:numId="40">
    <w:abstractNumId w:val="43"/>
  </w:num>
  <w:num w:numId="41">
    <w:abstractNumId w:val="20"/>
  </w:num>
  <w:num w:numId="42">
    <w:abstractNumId w:val="4"/>
  </w:num>
  <w:num w:numId="43">
    <w:abstractNumId w:val="25"/>
  </w:num>
  <w:num w:numId="44">
    <w:abstractNumId w:val="32"/>
  </w:num>
  <w:num w:numId="45">
    <w:abstractNumId w:val="50"/>
  </w:num>
  <w:num w:numId="46">
    <w:abstractNumId w:val="46"/>
  </w:num>
  <w:num w:numId="47">
    <w:abstractNumId w:val="17"/>
  </w:num>
  <w:num w:numId="48">
    <w:abstractNumId w:val="19"/>
  </w:num>
  <w:num w:numId="49">
    <w:abstractNumId w:val="93"/>
  </w:num>
  <w:num w:numId="50">
    <w:abstractNumId w:val="29"/>
  </w:num>
  <w:num w:numId="51">
    <w:abstractNumId w:val="38"/>
  </w:num>
  <w:num w:numId="52">
    <w:abstractNumId w:val="11"/>
  </w:num>
  <w:num w:numId="53">
    <w:abstractNumId w:val="65"/>
  </w:num>
  <w:num w:numId="54">
    <w:abstractNumId w:val="123"/>
  </w:num>
  <w:num w:numId="55">
    <w:abstractNumId w:val="88"/>
  </w:num>
  <w:num w:numId="56">
    <w:abstractNumId w:val="75"/>
  </w:num>
  <w:num w:numId="57">
    <w:abstractNumId w:val="124"/>
  </w:num>
  <w:num w:numId="58">
    <w:abstractNumId w:val="76"/>
  </w:num>
  <w:num w:numId="59">
    <w:abstractNumId w:val="68"/>
  </w:num>
  <w:num w:numId="60">
    <w:abstractNumId w:val="83"/>
  </w:num>
  <w:num w:numId="61">
    <w:abstractNumId w:val="94"/>
  </w:num>
  <w:num w:numId="62">
    <w:abstractNumId w:val="8"/>
  </w:num>
  <w:num w:numId="63">
    <w:abstractNumId w:val="109"/>
  </w:num>
  <w:num w:numId="64">
    <w:abstractNumId w:val="5"/>
  </w:num>
  <w:num w:numId="65">
    <w:abstractNumId w:val="0"/>
  </w:num>
  <w:num w:numId="66">
    <w:abstractNumId w:val="3"/>
  </w:num>
  <w:num w:numId="67">
    <w:abstractNumId w:val="78"/>
  </w:num>
  <w:num w:numId="68">
    <w:abstractNumId w:val="2"/>
  </w:num>
  <w:num w:numId="69">
    <w:abstractNumId w:val="45"/>
  </w:num>
  <w:num w:numId="70">
    <w:abstractNumId w:val="92"/>
  </w:num>
  <w:num w:numId="71">
    <w:abstractNumId w:val="62"/>
  </w:num>
  <w:num w:numId="72">
    <w:abstractNumId w:val="119"/>
  </w:num>
  <w:num w:numId="73">
    <w:abstractNumId w:val="81"/>
  </w:num>
  <w:num w:numId="74">
    <w:abstractNumId w:val="36"/>
  </w:num>
  <w:num w:numId="75">
    <w:abstractNumId w:val="10"/>
  </w:num>
  <w:num w:numId="76">
    <w:abstractNumId w:val="122"/>
  </w:num>
  <w:num w:numId="77">
    <w:abstractNumId w:val="99"/>
  </w:num>
  <w:num w:numId="78">
    <w:abstractNumId w:val="27"/>
  </w:num>
  <w:num w:numId="79">
    <w:abstractNumId w:val="74"/>
  </w:num>
  <w:num w:numId="8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7"/>
  </w:num>
  <w:num w:numId="86">
    <w:abstractNumId w:val="126"/>
  </w:num>
  <w:num w:numId="87">
    <w:abstractNumId w:val="60"/>
  </w:num>
  <w:num w:numId="88">
    <w:abstractNumId w:val="59"/>
  </w:num>
  <w:num w:numId="89">
    <w:abstractNumId w:val="30"/>
  </w:num>
  <w:num w:numId="90">
    <w:abstractNumId w:val="16"/>
  </w:num>
  <w:num w:numId="91">
    <w:abstractNumId w:val="103"/>
  </w:num>
  <w:num w:numId="92">
    <w:abstractNumId w:val="28"/>
  </w:num>
  <w:num w:numId="93">
    <w:abstractNumId w:val="61"/>
  </w:num>
  <w:num w:numId="94">
    <w:abstractNumId w:val="64"/>
  </w:num>
  <w:num w:numId="95">
    <w:abstractNumId w:val="97"/>
  </w:num>
  <w:num w:numId="96">
    <w:abstractNumId w:val="13"/>
  </w:num>
  <w:num w:numId="97">
    <w:abstractNumId w:val="9"/>
  </w:num>
  <w:num w:numId="98">
    <w:abstractNumId w:val="71"/>
  </w:num>
  <w:num w:numId="99">
    <w:abstractNumId w:val="48"/>
  </w:num>
  <w:num w:numId="100">
    <w:abstractNumId w:val="37"/>
  </w:num>
  <w:num w:numId="101">
    <w:abstractNumId w:val="121"/>
  </w:num>
  <w:num w:numId="102">
    <w:abstractNumId w:val="23"/>
  </w:num>
  <w:num w:numId="103">
    <w:abstractNumId w:val="35"/>
  </w:num>
  <w:num w:numId="104">
    <w:abstractNumId w:val="96"/>
  </w:num>
  <w:num w:numId="105">
    <w:abstractNumId w:val="72"/>
  </w:num>
  <w:num w:numId="106">
    <w:abstractNumId w:val="73"/>
  </w:num>
  <w:num w:numId="107">
    <w:abstractNumId w:val="118"/>
  </w:num>
  <w:num w:numId="108">
    <w:abstractNumId w:val="22"/>
  </w:num>
  <w:num w:numId="109">
    <w:abstractNumId w:val="116"/>
  </w:num>
  <w:num w:numId="110">
    <w:abstractNumId w:val="15"/>
  </w:num>
  <w:num w:numId="111">
    <w:abstractNumId w:val="6"/>
  </w:num>
  <w:num w:numId="112">
    <w:abstractNumId w:val="52"/>
  </w:num>
  <w:num w:numId="113">
    <w:abstractNumId w:val="31"/>
  </w:num>
  <w:num w:numId="114">
    <w:abstractNumId w:val="104"/>
  </w:num>
  <w:num w:numId="115">
    <w:abstractNumId w:val="69"/>
  </w:num>
  <w:num w:numId="116">
    <w:abstractNumId w:val="7"/>
  </w:num>
  <w:num w:numId="117">
    <w:abstractNumId w:val="84"/>
  </w:num>
  <w:num w:numId="118">
    <w:abstractNumId w:val="44"/>
  </w:num>
  <w:num w:numId="119">
    <w:abstractNumId w:val="98"/>
  </w:num>
  <w:num w:numId="120">
    <w:abstractNumId w:val="21"/>
  </w:num>
  <w:num w:numId="121">
    <w:abstractNumId w:val="115"/>
  </w:num>
  <w:num w:numId="122">
    <w:abstractNumId w:val="85"/>
  </w:num>
  <w:num w:numId="123">
    <w:abstractNumId w:val="89"/>
  </w:num>
  <w:num w:numId="124">
    <w:abstractNumId w:val="34"/>
  </w:num>
  <w:num w:numId="125">
    <w:abstractNumId w:val="79"/>
  </w:num>
  <w:num w:numId="126">
    <w:abstractNumId w:val="18"/>
  </w:num>
  <w:num w:numId="127">
    <w:abstractNumId w:val="114"/>
  </w:num>
  <w:num w:numId="12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zNGZkOTUwZWQ2YzAxMjAxYWRmN2M3YTgzMjk3M2EifQ=="/>
  </w:docVars>
  <w:rsids>
    <w:rsidRoot w:val="00172A27"/>
    <w:rsid w:val="00007EA7"/>
    <w:rsid w:val="0003320D"/>
    <w:rsid w:val="00043DA9"/>
    <w:rsid w:val="0004540A"/>
    <w:rsid w:val="00082AD5"/>
    <w:rsid w:val="00087960"/>
    <w:rsid w:val="00092354"/>
    <w:rsid w:val="000A4A77"/>
    <w:rsid w:val="000A6A4E"/>
    <w:rsid w:val="000B212F"/>
    <w:rsid w:val="000B7EC0"/>
    <w:rsid w:val="000C0E64"/>
    <w:rsid w:val="000C712F"/>
    <w:rsid w:val="000E6E74"/>
    <w:rsid w:val="000E6F80"/>
    <w:rsid w:val="000F244E"/>
    <w:rsid w:val="000F61B8"/>
    <w:rsid w:val="000F7A74"/>
    <w:rsid w:val="00151AF6"/>
    <w:rsid w:val="001536A3"/>
    <w:rsid w:val="00153CAD"/>
    <w:rsid w:val="001552BA"/>
    <w:rsid w:val="001569DF"/>
    <w:rsid w:val="0016020C"/>
    <w:rsid w:val="00160BAC"/>
    <w:rsid w:val="0016443F"/>
    <w:rsid w:val="00171510"/>
    <w:rsid w:val="00172A27"/>
    <w:rsid w:val="001744D4"/>
    <w:rsid w:val="0018227A"/>
    <w:rsid w:val="00186D3A"/>
    <w:rsid w:val="00191136"/>
    <w:rsid w:val="00192EF2"/>
    <w:rsid w:val="001A55BA"/>
    <w:rsid w:val="001A614F"/>
    <w:rsid w:val="001A64EB"/>
    <w:rsid w:val="001C36FA"/>
    <w:rsid w:val="001D7801"/>
    <w:rsid w:val="001E2757"/>
    <w:rsid w:val="001E2FEB"/>
    <w:rsid w:val="001E7FF2"/>
    <w:rsid w:val="001F3590"/>
    <w:rsid w:val="001F58D4"/>
    <w:rsid w:val="002042E9"/>
    <w:rsid w:val="00205C8E"/>
    <w:rsid w:val="00211B6B"/>
    <w:rsid w:val="002124CB"/>
    <w:rsid w:val="002155C9"/>
    <w:rsid w:val="002238AA"/>
    <w:rsid w:val="00226151"/>
    <w:rsid w:val="0023072A"/>
    <w:rsid w:val="00235AFE"/>
    <w:rsid w:val="00237EC5"/>
    <w:rsid w:val="00245594"/>
    <w:rsid w:val="0024583B"/>
    <w:rsid w:val="00246E79"/>
    <w:rsid w:val="0025365B"/>
    <w:rsid w:val="0026382D"/>
    <w:rsid w:val="002739B8"/>
    <w:rsid w:val="002836E9"/>
    <w:rsid w:val="0028662D"/>
    <w:rsid w:val="002902FA"/>
    <w:rsid w:val="00292477"/>
    <w:rsid w:val="002929C6"/>
    <w:rsid w:val="002B7D96"/>
    <w:rsid w:val="002B7F71"/>
    <w:rsid w:val="002C552A"/>
    <w:rsid w:val="002D4302"/>
    <w:rsid w:val="002E3BCF"/>
    <w:rsid w:val="002E3F1F"/>
    <w:rsid w:val="002E4ADD"/>
    <w:rsid w:val="002F143A"/>
    <w:rsid w:val="00301984"/>
    <w:rsid w:val="00305211"/>
    <w:rsid w:val="003111E7"/>
    <w:rsid w:val="003335ED"/>
    <w:rsid w:val="00351F71"/>
    <w:rsid w:val="00373C1C"/>
    <w:rsid w:val="00376877"/>
    <w:rsid w:val="00380815"/>
    <w:rsid w:val="003809D1"/>
    <w:rsid w:val="0038191B"/>
    <w:rsid w:val="00381A8C"/>
    <w:rsid w:val="0039495C"/>
    <w:rsid w:val="0039594B"/>
    <w:rsid w:val="003A2624"/>
    <w:rsid w:val="003A4977"/>
    <w:rsid w:val="003A4E44"/>
    <w:rsid w:val="003E61CB"/>
    <w:rsid w:val="003E6D67"/>
    <w:rsid w:val="003E71A9"/>
    <w:rsid w:val="004012F6"/>
    <w:rsid w:val="00407261"/>
    <w:rsid w:val="0041343C"/>
    <w:rsid w:val="0041517B"/>
    <w:rsid w:val="004214C2"/>
    <w:rsid w:val="004258E7"/>
    <w:rsid w:val="00446974"/>
    <w:rsid w:val="00453F03"/>
    <w:rsid w:val="004606E4"/>
    <w:rsid w:val="00470BE4"/>
    <w:rsid w:val="00475051"/>
    <w:rsid w:val="00475384"/>
    <w:rsid w:val="00495BC8"/>
    <w:rsid w:val="004A411B"/>
    <w:rsid w:val="004E4412"/>
    <w:rsid w:val="004E46DE"/>
    <w:rsid w:val="004E48AA"/>
    <w:rsid w:val="004E6439"/>
    <w:rsid w:val="004E7FAE"/>
    <w:rsid w:val="004F1DE9"/>
    <w:rsid w:val="004F45A5"/>
    <w:rsid w:val="004F5E53"/>
    <w:rsid w:val="004F75FC"/>
    <w:rsid w:val="00504F1F"/>
    <w:rsid w:val="00523D7B"/>
    <w:rsid w:val="00525688"/>
    <w:rsid w:val="0054321E"/>
    <w:rsid w:val="00547273"/>
    <w:rsid w:val="00557C0C"/>
    <w:rsid w:val="00571C53"/>
    <w:rsid w:val="00577FF3"/>
    <w:rsid w:val="00583C22"/>
    <w:rsid w:val="0059111B"/>
    <w:rsid w:val="005A2F20"/>
    <w:rsid w:val="005B0B68"/>
    <w:rsid w:val="005B5A3F"/>
    <w:rsid w:val="005B674A"/>
    <w:rsid w:val="005C1245"/>
    <w:rsid w:val="005C1E67"/>
    <w:rsid w:val="005C297C"/>
    <w:rsid w:val="005C6821"/>
    <w:rsid w:val="005D3171"/>
    <w:rsid w:val="005D4498"/>
    <w:rsid w:val="005D7D2C"/>
    <w:rsid w:val="005E5C0F"/>
    <w:rsid w:val="005E6D20"/>
    <w:rsid w:val="005F070C"/>
    <w:rsid w:val="005F12EA"/>
    <w:rsid w:val="005F34CF"/>
    <w:rsid w:val="005F5BF4"/>
    <w:rsid w:val="006008C1"/>
    <w:rsid w:val="00607390"/>
    <w:rsid w:val="006128D3"/>
    <w:rsid w:val="00625822"/>
    <w:rsid w:val="00627104"/>
    <w:rsid w:val="0063338B"/>
    <w:rsid w:val="00635AA6"/>
    <w:rsid w:val="0064154B"/>
    <w:rsid w:val="00641803"/>
    <w:rsid w:val="00644760"/>
    <w:rsid w:val="00647F49"/>
    <w:rsid w:val="00662C70"/>
    <w:rsid w:val="00663772"/>
    <w:rsid w:val="00663B33"/>
    <w:rsid w:val="0067679B"/>
    <w:rsid w:val="00693834"/>
    <w:rsid w:val="006A0DD0"/>
    <w:rsid w:val="006A3025"/>
    <w:rsid w:val="006B374C"/>
    <w:rsid w:val="006C2E1F"/>
    <w:rsid w:val="006D040C"/>
    <w:rsid w:val="006E0188"/>
    <w:rsid w:val="006E53F2"/>
    <w:rsid w:val="006F3991"/>
    <w:rsid w:val="006F4749"/>
    <w:rsid w:val="007026BC"/>
    <w:rsid w:val="00711C95"/>
    <w:rsid w:val="0072168A"/>
    <w:rsid w:val="00721E6F"/>
    <w:rsid w:val="007260E6"/>
    <w:rsid w:val="00726A41"/>
    <w:rsid w:val="00731EE3"/>
    <w:rsid w:val="00736F69"/>
    <w:rsid w:val="00745211"/>
    <w:rsid w:val="00747713"/>
    <w:rsid w:val="007557F6"/>
    <w:rsid w:val="00756754"/>
    <w:rsid w:val="00762C89"/>
    <w:rsid w:val="00765D44"/>
    <w:rsid w:val="00774149"/>
    <w:rsid w:val="00787F6D"/>
    <w:rsid w:val="007961F1"/>
    <w:rsid w:val="007A0640"/>
    <w:rsid w:val="007A127D"/>
    <w:rsid w:val="007A607F"/>
    <w:rsid w:val="007B08F9"/>
    <w:rsid w:val="007C70B9"/>
    <w:rsid w:val="007D1119"/>
    <w:rsid w:val="007D6935"/>
    <w:rsid w:val="007D7A36"/>
    <w:rsid w:val="007E5023"/>
    <w:rsid w:val="007F51E4"/>
    <w:rsid w:val="007F61C9"/>
    <w:rsid w:val="00802D18"/>
    <w:rsid w:val="00811558"/>
    <w:rsid w:val="008264E7"/>
    <w:rsid w:val="00837A08"/>
    <w:rsid w:val="00847165"/>
    <w:rsid w:val="0085451C"/>
    <w:rsid w:val="00860354"/>
    <w:rsid w:val="0086242F"/>
    <w:rsid w:val="00876EE1"/>
    <w:rsid w:val="00877C08"/>
    <w:rsid w:val="0089266E"/>
    <w:rsid w:val="00896734"/>
    <w:rsid w:val="008A4C0F"/>
    <w:rsid w:val="008A7AF5"/>
    <w:rsid w:val="008B4DBD"/>
    <w:rsid w:val="008C7FF6"/>
    <w:rsid w:val="008D09C1"/>
    <w:rsid w:val="008F3181"/>
    <w:rsid w:val="008F3463"/>
    <w:rsid w:val="008F363B"/>
    <w:rsid w:val="008F6062"/>
    <w:rsid w:val="008F6EB2"/>
    <w:rsid w:val="009005CD"/>
    <w:rsid w:val="00903500"/>
    <w:rsid w:val="00907E83"/>
    <w:rsid w:val="009204BB"/>
    <w:rsid w:val="00923865"/>
    <w:rsid w:val="00950515"/>
    <w:rsid w:val="0095422C"/>
    <w:rsid w:val="00954B65"/>
    <w:rsid w:val="0096017A"/>
    <w:rsid w:val="00964C19"/>
    <w:rsid w:val="00964C6C"/>
    <w:rsid w:val="009748AA"/>
    <w:rsid w:val="00980C13"/>
    <w:rsid w:val="009915C7"/>
    <w:rsid w:val="00996ED7"/>
    <w:rsid w:val="009A0861"/>
    <w:rsid w:val="009A4181"/>
    <w:rsid w:val="009B1F88"/>
    <w:rsid w:val="009C334F"/>
    <w:rsid w:val="009C5426"/>
    <w:rsid w:val="009D1A9A"/>
    <w:rsid w:val="009D1B99"/>
    <w:rsid w:val="009D5E5B"/>
    <w:rsid w:val="009E46CB"/>
    <w:rsid w:val="009F2F06"/>
    <w:rsid w:val="00A03008"/>
    <w:rsid w:val="00A115C5"/>
    <w:rsid w:val="00A1370A"/>
    <w:rsid w:val="00A24BC4"/>
    <w:rsid w:val="00A27F29"/>
    <w:rsid w:val="00A30C42"/>
    <w:rsid w:val="00A37E5D"/>
    <w:rsid w:val="00A40376"/>
    <w:rsid w:val="00A40950"/>
    <w:rsid w:val="00A46591"/>
    <w:rsid w:val="00A47732"/>
    <w:rsid w:val="00A51BF2"/>
    <w:rsid w:val="00A525BD"/>
    <w:rsid w:val="00A5282E"/>
    <w:rsid w:val="00A60D31"/>
    <w:rsid w:val="00A621B8"/>
    <w:rsid w:val="00A6561D"/>
    <w:rsid w:val="00A65E81"/>
    <w:rsid w:val="00A803D5"/>
    <w:rsid w:val="00AA2A33"/>
    <w:rsid w:val="00AA7ED2"/>
    <w:rsid w:val="00AC0ACB"/>
    <w:rsid w:val="00AD6DEE"/>
    <w:rsid w:val="00AD7FDF"/>
    <w:rsid w:val="00AE3D45"/>
    <w:rsid w:val="00AE5E50"/>
    <w:rsid w:val="00AE725D"/>
    <w:rsid w:val="00AF7606"/>
    <w:rsid w:val="00B03926"/>
    <w:rsid w:val="00B10656"/>
    <w:rsid w:val="00B16EE6"/>
    <w:rsid w:val="00B17D5E"/>
    <w:rsid w:val="00B21ACF"/>
    <w:rsid w:val="00B307B2"/>
    <w:rsid w:val="00B34930"/>
    <w:rsid w:val="00B37D4C"/>
    <w:rsid w:val="00B615DE"/>
    <w:rsid w:val="00B637B4"/>
    <w:rsid w:val="00B708CE"/>
    <w:rsid w:val="00B77469"/>
    <w:rsid w:val="00B80FA2"/>
    <w:rsid w:val="00B854A3"/>
    <w:rsid w:val="00B924A0"/>
    <w:rsid w:val="00B9267F"/>
    <w:rsid w:val="00BA271A"/>
    <w:rsid w:val="00BA37F9"/>
    <w:rsid w:val="00BA3FF9"/>
    <w:rsid w:val="00BC5102"/>
    <w:rsid w:val="00BD12FA"/>
    <w:rsid w:val="00BE0BC3"/>
    <w:rsid w:val="00BE66B7"/>
    <w:rsid w:val="00BF22EC"/>
    <w:rsid w:val="00BF2A99"/>
    <w:rsid w:val="00BF434E"/>
    <w:rsid w:val="00BF547A"/>
    <w:rsid w:val="00BF77F7"/>
    <w:rsid w:val="00C00919"/>
    <w:rsid w:val="00C0738E"/>
    <w:rsid w:val="00C1777C"/>
    <w:rsid w:val="00C259CE"/>
    <w:rsid w:val="00C32E23"/>
    <w:rsid w:val="00C35855"/>
    <w:rsid w:val="00C374FA"/>
    <w:rsid w:val="00C4286A"/>
    <w:rsid w:val="00C440F4"/>
    <w:rsid w:val="00C457E5"/>
    <w:rsid w:val="00C46EB0"/>
    <w:rsid w:val="00C62ACB"/>
    <w:rsid w:val="00C73B6A"/>
    <w:rsid w:val="00C836DE"/>
    <w:rsid w:val="00C95B34"/>
    <w:rsid w:val="00C97E35"/>
    <w:rsid w:val="00CB089B"/>
    <w:rsid w:val="00CC5577"/>
    <w:rsid w:val="00CC77D4"/>
    <w:rsid w:val="00CD6B6F"/>
    <w:rsid w:val="00CF59D4"/>
    <w:rsid w:val="00D24C4B"/>
    <w:rsid w:val="00D25438"/>
    <w:rsid w:val="00D31B22"/>
    <w:rsid w:val="00D46892"/>
    <w:rsid w:val="00D56934"/>
    <w:rsid w:val="00D57AE7"/>
    <w:rsid w:val="00D71FE5"/>
    <w:rsid w:val="00D75ED8"/>
    <w:rsid w:val="00D92401"/>
    <w:rsid w:val="00D950BF"/>
    <w:rsid w:val="00DA1EEA"/>
    <w:rsid w:val="00DA4BD2"/>
    <w:rsid w:val="00DA52EA"/>
    <w:rsid w:val="00DA67D1"/>
    <w:rsid w:val="00DB67E9"/>
    <w:rsid w:val="00E024CC"/>
    <w:rsid w:val="00E14A0A"/>
    <w:rsid w:val="00E14AA4"/>
    <w:rsid w:val="00E15854"/>
    <w:rsid w:val="00E21DA3"/>
    <w:rsid w:val="00E2447E"/>
    <w:rsid w:val="00E26975"/>
    <w:rsid w:val="00E3004B"/>
    <w:rsid w:val="00E44764"/>
    <w:rsid w:val="00E46A11"/>
    <w:rsid w:val="00E572EA"/>
    <w:rsid w:val="00E6581C"/>
    <w:rsid w:val="00E76894"/>
    <w:rsid w:val="00E907EF"/>
    <w:rsid w:val="00E94312"/>
    <w:rsid w:val="00EA1F0B"/>
    <w:rsid w:val="00EB0E27"/>
    <w:rsid w:val="00EB13AE"/>
    <w:rsid w:val="00ED50BB"/>
    <w:rsid w:val="00EE1286"/>
    <w:rsid w:val="00EE5590"/>
    <w:rsid w:val="00EE6F71"/>
    <w:rsid w:val="00EF4584"/>
    <w:rsid w:val="00EF6DAB"/>
    <w:rsid w:val="00F16085"/>
    <w:rsid w:val="00F16547"/>
    <w:rsid w:val="00F16C1E"/>
    <w:rsid w:val="00F37CA2"/>
    <w:rsid w:val="00F40AB0"/>
    <w:rsid w:val="00F561A2"/>
    <w:rsid w:val="00F64EC6"/>
    <w:rsid w:val="00F65EA2"/>
    <w:rsid w:val="00F65F3D"/>
    <w:rsid w:val="00F71E26"/>
    <w:rsid w:val="00FA0350"/>
    <w:rsid w:val="00FA4150"/>
    <w:rsid w:val="00FC272E"/>
    <w:rsid w:val="00FD01D6"/>
    <w:rsid w:val="00FD1D62"/>
    <w:rsid w:val="00FD1DEF"/>
    <w:rsid w:val="00FD7D9A"/>
    <w:rsid w:val="00FE2CB8"/>
    <w:rsid w:val="00FE4489"/>
    <w:rsid w:val="00FE583C"/>
    <w:rsid w:val="01050462"/>
    <w:rsid w:val="010E7B40"/>
    <w:rsid w:val="017D4CCF"/>
    <w:rsid w:val="019274DF"/>
    <w:rsid w:val="01A1339E"/>
    <w:rsid w:val="01AB1610"/>
    <w:rsid w:val="01AB53D5"/>
    <w:rsid w:val="01FA47FF"/>
    <w:rsid w:val="021B6D01"/>
    <w:rsid w:val="022C641E"/>
    <w:rsid w:val="023E7815"/>
    <w:rsid w:val="02762F2E"/>
    <w:rsid w:val="02863868"/>
    <w:rsid w:val="02B51603"/>
    <w:rsid w:val="02B65C36"/>
    <w:rsid w:val="02C170CB"/>
    <w:rsid w:val="02C67DC2"/>
    <w:rsid w:val="030F5CC7"/>
    <w:rsid w:val="031B5772"/>
    <w:rsid w:val="034C7CAB"/>
    <w:rsid w:val="03C85540"/>
    <w:rsid w:val="03D06ACE"/>
    <w:rsid w:val="03E8248F"/>
    <w:rsid w:val="043E1FEF"/>
    <w:rsid w:val="045479CE"/>
    <w:rsid w:val="04972094"/>
    <w:rsid w:val="04B33ECF"/>
    <w:rsid w:val="04C44DDD"/>
    <w:rsid w:val="04E672BC"/>
    <w:rsid w:val="04F0279D"/>
    <w:rsid w:val="04F9632D"/>
    <w:rsid w:val="04FB6B00"/>
    <w:rsid w:val="051C683A"/>
    <w:rsid w:val="05284096"/>
    <w:rsid w:val="05B15B43"/>
    <w:rsid w:val="05CB0597"/>
    <w:rsid w:val="05D15877"/>
    <w:rsid w:val="063057A5"/>
    <w:rsid w:val="06862F11"/>
    <w:rsid w:val="06F412C7"/>
    <w:rsid w:val="06FA030E"/>
    <w:rsid w:val="071F6AB6"/>
    <w:rsid w:val="0722013F"/>
    <w:rsid w:val="0746614E"/>
    <w:rsid w:val="074B78AB"/>
    <w:rsid w:val="07561430"/>
    <w:rsid w:val="078B20BB"/>
    <w:rsid w:val="07C43975"/>
    <w:rsid w:val="07EB11B0"/>
    <w:rsid w:val="0886012D"/>
    <w:rsid w:val="08E72533"/>
    <w:rsid w:val="08F35E3C"/>
    <w:rsid w:val="091E198B"/>
    <w:rsid w:val="09287EA3"/>
    <w:rsid w:val="09633DCF"/>
    <w:rsid w:val="09773C5B"/>
    <w:rsid w:val="09783AF3"/>
    <w:rsid w:val="09906355"/>
    <w:rsid w:val="09AD4CD5"/>
    <w:rsid w:val="09BD22C7"/>
    <w:rsid w:val="09CC0722"/>
    <w:rsid w:val="09D533DC"/>
    <w:rsid w:val="09DA27A9"/>
    <w:rsid w:val="09DA28B7"/>
    <w:rsid w:val="0A0A7503"/>
    <w:rsid w:val="0A2F38BD"/>
    <w:rsid w:val="0A673840"/>
    <w:rsid w:val="0A9C4F38"/>
    <w:rsid w:val="0AF15907"/>
    <w:rsid w:val="0B2823DD"/>
    <w:rsid w:val="0B56158C"/>
    <w:rsid w:val="0B61144B"/>
    <w:rsid w:val="0B696E5D"/>
    <w:rsid w:val="0B8769D7"/>
    <w:rsid w:val="0BA104F8"/>
    <w:rsid w:val="0BB04180"/>
    <w:rsid w:val="0BDA32B3"/>
    <w:rsid w:val="0BED31E6"/>
    <w:rsid w:val="0C2050A3"/>
    <w:rsid w:val="0C3538F5"/>
    <w:rsid w:val="0C3B4EC0"/>
    <w:rsid w:val="0C445F99"/>
    <w:rsid w:val="0C554B0E"/>
    <w:rsid w:val="0CBF7878"/>
    <w:rsid w:val="0CD44092"/>
    <w:rsid w:val="0CF06885"/>
    <w:rsid w:val="0CFC019F"/>
    <w:rsid w:val="0D0F4DC0"/>
    <w:rsid w:val="0D0F66AF"/>
    <w:rsid w:val="0D541F72"/>
    <w:rsid w:val="0D615785"/>
    <w:rsid w:val="0D660818"/>
    <w:rsid w:val="0D6815A7"/>
    <w:rsid w:val="0D766925"/>
    <w:rsid w:val="0D7F205C"/>
    <w:rsid w:val="0D8027FD"/>
    <w:rsid w:val="0DB500B7"/>
    <w:rsid w:val="0DD24882"/>
    <w:rsid w:val="0DE90FEF"/>
    <w:rsid w:val="0DE9377D"/>
    <w:rsid w:val="0DED6FC6"/>
    <w:rsid w:val="0DF8401D"/>
    <w:rsid w:val="0DF85BFA"/>
    <w:rsid w:val="0DFE7425"/>
    <w:rsid w:val="0E22739D"/>
    <w:rsid w:val="0E3A15D1"/>
    <w:rsid w:val="0E456E02"/>
    <w:rsid w:val="0E6C53D1"/>
    <w:rsid w:val="0E8813E4"/>
    <w:rsid w:val="0E950C02"/>
    <w:rsid w:val="0EA51596"/>
    <w:rsid w:val="0EAC6BD8"/>
    <w:rsid w:val="0EAF6254"/>
    <w:rsid w:val="0ECE1413"/>
    <w:rsid w:val="0F0019A3"/>
    <w:rsid w:val="0F05563A"/>
    <w:rsid w:val="0FB81855"/>
    <w:rsid w:val="0FE22574"/>
    <w:rsid w:val="0FE54CDC"/>
    <w:rsid w:val="0FFF146A"/>
    <w:rsid w:val="1000581B"/>
    <w:rsid w:val="1008205A"/>
    <w:rsid w:val="101626FB"/>
    <w:rsid w:val="1057106E"/>
    <w:rsid w:val="107B4D5D"/>
    <w:rsid w:val="108C6F6A"/>
    <w:rsid w:val="10A94BE8"/>
    <w:rsid w:val="10F202E6"/>
    <w:rsid w:val="111A6961"/>
    <w:rsid w:val="11225CDD"/>
    <w:rsid w:val="113849FC"/>
    <w:rsid w:val="113D1900"/>
    <w:rsid w:val="11426EAE"/>
    <w:rsid w:val="11451A2E"/>
    <w:rsid w:val="11525401"/>
    <w:rsid w:val="118244ED"/>
    <w:rsid w:val="119C56A0"/>
    <w:rsid w:val="11E825EC"/>
    <w:rsid w:val="121A67F7"/>
    <w:rsid w:val="121A7943"/>
    <w:rsid w:val="12737CB9"/>
    <w:rsid w:val="12B25538"/>
    <w:rsid w:val="12C458A1"/>
    <w:rsid w:val="12D270D2"/>
    <w:rsid w:val="12FD1BFF"/>
    <w:rsid w:val="1319152A"/>
    <w:rsid w:val="13282796"/>
    <w:rsid w:val="133306C4"/>
    <w:rsid w:val="13625926"/>
    <w:rsid w:val="13C21047"/>
    <w:rsid w:val="13EC3FBB"/>
    <w:rsid w:val="14411D05"/>
    <w:rsid w:val="148739D5"/>
    <w:rsid w:val="14A21F50"/>
    <w:rsid w:val="150F5F6C"/>
    <w:rsid w:val="159C5EEA"/>
    <w:rsid w:val="15B63F72"/>
    <w:rsid w:val="15C63DD3"/>
    <w:rsid w:val="15CC3B83"/>
    <w:rsid w:val="15DA18A9"/>
    <w:rsid w:val="15DB629E"/>
    <w:rsid w:val="15E210D4"/>
    <w:rsid w:val="16106932"/>
    <w:rsid w:val="161F1132"/>
    <w:rsid w:val="16265B64"/>
    <w:rsid w:val="16310864"/>
    <w:rsid w:val="16330917"/>
    <w:rsid w:val="16796C12"/>
    <w:rsid w:val="168924CC"/>
    <w:rsid w:val="169E79F7"/>
    <w:rsid w:val="169F7536"/>
    <w:rsid w:val="16B55212"/>
    <w:rsid w:val="16E01039"/>
    <w:rsid w:val="17224E02"/>
    <w:rsid w:val="172E4569"/>
    <w:rsid w:val="17C348C2"/>
    <w:rsid w:val="17CB25F6"/>
    <w:rsid w:val="17E23BBC"/>
    <w:rsid w:val="17F06C0A"/>
    <w:rsid w:val="18035661"/>
    <w:rsid w:val="18057242"/>
    <w:rsid w:val="181F1C56"/>
    <w:rsid w:val="182C590F"/>
    <w:rsid w:val="185D7E9E"/>
    <w:rsid w:val="18D56FBC"/>
    <w:rsid w:val="19357BBB"/>
    <w:rsid w:val="19570331"/>
    <w:rsid w:val="19700E5F"/>
    <w:rsid w:val="19746807"/>
    <w:rsid w:val="19C92653"/>
    <w:rsid w:val="19F333ED"/>
    <w:rsid w:val="1A06729A"/>
    <w:rsid w:val="1A1037EF"/>
    <w:rsid w:val="1A1F47EB"/>
    <w:rsid w:val="1A5A51E5"/>
    <w:rsid w:val="1AA93651"/>
    <w:rsid w:val="1AC40A55"/>
    <w:rsid w:val="1ADC3F70"/>
    <w:rsid w:val="1AF90A7D"/>
    <w:rsid w:val="1AFC3B8B"/>
    <w:rsid w:val="1B1E5236"/>
    <w:rsid w:val="1B494A07"/>
    <w:rsid w:val="1BB31E1C"/>
    <w:rsid w:val="1BD9327F"/>
    <w:rsid w:val="1C2A5889"/>
    <w:rsid w:val="1C500EBA"/>
    <w:rsid w:val="1C67088B"/>
    <w:rsid w:val="1C6E6CB9"/>
    <w:rsid w:val="1C874A89"/>
    <w:rsid w:val="1CAB3EF3"/>
    <w:rsid w:val="1CC932F4"/>
    <w:rsid w:val="1CEB3F50"/>
    <w:rsid w:val="1CF91695"/>
    <w:rsid w:val="1CFA14D5"/>
    <w:rsid w:val="1D2B7B0B"/>
    <w:rsid w:val="1D2C6510"/>
    <w:rsid w:val="1D7D50EB"/>
    <w:rsid w:val="1D905BC0"/>
    <w:rsid w:val="1D9D5BDD"/>
    <w:rsid w:val="1DE45C07"/>
    <w:rsid w:val="1DED6B6E"/>
    <w:rsid w:val="1E3F4A89"/>
    <w:rsid w:val="1E4A3FC0"/>
    <w:rsid w:val="1E5D0198"/>
    <w:rsid w:val="1E6F24FC"/>
    <w:rsid w:val="1E870D71"/>
    <w:rsid w:val="1E8B406E"/>
    <w:rsid w:val="1EA67ADE"/>
    <w:rsid w:val="1EAE7A62"/>
    <w:rsid w:val="1EAF7955"/>
    <w:rsid w:val="1EB573ED"/>
    <w:rsid w:val="1ECE5D98"/>
    <w:rsid w:val="1EF203F2"/>
    <w:rsid w:val="1EF9549C"/>
    <w:rsid w:val="1FA0658E"/>
    <w:rsid w:val="20340B62"/>
    <w:rsid w:val="206F518C"/>
    <w:rsid w:val="20A65B66"/>
    <w:rsid w:val="20B02FC3"/>
    <w:rsid w:val="20F42F81"/>
    <w:rsid w:val="212804F0"/>
    <w:rsid w:val="212A1E87"/>
    <w:rsid w:val="212F738B"/>
    <w:rsid w:val="21505B06"/>
    <w:rsid w:val="215D514D"/>
    <w:rsid w:val="21AA34B2"/>
    <w:rsid w:val="21B96560"/>
    <w:rsid w:val="21C521A5"/>
    <w:rsid w:val="21E8421C"/>
    <w:rsid w:val="21F71796"/>
    <w:rsid w:val="22333D8F"/>
    <w:rsid w:val="225F6308"/>
    <w:rsid w:val="2278111D"/>
    <w:rsid w:val="228161A9"/>
    <w:rsid w:val="22A55C69"/>
    <w:rsid w:val="22F11A9D"/>
    <w:rsid w:val="22F17100"/>
    <w:rsid w:val="23574F07"/>
    <w:rsid w:val="23BE4EDC"/>
    <w:rsid w:val="23C5553B"/>
    <w:rsid w:val="23D451E1"/>
    <w:rsid w:val="23DF5E27"/>
    <w:rsid w:val="246944FA"/>
    <w:rsid w:val="248276DA"/>
    <w:rsid w:val="24AB72E4"/>
    <w:rsid w:val="24CB584A"/>
    <w:rsid w:val="24ED38F7"/>
    <w:rsid w:val="25002F51"/>
    <w:rsid w:val="256939F6"/>
    <w:rsid w:val="256B005A"/>
    <w:rsid w:val="258368B8"/>
    <w:rsid w:val="25950217"/>
    <w:rsid w:val="262428AC"/>
    <w:rsid w:val="265C2AE3"/>
    <w:rsid w:val="2661634B"/>
    <w:rsid w:val="26865DB2"/>
    <w:rsid w:val="26BC38EC"/>
    <w:rsid w:val="26CC00B6"/>
    <w:rsid w:val="26D476A3"/>
    <w:rsid w:val="26DC280D"/>
    <w:rsid w:val="26E5600D"/>
    <w:rsid w:val="26E90667"/>
    <w:rsid w:val="2711592C"/>
    <w:rsid w:val="27323334"/>
    <w:rsid w:val="27593939"/>
    <w:rsid w:val="27D2611B"/>
    <w:rsid w:val="28352503"/>
    <w:rsid w:val="28666112"/>
    <w:rsid w:val="286B1703"/>
    <w:rsid w:val="28CE0974"/>
    <w:rsid w:val="28D92302"/>
    <w:rsid w:val="28DE72DF"/>
    <w:rsid w:val="28EA087A"/>
    <w:rsid w:val="29117C6C"/>
    <w:rsid w:val="294B321F"/>
    <w:rsid w:val="29564A31"/>
    <w:rsid w:val="296A5517"/>
    <w:rsid w:val="29A566C3"/>
    <w:rsid w:val="29BB4B43"/>
    <w:rsid w:val="29DA6431"/>
    <w:rsid w:val="29F2265A"/>
    <w:rsid w:val="2A07686E"/>
    <w:rsid w:val="2A326D00"/>
    <w:rsid w:val="2A4B7560"/>
    <w:rsid w:val="2A7129C8"/>
    <w:rsid w:val="2A95200E"/>
    <w:rsid w:val="2A987F79"/>
    <w:rsid w:val="2A9C0DB0"/>
    <w:rsid w:val="2AA12E26"/>
    <w:rsid w:val="2ABF65C9"/>
    <w:rsid w:val="2AD03A9F"/>
    <w:rsid w:val="2AE173CB"/>
    <w:rsid w:val="2AE910F3"/>
    <w:rsid w:val="2AF50622"/>
    <w:rsid w:val="2B0A6729"/>
    <w:rsid w:val="2B2B46E2"/>
    <w:rsid w:val="2B481888"/>
    <w:rsid w:val="2B7A5072"/>
    <w:rsid w:val="2B887D2A"/>
    <w:rsid w:val="2B892EE3"/>
    <w:rsid w:val="2B8F74B6"/>
    <w:rsid w:val="2BAF3DB8"/>
    <w:rsid w:val="2BB331A5"/>
    <w:rsid w:val="2BD81E29"/>
    <w:rsid w:val="2C2565A2"/>
    <w:rsid w:val="2C701096"/>
    <w:rsid w:val="2C8705A8"/>
    <w:rsid w:val="2C9D1010"/>
    <w:rsid w:val="2CA9067A"/>
    <w:rsid w:val="2CFA7725"/>
    <w:rsid w:val="2CFC6DCE"/>
    <w:rsid w:val="2D4F514F"/>
    <w:rsid w:val="2D562E6F"/>
    <w:rsid w:val="2D666E2C"/>
    <w:rsid w:val="2DC2463D"/>
    <w:rsid w:val="2DF201B0"/>
    <w:rsid w:val="2E5C3FC8"/>
    <w:rsid w:val="2E7279F9"/>
    <w:rsid w:val="2E731311"/>
    <w:rsid w:val="2E9F3EB4"/>
    <w:rsid w:val="2EBD606A"/>
    <w:rsid w:val="2EBF1AC9"/>
    <w:rsid w:val="2ECE6548"/>
    <w:rsid w:val="2EDB37A3"/>
    <w:rsid w:val="2EFA36E0"/>
    <w:rsid w:val="2F0B780C"/>
    <w:rsid w:val="2F43624E"/>
    <w:rsid w:val="2F5A0607"/>
    <w:rsid w:val="2F9959D5"/>
    <w:rsid w:val="2FD85471"/>
    <w:rsid w:val="2FF57400"/>
    <w:rsid w:val="30013440"/>
    <w:rsid w:val="30314519"/>
    <w:rsid w:val="3076628F"/>
    <w:rsid w:val="3085454B"/>
    <w:rsid w:val="308974AE"/>
    <w:rsid w:val="308D48F8"/>
    <w:rsid w:val="309335A5"/>
    <w:rsid w:val="30E402A4"/>
    <w:rsid w:val="317016F2"/>
    <w:rsid w:val="31A11913"/>
    <w:rsid w:val="31BD2FCF"/>
    <w:rsid w:val="31DC0F7C"/>
    <w:rsid w:val="31E07961"/>
    <w:rsid w:val="31E806EF"/>
    <w:rsid w:val="31EF4885"/>
    <w:rsid w:val="32223D4C"/>
    <w:rsid w:val="324F491A"/>
    <w:rsid w:val="32521B85"/>
    <w:rsid w:val="32544B8D"/>
    <w:rsid w:val="325D4F2D"/>
    <w:rsid w:val="325E46EC"/>
    <w:rsid w:val="326577BD"/>
    <w:rsid w:val="32696468"/>
    <w:rsid w:val="327304D2"/>
    <w:rsid w:val="32904240"/>
    <w:rsid w:val="32911D66"/>
    <w:rsid w:val="32931F82"/>
    <w:rsid w:val="32BD459E"/>
    <w:rsid w:val="32EA4C6F"/>
    <w:rsid w:val="32F92702"/>
    <w:rsid w:val="330206FD"/>
    <w:rsid w:val="330246BF"/>
    <w:rsid w:val="33067842"/>
    <w:rsid w:val="33327175"/>
    <w:rsid w:val="336257A7"/>
    <w:rsid w:val="33666962"/>
    <w:rsid w:val="339940A0"/>
    <w:rsid w:val="33AF6948"/>
    <w:rsid w:val="33B151AD"/>
    <w:rsid w:val="33D16CC7"/>
    <w:rsid w:val="340D031F"/>
    <w:rsid w:val="342F1837"/>
    <w:rsid w:val="343214CB"/>
    <w:rsid w:val="343C3F54"/>
    <w:rsid w:val="343D0BC3"/>
    <w:rsid w:val="34AA092F"/>
    <w:rsid w:val="35016BFA"/>
    <w:rsid w:val="35085EDA"/>
    <w:rsid w:val="352801A0"/>
    <w:rsid w:val="352B4FC9"/>
    <w:rsid w:val="3542471F"/>
    <w:rsid w:val="35502946"/>
    <w:rsid w:val="35774015"/>
    <w:rsid w:val="35833459"/>
    <w:rsid w:val="35BB35B3"/>
    <w:rsid w:val="35CB16FA"/>
    <w:rsid w:val="36045127"/>
    <w:rsid w:val="36260A17"/>
    <w:rsid w:val="36297A59"/>
    <w:rsid w:val="363F1C24"/>
    <w:rsid w:val="366118FB"/>
    <w:rsid w:val="367266D4"/>
    <w:rsid w:val="368044EB"/>
    <w:rsid w:val="36BE50F4"/>
    <w:rsid w:val="36BF0C62"/>
    <w:rsid w:val="36D17B9E"/>
    <w:rsid w:val="36D96B0D"/>
    <w:rsid w:val="36EE0578"/>
    <w:rsid w:val="36F558B9"/>
    <w:rsid w:val="36F86587"/>
    <w:rsid w:val="370110FF"/>
    <w:rsid w:val="37143C03"/>
    <w:rsid w:val="371A4A20"/>
    <w:rsid w:val="372A0133"/>
    <w:rsid w:val="375F52A8"/>
    <w:rsid w:val="37936580"/>
    <w:rsid w:val="379D37AF"/>
    <w:rsid w:val="37AD5C50"/>
    <w:rsid w:val="37AF6A79"/>
    <w:rsid w:val="37B41495"/>
    <w:rsid w:val="38675A43"/>
    <w:rsid w:val="38C116AD"/>
    <w:rsid w:val="38D85708"/>
    <w:rsid w:val="38F82837"/>
    <w:rsid w:val="38FD3D27"/>
    <w:rsid w:val="392456E2"/>
    <w:rsid w:val="39374B6F"/>
    <w:rsid w:val="3966061A"/>
    <w:rsid w:val="398A5677"/>
    <w:rsid w:val="39B8407C"/>
    <w:rsid w:val="3A263002"/>
    <w:rsid w:val="3A3F24FF"/>
    <w:rsid w:val="3A587FB6"/>
    <w:rsid w:val="3AAA5BA2"/>
    <w:rsid w:val="3AEC66D3"/>
    <w:rsid w:val="3AFC5300"/>
    <w:rsid w:val="3B2323E6"/>
    <w:rsid w:val="3B4E3ED9"/>
    <w:rsid w:val="3B554279"/>
    <w:rsid w:val="3B7F1853"/>
    <w:rsid w:val="3B8B7A1C"/>
    <w:rsid w:val="3BA76510"/>
    <w:rsid w:val="3BB341AE"/>
    <w:rsid w:val="3BC14536"/>
    <w:rsid w:val="3BCC3B08"/>
    <w:rsid w:val="3BEE32A9"/>
    <w:rsid w:val="3C4864D7"/>
    <w:rsid w:val="3C4D3CEF"/>
    <w:rsid w:val="3C506122"/>
    <w:rsid w:val="3C792119"/>
    <w:rsid w:val="3CC42B41"/>
    <w:rsid w:val="3CD411CD"/>
    <w:rsid w:val="3CEF2DEB"/>
    <w:rsid w:val="3CF5550F"/>
    <w:rsid w:val="3D562799"/>
    <w:rsid w:val="3D624A2B"/>
    <w:rsid w:val="3D9F6B48"/>
    <w:rsid w:val="3DB72FC9"/>
    <w:rsid w:val="3DB80AEF"/>
    <w:rsid w:val="3DDE5121"/>
    <w:rsid w:val="3DF936A3"/>
    <w:rsid w:val="3E2972F7"/>
    <w:rsid w:val="3E366D89"/>
    <w:rsid w:val="3E3C784A"/>
    <w:rsid w:val="3E3F4D6C"/>
    <w:rsid w:val="3E522CF1"/>
    <w:rsid w:val="3E6635DD"/>
    <w:rsid w:val="3E683814"/>
    <w:rsid w:val="3E7D0380"/>
    <w:rsid w:val="3E7F6D5F"/>
    <w:rsid w:val="3E9C378E"/>
    <w:rsid w:val="3EBA3451"/>
    <w:rsid w:val="3EC250B3"/>
    <w:rsid w:val="3EDD9712"/>
    <w:rsid w:val="3EE52477"/>
    <w:rsid w:val="3F335F72"/>
    <w:rsid w:val="3F3F3B83"/>
    <w:rsid w:val="3F8073EA"/>
    <w:rsid w:val="3FA94E91"/>
    <w:rsid w:val="3FCA3D33"/>
    <w:rsid w:val="3FCB17B4"/>
    <w:rsid w:val="3FE76BFD"/>
    <w:rsid w:val="3FFD4820"/>
    <w:rsid w:val="3FFF314E"/>
    <w:rsid w:val="400B3158"/>
    <w:rsid w:val="4013541D"/>
    <w:rsid w:val="401A09E6"/>
    <w:rsid w:val="406A36C1"/>
    <w:rsid w:val="407B03B0"/>
    <w:rsid w:val="4089478E"/>
    <w:rsid w:val="40993106"/>
    <w:rsid w:val="40AA092B"/>
    <w:rsid w:val="40BC3471"/>
    <w:rsid w:val="40CA1A0E"/>
    <w:rsid w:val="40F033D7"/>
    <w:rsid w:val="412C0104"/>
    <w:rsid w:val="414B422F"/>
    <w:rsid w:val="41746D57"/>
    <w:rsid w:val="41D728FF"/>
    <w:rsid w:val="41ED183A"/>
    <w:rsid w:val="421F113C"/>
    <w:rsid w:val="42291FBB"/>
    <w:rsid w:val="423B2318"/>
    <w:rsid w:val="423D15C3"/>
    <w:rsid w:val="423E4A43"/>
    <w:rsid w:val="42563787"/>
    <w:rsid w:val="426E6D19"/>
    <w:rsid w:val="42C84603"/>
    <w:rsid w:val="43440060"/>
    <w:rsid w:val="43692FC1"/>
    <w:rsid w:val="440F51E1"/>
    <w:rsid w:val="447514E8"/>
    <w:rsid w:val="44BA5A4B"/>
    <w:rsid w:val="44D202F8"/>
    <w:rsid w:val="44E25988"/>
    <w:rsid w:val="44FB7AF2"/>
    <w:rsid w:val="450E6E58"/>
    <w:rsid w:val="451A76ED"/>
    <w:rsid w:val="45462A84"/>
    <w:rsid w:val="45513D03"/>
    <w:rsid w:val="4559359D"/>
    <w:rsid w:val="455E20DB"/>
    <w:rsid w:val="45BB6EE5"/>
    <w:rsid w:val="45C65DB0"/>
    <w:rsid w:val="45F61354"/>
    <w:rsid w:val="46004DE1"/>
    <w:rsid w:val="462D14AE"/>
    <w:rsid w:val="46302BD3"/>
    <w:rsid w:val="46565349"/>
    <w:rsid w:val="46900CC0"/>
    <w:rsid w:val="46E41A05"/>
    <w:rsid w:val="46FF1059"/>
    <w:rsid w:val="470D262E"/>
    <w:rsid w:val="47143D2B"/>
    <w:rsid w:val="471A45C8"/>
    <w:rsid w:val="47301937"/>
    <w:rsid w:val="4740402F"/>
    <w:rsid w:val="47461F7B"/>
    <w:rsid w:val="476D0E67"/>
    <w:rsid w:val="47901426"/>
    <w:rsid w:val="47A83982"/>
    <w:rsid w:val="47B91A2A"/>
    <w:rsid w:val="47DD07CC"/>
    <w:rsid w:val="484F022F"/>
    <w:rsid w:val="48605F4B"/>
    <w:rsid w:val="48C67F6C"/>
    <w:rsid w:val="49035F89"/>
    <w:rsid w:val="490D68EC"/>
    <w:rsid w:val="491044D4"/>
    <w:rsid w:val="4960692F"/>
    <w:rsid w:val="49843F7B"/>
    <w:rsid w:val="49AB3F95"/>
    <w:rsid w:val="49BD11DA"/>
    <w:rsid w:val="49BE56DF"/>
    <w:rsid w:val="49C64593"/>
    <w:rsid w:val="4A0D17BE"/>
    <w:rsid w:val="4A8A03F8"/>
    <w:rsid w:val="4AA331F5"/>
    <w:rsid w:val="4AD351BA"/>
    <w:rsid w:val="4AF22FBA"/>
    <w:rsid w:val="4AF7270C"/>
    <w:rsid w:val="4B326D02"/>
    <w:rsid w:val="4B3D6AD7"/>
    <w:rsid w:val="4B523D1F"/>
    <w:rsid w:val="4B6D3E9A"/>
    <w:rsid w:val="4C0B1D54"/>
    <w:rsid w:val="4C547C9E"/>
    <w:rsid w:val="4C7E2CF3"/>
    <w:rsid w:val="4CD928A1"/>
    <w:rsid w:val="4CE71BB7"/>
    <w:rsid w:val="4D22371A"/>
    <w:rsid w:val="4D3576D0"/>
    <w:rsid w:val="4D477799"/>
    <w:rsid w:val="4DDE046F"/>
    <w:rsid w:val="4E033040"/>
    <w:rsid w:val="4E070309"/>
    <w:rsid w:val="4E5D3833"/>
    <w:rsid w:val="4E6450CA"/>
    <w:rsid w:val="4E88343D"/>
    <w:rsid w:val="4E964534"/>
    <w:rsid w:val="4EB17B97"/>
    <w:rsid w:val="4EC20355"/>
    <w:rsid w:val="4EE26532"/>
    <w:rsid w:val="4EFF3A40"/>
    <w:rsid w:val="4F272746"/>
    <w:rsid w:val="4F481721"/>
    <w:rsid w:val="4F562C35"/>
    <w:rsid w:val="4F5F701C"/>
    <w:rsid w:val="4F7F708D"/>
    <w:rsid w:val="4F936E1B"/>
    <w:rsid w:val="4FAB20FF"/>
    <w:rsid w:val="4FB35178"/>
    <w:rsid w:val="4FB37368"/>
    <w:rsid w:val="4FE70C9E"/>
    <w:rsid w:val="4FF15A91"/>
    <w:rsid w:val="5026019B"/>
    <w:rsid w:val="503C110B"/>
    <w:rsid w:val="5048715C"/>
    <w:rsid w:val="504F44D2"/>
    <w:rsid w:val="505424DC"/>
    <w:rsid w:val="5068165E"/>
    <w:rsid w:val="50C0256E"/>
    <w:rsid w:val="50DE21C3"/>
    <w:rsid w:val="50EB745B"/>
    <w:rsid w:val="511C0ED4"/>
    <w:rsid w:val="513444D8"/>
    <w:rsid w:val="514A2421"/>
    <w:rsid w:val="518255DF"/>
    <w:rsid w:val="519647E9"/>
    <w:rsid w:val="51BB2504"/>
    <w:rsid w:val="51C1093A"/>
    <w:rsid w:val="51D058C8"/>
    <w:rsid w:val="526E1441"/>
    <w:rsid w:val="52941127"/>
    <w:rsid w:val="531A0151"/>
    <w:rsid w:val="53382828"/>
    <w:rsid w:val="537C1D29"/>
    <w:rsid w:val="53803D07"/>
    <w:rsid w:val="538B3BDB"/>
    <w:rsid w:val="53DB5ED4"/>
    <w:rsid w:val="54205F0A"/>
    <w:rsid w:val="54617961"/>
    <w:rsid w:val="546C0D79"/>
    <w:rsid w:val="547A48F8"/>
    <w:rsid w:val="54BA7CF8"/>
    <w:rsid w:val="54BF5CAA"/>
    <w:rsid w:val="54CF07A0"/>
    <w:rsid w:val="54CF770E"/>
    <w:rsid w:val="554C0043"/>
    <w:rsid w:val="555732EC"/>
    <w:rsid w:val="556641AA"/>
    <w:rsid w:val="559B1181"/>
    <w:rsid w:val="55A02BB0"/>
    <w:rsid w:val="560A3166"/>
    <w:rsid w:val="5611128E"/>
    <w:rsid w:val="564B7CA0"/>
    <w:rsid w:val="568D4EDB"/>
    <w:rsid w:val="56C531CF"/>
    <w:rsid w:val="56D24578"/>
    <w:rsid w:val="56E46B9A"/>
    <w:rsid w:val="56F11830"/>
    <w:rsid w:val="57482FA0"/>
    <w:rsid w:val="57526E4F"/>
    <w:rsid w:val="577473DD"/>
    <w:rsid w:val="579D38F4"/>
    <w:rsid w:val="57BD6D51"/>
    <w:rsid w:val="57E96901"/>
    <w:rsid w:val="57F5D354"/>
    <w:rsid w:val="57FD11AA"/>
    <w:rsid w:val="58171DBC"/>
    <w:rsid w:val="584D616C"/>
    <w:rsid w:val="58A3441E"/>
    <w:rsid w:val="58E12CD2"/>
    <w:rsid w:val="58E5201B"/>
    <w:rsid w:val="58EA1888"/>
    <w:rsid w:val="59275944"/>
    <w:rsid w:val="59347CE5"/>
    <w:rsid w:val="59457E0D"/>
    <w:rsid w:val="595251F6"/>
    <w:rsid w:val="597155DD"/>
    <w:rsid w:val="5998070C"/>
    <w:rsid w:val="59E36A9C"/>
    <w:rsid w:val="5A0B58F8"/>
    <w:rsid w:val="5A2A6479"/>
    <w:rsid w:val="5A530B0B"/>
    <w:rsid w:val="5A5C0D28"/>
    <w:rsid w:val="5A61633E"/>
    <w:rsid w:val="5A645B1A"/>
    <w:rsid w:val="5A7653B5"/>
    <w:rsid w:val="5A83563F"/>
    <w:rsid w:val="5A9D0D14"/>
    <w:rsid w:val="5AB0511D"/>
    <w:rsid w:val="5AC22027"/>
    <w:rsid w:val="5ADD34EB"/>
    <w:rsid w:val="5AE57128"/>
    <w:rsid w:val="5B00048B"/>
    <w:rsid w:val="5B044498"/>
    <w:rsid w:val="5B386973"/>
    <w:rsid w:val="5B411CCC"/>
    <w:rsid w:val="5B452580"/>
    <w:rsid w:val="5B46714E"/>
    <w:rsid w:val="5BE0285C"/>
    <w:rsid w:val="5C0F6B74"/>
    <w:rsid w:val="5C386E6B"/>
    <w:rsid w:val="5C78712E"/>
    <w:rsid w:val="5C920CC9"/>
    <w:rsid w:val="5C974324"/>
    <w:rsid w:val="5CAC7619"/>
    <w:rsid w:val="5CDC69A8"/>
    <w:rsid w:val="5CE26A9F"/>
    <w:rsid w:val="5CE65575"/>
    <w:rsid w:val="5CEC2D02"/>
    <w:rsid w:val="5CF34EB9"/>
    <w:rsid w:val="5CFE31DA"/>
    <w:rsid w:val="5D4F2A30"/>
    <w:rsid w:val="5D5C498F"/>
    <w:rsid w:val="5D961F19"/>
    <w:rsid w:val="5D9B77F2"/>
    <w:rsid w:val="5DB17EF9"/>
    <w:rsid w:val="5DB54949"/>
    <w:rsid w:val="5DC22458"/>
    <w:rsid w:val="5DC943C3"/>
    <w:rsid w:val="5DCC4F8E"/>
    <w:rsid w:val="5DDA19DB"/>
    <w:rsid w:val="5DDB4D4E"/>
    <w:rsid w:val="5DF80ED8"/>
    <w:rsid w:val="5E2C06F5"/>
    <w:rsid w:val="5E302094"/>
    <w:rsid w:val="5E960ABB"/>
    <w:rsid w:val="5E962715"/>
    <w:rsid w:val="5EBA0CEF"/>
    <w:rsid w:val="5ED977CF"/>
    <w:rsid w:val="5EF008FF"/>
    <w:rsid w:val="5EF42A03"/>
    <w:rsid w:val="5F0059FA"/>
    <w:rsid w:val="5FAC2D53"/>
    <w:rsid w:val="5FC71319"/>
    <w:rsid w:val="606F5728"/>
    <w:rsid w:val="609B00D0"/>
    <w:rsid w:val="60F337B4"/>
    <w:rsid w:val="60FB1F69"/>
    <w:rsid w:val="610A25CD"/>
    <w:rsid w:val="611A085E"/>
    <w:rsid w:val="611A47B9"/>
    <w:rsid w:val="61386887"/>
    <w:rsid w:val="61635B03"/>
    <w:rsid w:val="616D649A"/>
    <w:rsid w:val="61797C77"/>
    <w:rsid w:val="61946FF9"/>
    <w:rsid w:val="61A07525"/>
    <w:rsid w:val="61D90F42"/>
    <w:rsid w:val="621D253F"/>
    <w:rsid w:val="6221580D"/>
    <w:rsid w:val="622408D6"/>
    <w:rsid w:val="62333529"/>
    <w:rsid w:val="628B3770"/>
    <w:rsid w:val="62C9127E"/>
    <w:rsid w:val="62E3093D"/>
    <w:rsid w:val="62EE7FAA"/>
    <w:rsid w:val="63082288"/>
    <w:rsid w:val="632131B2"/>
    <w:rsid w:val="633D40E1"/>
    <w:rsid w:val="63860958"/>
    <w:rsid w:val="63901A42"/>
    <w:rsid w:val="63AA2F5C"/>
    <w:rsid w:val="63CE6F3B"/>
    <w:rsid w:val="63DA2CBD"/>
    <w:rsid w:val="63F87D48"/>
    <w:rsid w:val="64230977"/>
    <w:rsid w:val="64236413"/>
    <w:rsid w:val="6427084A"/>
    <w:rsid w:val="64591E34"/>
    <w:rsid w:val="64613005"/>
    <w:rsid w:val="64915A72"/>
    <w:rsid w:val="6492430D"/>
    <w:rsid w:val="64926C6D"/>
    <w:rsid w:val="64BE3368"/>
    <w:rsid w:val="64D90A2B"/>
    <w:rsid w:val="64E831B8"/>
    <w:rsid w:val="65126423"/>
    <w:rsid w:val="6518584B"/>
    <w:rsid w:val="651E5257"/>
    <w:rsid w:val="654167FC"/>
    <w:rsid w:val="655820EC"/>
    <w:rsid w:val="6583069B"/>
    <w:rsid w:val="65C15EE3"/>
    <w:rsid w:val="65D87252"/>
    <w:rsid w:val="65E7D3B5"/>
    <w:rsid w:val="65EF34B8"/>
    <w:rsid w:val="65F242EE"/>
    <w:rsid w:val="660B715E"/>
    <w:rsid w:val="662F4D60"/>
    <w:rsid w:val="662F6E91"/>
    <w:rsid w:val="664E34EF"/>
    <w:rsid w:val="66507267"/>
    <w:rsid w:val="668B794B"/>
    <w:rsid w:val="6695025A"/>
    <w:rsid w:val="66E31E89"/>
    <w:rsid w:val="66F7210E"/>
    <w:rsid w:val="67120F39"/>
    <w:rsid w:val="67206C26"/>
    <w:rsid w:val="675E48FC"/>
    <w:rsid w:val="67691AEA"/>
    <w:rsid w:val="677456CA"/>
    <w:rsid w:val="678B3D17"/>
    <w:rsid w:val="679A2E90"/>
    <w:rsid w:val="67A1421E"/>
    <w:rsid w:val="67C169C2"/>
    <w:rsid w:val="6809233A"/>
    <w:rsid w:val="68137B83"/>
    <w:rsid w:val="68562540"/>
    <w:rsid w:val="686F0D20"/>
    <w:rsid w:val="68873690"/>
    <w:rsid w:val="68C91F73"/>
    <w:rsid w:val="69142915"/>
    <w:rsid w:val="69270753"/>
    <w:rsid w:val="693477D9"/>
    <w:rsid w:val="693560B1"/>
    <w:rsid w:val="69400883"/>
    <w:rsid w:val="694F3869"/>
    <w:rsid w:val="697C221C"/>
    <w:rsid w:val="699A1C0A"/>
    <w:rsid w:val="69E06B54"/>
    <w:rsid w:val="69FF2A34"/>
    <w:rsid w:val="6A123B9E"/>
    <w:rsid w:val="6A246A40"/>
    <w:rsid w:val="6A3A5830"/>
    <w:rsid w:val="6A5A37A6"/>
    <w:rsid w:val="6A9F2DA7"/>
    <w:rsid w:val="6ADD64D1"/>
    <w:rsid w:val="6AFC2F65"/>
    <w:rsid w:val="6B026B88"/>
    <w:rsid w:val="6B3F2079"/>
    <w:rsid w:val="6B5A639D"/>
    <w:rsid w:val="6B6355E5"/>
    <w:rsid w:val="6B6F6A8D"/>
    <w:rsid w:val="6B9D1A81"/>
    <w:rsid w:val="6BBA3B00"/>
    <w:rsid w:val="6BD07734"/>
    <w:rsid w:val="6BD17695"/>
    <w:rsid w:val="6BE1107F"/>
    <w:rsid w:val="6BF670AD"/>
    <w:rsid w:val="6C153C3D"/>
    <w:rsid w:val="6C871196"/>
    <w:rsid w:val="6C951535"/>
    <w:rsid w:val="6C9B45C8"/>
    <w:rsid w:val="6CAF118B"/>
    <w:rsid w:val="6CC60F7D"/>
    <w:rsid w:val="6CDD30A1"/>
    <w:rsid w:val="6CEE6172"/>
    <w:rsid w:val="6CF96423"/>
    <w:rsid w:val="6D0B3D91"/>
    <w:rsid w:val="6D7917A7"/>
    <w:rsid w:val="6D7B052E"/>
    <w:rsid w:val="6D851EEC"/>
    <w:rsid w:val="6D9914F3"/>
    <w:rsid w:val="6D9D5B62"/>
    <w:rsid w:val="6DF30C9B"/>
    <w:rsid w:val="6E1312A6"/>
    <w:rsid w:val="6E2337BB"/>
    <w:rsid w:val="6E280A1C"/>
    <w:rsid w:val="6E4C47B8"/>
    <w:rsid w:val="6EA86587"/>
    <w:rsid w:val="6EB8331F"/>
    <w:rsid w:val="6EF15B58"/>
    <w:rsid w:val="6F3056FA"/>
    <w:rsid w:val="6F35349E"/>
    <w:rsid w:val="6F6011E0"/>
    <w:rsid w:val="6F661E40"/>
    <w:rsid w:val="6F704B7D"/>
    <w:rsid w:val="6F7C32C2"/>
    <w:rsid w:val="6F806E0F"/>
    <w:rsid w:val="6FC945CA"/>
    <w:rsid w:val="6FF440BA"/>
    <w:rsid w:val="70003DD8"/>
    <w:rsid w:val="70192021"/>
    <w:rsid w:val="70F7687C"/>
    <w:rsid w:val="70FD7015"/>
    <w:rsid w:val="71473A79"/>
    <w:rsid w:val="715D2CCD"/>
    <w:rsid w:val="71746CF9"/>
    <w:rsid w:val="71BA270E"/>
    <w:rsid w:val="71DF7B54"/>
    <w:rsid w:val="71F1067C"/>
    <w:rsid w:val="720C6069"/>
    <w:rsid w:val="722D3F11"/>
    <w:rsid w:val="723373CC"/>
    <w:rsid w:val="723B19EC"/>
    <w:rsid w:val="723D0AFC"/>
    <w:rsid w:val="725F238F"/>
    <w:rsid w:val="72933BFA"/>
    <w:rsid w:val="72952BD1"/>
    <w:rsid w:val="729A6579"/>
    <w:rsid w:val="72A12DDF"/>
    <w:rsid w:val="72D75477"/>
    <w:rsid w:val="72E476B5"/>
    <w:rsid w:val="73210D6E"/>
    <w:rsid w:val="732E6B82"/>
    <w:rsid w:val="733816BE"/>
    <w:rsid w:val="734B3290"/>
    <w:rsid w:val="737F118B"/>
    <w:rsid w:val="73CF2A78"/>
    <w:rsid w:val="73F5670E"/>
    <w:rsid w:val="742000F0"/>
    <w:rsid w:val="743A4EBB"/>
    <w:rsid w:val="74493F80"/>
    <w:rsid w:val="746E0A10"/>
    <w:rsid w:val="74722C9A"/>
    <w:rsid w:val="74754E96"/>
    <w:rsid w:val="747B1953"/>
    <w:rsid w:val="74940C50"/>
    <w:rsid w:val="749C04E2"/>
    <w:rsid w:val="74BE7A92"/>
    <w:rsid w:val="75044CC4"/>
    <w:rsid w:val="750B13DE"/>
    <w:rsid w:val="75213D37"/>
    <w:rsid w:val="753A165A"/>
    <w:rsid w:val="753D2F88"/>
    <w:rsid w:val="75466065"/>
    <w:rsid w:val="75530B22"/>
    <w:rsid w:val="75546277"/>
    <w:rsid w:val="75635FA7"/>
    <w:rsid w:val="75A7F898"/>
    <w:rsid w:val="75AE1318"/>
    <w:rsid w:val="75CF33D3"/>
    <w:rsid w:val="75E33C54"/>
    <w:rsid w:val="76093C24"/>
    <w:rsid w:val="764C5E87"/>
    <w:rsid w:val="76607052"/>
    <w:rsid w:val="7693088D"/>
    <w:rsid w:val="76BB7A12"/>
    <w:rsid w:val="76CB1B74"/>
    <w:rsid w:val="76FA06A5"/>
    <w:rsid w:val="770706D4"/>
    <w:rsid w:val="770C25DD"/>
    <w:rsid w:val="777F44E9"/>
    <w:rsid w:val="778B33D4"/>
    <w:rsid w:val="77AB5BC1"/>
    <w:rsid w:val="77CA1A97"/>
    <w:rsid w:val="77EC3841"/>
    <w:rsid w:val="77FA3860"/>
    <w:rsid w:val="783F5701"/>
    <w:rsid w:val="784322CA"/>
    <w:rsid w:val="78623556"/>
    <w:rsid w:val="78834D03"/>
    <w:rsid w:val="788C3F92"/>
    <w:rsid w:val="789E0306"/>
    <w:rsid w:val="78B524B1"/>
    <w:rsid w:val="78C0202A"/>
    <w:rsid w:val="792B7C60"/>
    <w:rsid w:val="79554101"/>
    <w:rsid w:val="79715DB9"/>
    <w:rsid w:val="79CF685E"/>
    <w:rsid w:val="79D85F74"/>
    <w:rsid w:val="79FF4DD4"/>
    <w:rsid w:val="7A086AC3"/>
    <w:rsid w:val="7A356A48"/>
    <w:rsid w:val="7A560E98"/>
    <w:rsid w:val="7A7D7A23"/>
    <w:rsid w:val="7A906D53"/>
    <w:rsid w:val="7ABE6C52"/>
    <w:rsid w:val="7AC06311"/>
    <w:rsid w:val="7B002DF3"/>
    <w:rsid w:val="7B090BB4"/>
    <w:rsid w:val="7B1872CD"/>
    <w:rsid w:val="7B6F1E26"/>
    <w:rsid w:val="7B810197"/>
    <w:rsid w:val="7BAD2E75"/>
    <w:rsid w:val="7BB42B52"/>
    <w:rsid w:val="7BFD0A8D"/>
    <w:rsid w:val="7C1143BC"/>
    <w:rsid w:val="7C575F15"/>
    <w:rsid w:val="7C8A26FD"/>
    <w:rsid w:val="7C904137"/>
    <w:rsid w:val="7C9106EB"/>
    <w:rsid w:val="7C92162E"/>
    <w:rsid w:val="7C97395A"/>
    <w:rsid w:val="7C9F29C8"/>
    <w:rsid w:val="7CB57626"/>
    <w:rsid w:val="7CC8489E"/>
    <w:rsid w:val="7CCC7300"/>
    <w:rsid w:val="7CE337F5"/>
    <w:rsid w:val="7D0B7E74"/>
    <w:rsid w:val="7D451493"/>
    <w:rsid w:val="7D5EAD1F"/>
    <w:rsid w:val="7D66043F"/>
    <w:rsid w:val="7D6658A3"/>
    <w:rsid w:val="7D7138D9"/>
    <w:rsid w:val="7D7237BF"/>
    <w:rsid w:val="7DA46C42"/>
    <w:rsid w:val="7DEC566F"/>
    <w:rsid w:val="7E0973D8"/>
    <w:rsid w:val="7EB53B8F"/>
    <w:rsid w:val="7EC3275E"/>
    <w:rsid w:val="7EFDFA61"/>
    <w:rsid w:val="7F2A6188"/>
    <w:rsid w:val="7F33360F"/>
    <w:rsid w:val="7FA07D93"/>
    <w:rsid w:val="7FAB56A5"/>
    <w:rsid w:val="7FB01F7B"/>
    <w:rsid w:val="7FBD2895"/>
    <w:rsid w:val="7FC468A4"/>
    <w:rsid w:val="7FCC59BA"/>
    <w:rsid w:val="7FD63D4B"/>
    <w:rsid w:val="7FFF168A"/>
    <w:rsid w:val="A3FF0478"/>
    <w:rsid w:val="AFFBD33B"/>
    <w:rsid w:val="B7CD043D"/>
    <w:rsid w:val="BD97D6B7"/>
    <w:rsid w:val="BEDD5B5C"/>
    <w:rsid w:val="D7ED9CBE"/>
    <w:rsid w:val="DD8534CA"/>
    <w:rsid w:val="DF9E1D4C"/>
    <w:rsid w:val="E97FF22E"/>
    <w:rsid w:val="EBEBF3BE"/>
    <w:rsid w:val="F6F3C9DB"/>
    <w:rsid w:val="F7FA97DD"/>
    <w:rsid w:val="FDEFAFDD"/>
    <w:rsid w:val="FE6989B8"/>
    <w:rsid w:val="FF3EB011"/>
    <w:rsid w:val="FFDD1ED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iPriority="0" w:semiHidden="0" w:name="endnote reference"/>
    <w:lsdException w:qFormat="1"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iPriority="0" w:semiHidden="0" w:name="List"/>
    <w:lsdException w:qFormat="1" w:uiPriority="0" w:semiHidden="0" w:name="List Bullet"/>
    <w:lsdException w:qFormat="1" w:uiPriority="0" w:semiHidden="0" w:name="List Number"/>
    <w:lsdException w:qFormat="1" w:uiPriority="0" w:semiHidden="0" w:name="List 2"/>
    <w:lsdException w:qFormat="1" w:uiPriority="0" w:semiHidden="0" w:name="List 3"/>
    <w:lsdException w:qFormat="1" w:unhideWhenUsed="0" w:uiPriority="0" w:semiHidden="0" w:name="List 4"/>
    <w:lsdException w:unhideWhenUsed="0" w:uiPriority="0" w:semiHidden="0" w:name="List 5"/>
    <w:lsdException w:qFormat="1" w:uiPriority="0" w:semiHidden="0" w:name="List Bullet 2"/>
    <w:lsdException w:qFormat="1"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1"/>
      <w:lang w:val="en-US" w:eastAsia="zh-CN" w:bidi="ar-SA"/>
    </w:rPr>
  </w:style>
  <w:style w:type="paragraph" w:styleId="3">
    <w:name w:val="heading 1"/>
    <w:basedOn w:val="1"/>
    <w:next w:val="4"/>
    <w:link w:val="809"/>
    <w:qFormat/>
    <w:uiPriority w:val="0"/>
    <w:pPr>
      <w:keepNext/>
      <w:keepLines/>
      <w:spacing w:line="578" w:lineRule="auto"/>
      <w:outlineLvl w:val="0"/>
    </w:pPr>
    <w:rPr>
      <w:rFonts w:ascii="Calibri" w:hAnsi="Calibri"/>
      <w:b/>
      <w:bCs/>
      <w:kern w:val="44"/>
      <w:sz w:val="32"/>
      <w:szCs w:val="44"/>
    </w:rPr>
  </w:style>
  <w:style w:type="paragraph" w:styleId="4">
    <w:name w:val="heading 2"/>
    <w:basedOn w:val="1"/>
    <w:next w:val="1"/>
    <w:link w:val="824"/>
    <w:qFormat/>
    <w:uiPriority w:val="0"/>
    <w:pPr>
      <w:keepNext/>
      <w:keepLines/>
      <w:spacing w:line="416" w:lineRule="auto"/>
      <w:outlineLvl w:val="1"/>
    </w:pPr>
    <w:rPr>
      <w:rFonts w:ascii="Cambria" w:hAnsi="Cambria"/>
      <w:sz w:val="28"/>
      <w:szCs w:val="32"/>
    </w:rPr>
  </w:style>
  <w:style w:type="paragraph" w:styleId="5">
    <w:name w:val="heading 3"/>
    <w:basedOn w:val="6"/>
    <w:next w:val="2"/>
    <w:link w:val="808"/>
    <w:qFormat/>
    <w:uiPriority w:val="9"/>
    <w:pPr>
      <w:keepNext/>
      <w:keepLines/>
      <w:numPr>
        <w:ilvl w:val="2"/>
        <w:numId w:val="1"/>
      </w:numPr>
      <w:tabs>
        <w:tab w:val="left" w:pos="432"/>
      </w:tabs>
      <w:adjustRightInd w:val="0"/>
      <w:snapToGrid w:val="0"/>
      <w:ind w:firstLine="0"/>
      <w:outlineLvl w:val="2"/>
    </w:pPr>
    <w:rPr>
      <w:rFonts w:eastAsia="黑体"/>
      <w:szCs w:val="32"/>
    </w:rPr>
  </w:style>
  <w:style w:type="paragraph" w:styleId="6">
    <w:name w:val="heading 4"/>
    <w:basedOn w:val="1"/>
    <w:next w:val="1"/>
    <w:link w:val="834"/>
    <w:qFormat/>
    <w:uiPriority w:val="9"/>
    <w:pPr>
      <w:numPr>
        <w:ilvl w:val="3"/>
        <w:numId w:val="2"/>
      </w:numPr>
      <w:tabs>
        <w:tab w:val="left" w:pos="432"/>
      </w:tabs>
      <w:outlineLvl w:val="3"/>
    </w:pPr>
    <w:rPr>
      <w:rFonts w:ascii="Arial" w:hAnsi="Arial"/>
      <w:b/>
      <w:bCs/>
      <w:szCs w:val="28"/>
    </w:rPr>
  </w:style>
  <w:style w:type="paragraph" w:styleId="7">
    <w:name w:val="heading 5"/>
    <w:basedOn w:val="1"/>
    <w:next w:val="1"/>
    <w:link w:val="826"/>
    <w:qFormat/>
    <w:uiPriority w:val="0"/>
    <w:pPr>
      <w:keepNext/>
      <w:keepLines/>
      <w:numPr>
        <w:ilvl w:val="3"/>
        <w:numId w:val="3"/>
      </w:numPr>
      <w:tabs>
        <w:tab w:val="left" w:pos="3827"/>
      </w:tabs>
      <w:jc w:val="left"/>
      <w:outlineLvl w:val="4"/>
    </w:pPr>
    <w:rPr>
      <w:b/>
      <w:bCs/>
      <w:szCs w:val="28"/>
    </w:rPr>
  </w:style>
  <w:style w:type="paragraph" w:styleId="8">
    <w:name w:val="heading 6"/>
    <w:basedOn w:val="1"/>
    <w:next w:val="1"/>
    <w:link w:val="816"/>
    <w:qFormat/>
    <w:uiPriority w:val="0"/>
    <w:pPr>
      <w:keepNext/>
      <w:keepLines/>
      <w:numPr>
        <w:ilvl w:val="5"/>
        <w:numId w:val="4"/>
      </w:numPr>
      <w:tabs>
        <w:tab w:val="left" w:pos="4677"/>
      </w:tabs>
      <w:spacing w:before="240" w:after="64" w:line="317" w:lineRule="auto"/>
      <w:outlineLvl w:val="5"/>
    </w:pPr>
    <w:rPr>
      <w:rFonts w:ascii="Arial" w:hAnsi="Arial" w:eastAsia="黑体"/>
      <w:b/>
      <w:bCs/>
      <w:sz w:val="24"/>
    </w:rPr>
  </w:style>
  <w:style w:type="paragraph" w:styleId="9">
    <w:name w:val="heading 7"/>
    <w:basedOn w:val="1"/>
    <w:next w:val="1"/>
    <w:link w:val="835"/>
    <w:qFormat/>
    <w:uiPriority w:val="0"/>
    <w:pPr>
      <w:keepNext/>
      <w:keepLines/>
      <w:adjustRightInd w:val="0"/>
      <w:snapToGrid w:val="0"/>
      <w:spacing w:before="240" w:after="64" w:line="320" w:lineRule="auto"/>
      <w:ind w:left="1296" w:hanging="1296"/>
      <w:outlineLvl w:val="6"/>
    </w:pPr>
    <w:rPr>
      <w:rFonts w:ascii="Calibri" w:hAnsi="Calibri" w:eastAsia="黑体"/>
      <w:b/>
      <w:bCs/>
      <w:lang w:val="zh-CN"/>
    </w:rPr>
  </w:style>
  <w:style w:type="paragraph" w:styleId="10">
    <w:name w:val="heading 8"/>
    <w:basedOn w:val="1"/>
    <w:next w:val="1"/>
    <w:link w:val="832"/>
    <w:qFormat/>
    <w:uiPriority w:val="0"/>
    <w:pPr>
      <w:keepNext/>
      <w:keepLines/>
      <w:spacing w:before="240" w:after="64" w:line="319" w:lineRule="auto"/>
      <w:ind w:left="1440" w:hanging="1440"/>
      <w:outlineLvl w:val="7"/>
    </w:pPr>
    <w:rPr>
      <w:rFonts w:ascii="Arial" w:hAnsi="Arial" w:eastAsia="黑体"/>
      <w:sz w:val="24"/>
      <w:szCs w:val="24"/>
      <w:lang w:val="zh-CN"/>
    </w:rPr>
  </w:style>
  <w:style w:type="paragraph" w:styleId="11">
    <w:name w:val="heading 9"/>
    <w:basedOn w:val="1"/>
    <w:next w:val="1"/>
    <w:link w:val="813"/>
    <w:qFormat/>
    <w:uiPriority w:val="0"/>
    <w:pPr>
      <w:keepNext/>
      <w:keepLines/>
      <w:spacing w:before="240" w:after="64" w:line="319" w:lineRule="auto"/>
      <w:ind w:left="1584" w:hanging="1584"/>
      <w:outlineLvl w:val="8"/>
    </w:pPr>
    <w:rPr>
      <w:rFonts w:ascii="Arial" w:hAnsi="Arial" w:eastAsia="黑体"/>
      <w:lang w:val="zh-CN"/>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815"/>
    <w:qFormat/>
    <w:uiPriority w:val="0"/>
    <w:pPr>
      <w:spacing w:before="120" w:after="120" w:line="360" w:lineRule="auto"/>
      <w:ind w:firstLine="510"/>
    </w:pPr>
    <w:rPr>
      <w:sz w:val="24"/>
    </w:rPr>
  </w:style>
  <w:style w:type="paragraph" w:styleId="12">
    <w:name w:val="List 3"/>
    <w:basedOn w:val="1"/>
    <w:unhideWhenUsed/>
    <w:qFormat/>
    <w:uiPriority w:val="0"/>
    <w:pPr>
      <w:ind w:left="1260" w:hanging="420"/>
    </w:pPr>
    <w:rPr>
      <w:rFonts w:ascii="Times New Roman" w:hAnsi="Times New Roman"/>
      <w:szCs w:val="24"/>
    </w:rPr>
  </w:style>
  <w:style w:type="paragraph" w:styleId="13">
    <w:name w:val="toc 7"/>
    <w:basedOn w:val="1"/>
    <w:next w:val="1"/>
    <w:unhideWhenUsed/>
    <w:qFormat/>
    <w:uiPriority w:val="39"/>
    <w:pPr>
      <w:ind w:left="2520" w:leftChars="1200"/>
    </w:pPr>
    <w:rPr>
      <w:rFonts w:asciiTheme="minorHAnsi" w:hAnsiTheme="minorHAnsi" w:eastAsiaTheme="minorEastAsia" w:cstheme="minorBidi"/>
      <w:szCs w:val="22"/>
      <w14:ligatures w14:val="standardContextual"/>
    </w:rPr>
  </w:style>
  <w:style w:type="paragraph" w:styleId="14">
    <w:name w:val="List Number"/>
    <w:basedOn w:val="1"/>
    <w:unhideWhenUsed/>
    <w:qFormat/>
    <w:uiPriority w:val="0"/>
    <w:pPr>
      <w:tabs>
        <w:tab w:val="left" w:pos="360"/>
      </w:tabs>
      <w:ind w:left="360" w:hanging="360" w:hangingChars="200"/>
      <w:contextualSpacing/>
    </w:pPr>
    <w:rPr>
      <w:rFonts w:ascii="Times New Roman" w:hAnsi="Times New Roman"/>
      <w:sz w:val="24"/>
      <w:szCs w:val="24"/>
    </w:rPr>
  </w:style>
  <w:style w:type="paragraph" w:styleId="15">
    <w:name w:val="Normal Indent"/>
    <w:basedOn w:val="1"/>
    <w:link w:val="820"/>
    <w:qFormat/>
    <w:uiPriority w:val="0"/>
    <w:pPr>
      <w:ind w:firstLine="420"/>
    </w:pPr>
  </w:style>
  <w:style w:type="paragraph" w:styleId="16">
    <w:name w:val="caption"/>
    <w:basedOn w:val="1"/>
    <w:next w:val="1"/>
    <w:link w:val="829"/>
    <w:qFormat/>
    <w:uiPriority w:val="0"/>
    <w:pPr>
      <w:jc w:val="center"/>
    </w:pPr>
    <w:rPr>
      <w:rFonts w:ascii="Arial" w:hAnsi="Arial" w:eastAsia="黑体"/>
      <w:szCs w:val="20"/>
    </w:rPr>
  </w:style>
  <w:style w:type="paragraph" w:styleId="17">
    <w:name w:val="List Bullet"/>
    <w:basedOn w:val="1"/>
    <w:unhideWhenUsed/>
    <w:qFormat/>
    <w:uiPriority w:val="0"/>
    <w:pPr>
      <w:tabs>
        <w:tab w:val="left" w:pos="360"/>
      </w:tabs>
      <w:ind w:left="360" w:hanging="360" w:hangingChars="200"/>
      <w:contextualSpacing/>
    </w:pPr>
    <w:rPr>
      <w:rFonts w:ascii="Times New Roman" w:hAnsi="Times New Roman"/>
      <w:sz w:val="24"/>
      <w:szCs w:val="24"/>
    </w:rPr>
  </w:style>
  <w:style w:type="paragraph" w:styleId="18">
    <w:name w:val="Document Map"/>
    <w:basedOn w:val="1"/>
    <w:link w:val="823"/>
    <w:qFormat/>
    <w:uiPriority w:val="0"/>
    <w:pPr>
      <w:shd w:val="clear" w:color="auto" w:fill="000080"/>
    </w:pPr>
    <w:rPr>
      <w:rFonts w:ascii="Times New Roman" w:hAnsi="Times New Roman"/>
      <w:kern w:val="0"/>
      <w:sz w:val="24"/>
      <w:szCs w:val="24"/>
      <w:lang w:val="zh-CN"/>
    </w:rPr>
  </w:style>
  <w:style w:type="paragraph" w:styleId="19">
    <w:name w:val="toa heading"/>
    <w:basedOn w:val="1"/>
    <w:next w:val="1"/>
    <w:qFormat/>
    <w:uiPriority w:val="0"/>
    <w:pPr>
      <w:spacing w:before="120"/>
    </w:pPr>
    <w:rPr>
      <w:rFonts w:ascii="Arial" w:hAnsi="Arial" w:cs="Arial"/>
      <w:sz w:val="24"/>
      <w:szCs w:val="24"/>
    </w:rPr>
  </w:style>
  <w:style w:type="paragraph" w:styleId="20">
    <w:name w:val="annotation text"/>
    <w:basedOn w:val="1"/>
    <w:link w:val="818"/>
    <w:qFormat/>
    <w:uiPriority w:val="0"/>
    <w:pPr>
      <w:jc w:val="left"/>
    </w:pPr>
  </w:style>
  <w:style w:type="paragraph" w:styleId="21">
    <w:name w:val="Salutation"/>
    <w:basedOn w:val="1"/>
    <w:next w:val="1"/>
    <w:link w:val="805"/>
    <w:unhideWhenUsed/>
    <w:qFormat/>
    <w:uiPriority w:val="0"/>
    <w:rPr>
      <w:rFonts w:ascii="Times New Roman" w:hAnsi="Times New Roman"/>
      <w:szCs w:val="24"/>
    </w:rPr>
  </w:style>
  <w:style w:type="paragraph" w:styleId="22">
    <w:name w:val="Body Text 3"/>
    <w:basedOn w:val="1"/>
    <w:link w:val="836"/>
    <w:qFormat/>
    <w:uiPriority w:val="0"/>
    <w:pPr>
      <w:spacing w:after="120"/>
    </w:pPr>
    <w:rPr>
      <w:rFonts w:ascii="Times New Roman" w:hAnsi="Times New Roman"/>
      <w:kern w:val="0"/>
      <w:sz w:val="16"/>
      <w:szCs w:val="16"/>
    </w:rPr>
  </w:style>
  <w:style w:type="paragraph" w:styleId="23">
    <w:name w:val="Closing"/>
    <w:basedOn w:val="1"/>
    <w:link w:val="828"/>
    <w:unhideWhenUsed/>
    <w:qFormat/>
    <w:uiPriority w:val="0"/>
    <w:pPr>
      <w:ind w:left="100" w:leftChars="2100"/>
    </w:pPr>
    <w:rPr>
      <w:rFonts w:ascii="Times New Roman" w:hAnsi="Times New Roman"/>
      <w:szCs w:val="24"/>
    </w:rPr>
  </w:style>
  <w:style w:type="paragraph" w:styleId="24">
    <w:name w:val="List Bullet 3"/>
    <w:basedOn w:val="1"/>
    <w:unhideWhenUsed/>
    <w:qFormat/>
    <w:uiPriority w:val="0"/>
    <w:pPr>
      <w:tabs>
        <w:tab w:val="left" w:pos="1200"/>
      </w:tabs>
      <w:ind w:left="1200" w:leftChars="400" w:hanging="360" w:hangingChars="200"/>
    </w:pPr>
    <w:rPr>
      <w:rFonts w:ascii="Times New Roman" w:hAnsi="Times New Roman"/>
      <w:szCs w:val="24"/>
    </w:rPr>
  </w:style>
  <w:style w:type="paragraph" w:styleId="25">
    <w:name w:val="Body Text Indent"/>
    <w:basedOn w:val="1"/>
    <w:link w:val="804"/>
    <w:qFormat/>
    <w:uiPriority w:val="0"/>
    <w:pPr>
      <w:spacing w:after="120"/>
      <w:ind w:left="420"/>
    </w:pPr>
    <w:rPr>
      <w:lang w:val="zh-CN"/>
    </w:rPr>
  </w:style>
  <w:style w:type="paragraph" w:styleId="26">
    <w:name w:val="List 2"/>
    <w:basedOn w:val="1"/>
    <w:unhideWhenUsed/>
    <w:qFormat/>
    <w:uiPriority w:val="0"/>
    <w:pPr>
      <w:ind w:left="840" w:hanging="420"/>
    </w:pPr>
    <w:rPr>
      <w:rFonts w:ascii="Times New Roman" w:hAnsi="Times New Roman"/>
      <w:szCs w:val="24"/>
    </w:rPr>
  </w:style>
  <w:style w:type="paragraph" w:styleId="27">
    <w:name w:val="Block Text"/>
    <w:basedOn w:val="1"/>
    <w:qFormat/>
    <w:uiPriority w:val="0"/>
    <w:pPr>
      <w:ind w:left="900" w:right="-180" w:hanging="900"/>
    </w:pPr>
    <w:rPr>
      <w:rFonts w:ascii="Arial" w:hAnsi="Arial" w:cs="Arial"/>
      <w:color w:val="000000"/>
      <w:sz w:val="24"/>
      <w:szCs w:val="24"/>
    </w:rPr>
  </w:style>
  <w:style w:type="paragraph" w:styleId="28">
    <w:name w:val="List Bullet 2"/>
    <w:basedOn w:val="1"/>
    <w:unhideWhenUsed/>
    <w:qFormat/>
    <w:uiPriority w:val="0"/>
    <w:pPr>
      <w:tabs>
        <w:tab w:val="left" w:pos="780"/>
      </w:tabs>
      <w:ind w:left="780" w:leftChars="200" w:hanging="360" w:hangingChars="200"/>
    </w:pPr>
    <w:rPr>
      <w:rFonts w:ascii="Times New Roman" w:hAnsi="Times New Roman"/>
      <w:szCs w:val="24"/>
    </w:rPr>
  </w:style>
  <w:style w:type="paragraph" w:styleId="29">
    <w:name w:val="toc 5"/>
    <w:basedOn w:val="1"/>
    <w:next w:val="1"/>
    <w:unhideWhenUsed/>
    <w:qFormat/>
    <w:uiPriority w:val="39"/>
    <w:pPr>
      <w:ind w:left="1680" w:leftChars="800"/>
    </w:pPr>
    <w:rPr>
      <w:rFonts w:asciiTheme="minorHAnsi" w:hAnsiTheme="minorHAnsi" w:eastAsiaTheme="minorEastAsia" w:cstheme="minorBidi"/>
      <w:szCs w:val="22"/>
      <w14:ligatures w14:val="standardContextual"/>
    </w:rPr>
  </w:style>
  <w:style w:type="paragraph" w:styleId="30">
    <w:name w:val="toc 3"/>
    <w:basedOn w:val="1"/>
    <w:next w:val="1"/>
    <w:unhideWhenUsed/>
    <w:qFormat/>
    <w:uiPriority w:val="39"/>
    <w:pPr>
      <w:ind w:left="840" w:leftChars="400"/>
    </w:pPr>
    <w:rPr>
      <w:rFonts w:asciiTheme="minorHAnsi" w:hAnsiTheme="minorHAnsi" w:eastAsiaTheme="minorEastAsia" w:cstheme="minorBidi"/>
      <w:szCs w:val="22"/>
      <w14:ligatures w14:val="standardContextual"/>
    </w:rPr>
  </w:style>
  <w:style w:type="paragraph" w:styleId="31">
    <w:name w:val="Plain Text"/>
    <w:basedOn w:val="1"/>
    <w:link w:val="819"/>
    <w:qFormat/>
    <w:uiPriority w:val="0"/>
    <w:pPr>
      <w:spacing w:after="160" w:line="276" w:lineRule="auto"/>
    </w:pPr>
    <w:rPr>
      <w:rFonts w:hint="eastAsia" w:hAnsi="Courier New"/>
    </w:rPr>
  </w:style>
  <w:style w:type="paragraph" w:styleId="32">
    <w:name w:val="toc 8"/>
    <w:basedOn w:val="1"/>
    <w:next w:val="1"/>
    <w:unhideWhenUsed/>
    <w:qFormat/>
    <w:uiPriority w:val="39"/>
    <w:pPr>
      <w:ind w:left="2940" w:leftChars="1400"/>
    </w:pPr>
    <w:rPr>
      <w:rFonts w:asciiTheme="minorHAnsi" w:hAnsiTheme="minorHAnsi" w:eastAsiaTheme="minorEastAsia" w:cstheme="minorBidi"/>
      <w:szCs w:val="22"/>
      <w14:ligatures w14:val="standardContextual"/>
    </w:rPr>
  </w:style>
  <w:style w:type="paragraph" w:styleId="33">
    <w:name w:val="Date"/>
    <w:basedOn w:val="1"/>
    <w:next w:val="1"/>
    <w:link w:val="812"/>
    <w:qFormat/>
    <w:uiPriority w:val="0"/>
    <w:rPr>
      <w:rFonts w:hAnsi="Times New Roman"/>
      <w:szCs w:val="20"/>
    </w:rPr>
  </w:style>
  <w:style w:type="paragraph" w:styleId="34">
    <w:name w:val="Body Text Indent 2"/>
    <w:basedOn w:val="1"/>
    <w:link w:val="821"/>
    <w:qFormat/>
    <w:uiPriority w:val="0"/>
    <w:pPr>
      <w:spacing w:after="120" w:line="480" w:lineRule="auto"/>
      <w:ind w:left="420" w:leftChars="200"/>
    </w:pPr>
    <w:rPr>
      <w:rFonts w:ascii="Times New Roman" w:hAnsi="Times New Roman"/>
      <w:kern w:val="0"/>
      <w:sz w:val="20"/>
      <w:szCs w:val="20"/>
    </w:rPr>
  </w:style>
  <w:style w:type="paragraph" w:styleId="35">
    <w:name w:val="endnote text"/>
    <w:basedOn w:val="1"/>
    <w:link w:val="810"/>
    <w:unhideWhenUsed/>
    <w:qFormat/>
    <w:uiPriority w:val="0"/>
    <w:pPr>
      <w:snapToGrid w:val="0"/>
      <w:spacing w:line="360" w:lineRule="auto"/>
      <w:ind w:firstLine="200" w:firstLineChars="200"/>
      <w:jc w:val="left"/>
    </w:pPr>
    <w:rPr>
      <w:rFonts w:ascii="Times New Roman" w:hAnsi="Times New Roman"/>
      <w:sz w:val="24"/>
      <w:szCs w:val="24"/>
    </w:rPr>
  </w:style>
  <w:style w:type="paragraph" w:styleId="36">
    <w:name w:val="Balloon Text"/>
    <w:basedOn w:val="1"/>
    <w:link w:val="807"/>
    <w:qFormat/>
    <w:uiPriority w:val="99"/>
    <w:rPr>
      <w:sz w:val="18"/>
      <w:szCs w:val="18"/>
    </w:rPr>
  </w:style>
  <w:style w:type="paragraph" w:styleId="37">
    <w:name w:val="footer"/>
    <w:basedOn w:val="1"/>
    <w:link w:val="814"/>
    <w:qFormat/>
    <w:uiPriority w:val="0"/>
    <w:pPr>
      <w:tabs>
        <w:tab w:val="center" w:pos="4153"/>
        <w:tab w:val="right" w:pos="8306"/>
      </w:tabs>
      <w:snapToGrid w:val="0"/>
      <w:jc w:val="left"/>
    </w:pPr>
    <w:rPr>
      <w:sz w:val="18"/>
    </w:rPr>
  </w:style>
  <w:style w:type="paragraph" w:styleId="38">
    <w:name w:val="header"/>
    <w:basedOn w:val="1"/>
    <w:link w:val="827"/>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39">
    <w:name w:val="toc 1"/>
    <w:basedOn w:val="1"/>
    <w:next w:val="1"/>
    <w:unhideWhenUsed/>
    <w:qFormat/>
    <w:uiPriority w:val="39"/>
  </w:style>
  <w:style w:type="paragraph" w:styleId="40">
    <w:name w:val="toc 4"/>
    <w:basedOn w:val="1"/>
    <w:next w:val="1"/>
    <w:unhideWhenUsed/>
    <w:qFormat/>
    <w:uiPriority w:val="39"/>
    <w:pPr>
      <w:ind w:left="1260" w:leftChars="600"/>
    </w:pPr>
    <w:rPr>
      <w:rFonts w:asciiTheme="minorHAnsi" w:hAnsiTheme="minorHAnsi" w:eastAsiaTheme="minorEastAsia" w:cstheme="minorBidi"/>
      <w:szCs w:val="22"/>
      <w14:ligatures w14:val="standardContextual"/>
    </w:rPr>
  </w:style>
  <w:style w:type="paragraph" w:styleId="41">
    <w:name w:val="Subtitle"/>
    <w:basedOn w:val="1"/>
    <w:next w:val="1"/>
    <w:link w:val="825"/>
    <w:qFormat/>
    <w:uiPriority w:val="0"/>
    <w:pPr>
      <w:autoSpaceDE w:val="0"/>
      <w:autoSpaceDN w:val="0"/>
      <w:adjustRightInd w:val="0"/>
      <w:spacing w:before="240" w:after="60" w:line="312" w:lineRule="auto"/>
      <w:jc w:val="center"/>
      <w:outlineLvl w:val="1"/>
    </w:pPr>
    <w:rPr>
      <w:rFonts w:ascii="Cambria" w:hAnsi="Cambria"/>
      <w:b/>
      <w:bCs/>
      <w:kern w:val="28"/>
      <w:sz w:val="32"/>
      <w:szCs w:val="32"/>
    </w:rPr>
  </w:style>
  <w:style w:type="paragraph" w:styleId="42">
    <w:name w:val="List"/>
    <w:basedOn w:val="1"/>
    <w:unhideWhenUsed/>
    <w:qFormat/>
    <w:uiPriority w:val="0"/>
    <w:pPr>
      <w:ind w:left="200" w:hanging="200" w:hangingChars="200"/>
      <w:contextualSpacing/>
    </w:pPr>
    <w:rPr>
      <w:rFonts w:ascii="Times New Roman" w:hAnsi="Times New Roman"/>
      <w:sz w:val="24"/>
      <w:szCs w:val="24"/>
    </w:rPr>
  </w:style>
  <w:style w:type="paragraph" w:styleId="43">
    <w:name w:val="footnote text"/>
    <w:basedOn w:val="1"/>
    <w:link w:val="838"/>
    <w:unhideWhenUsed/>
    <w:qFormat/>
    <w:uiPriority w:val="0"/>
    <w:pPr>
      <w:snapToGrid w:val="0"/>
      <w:spacing w:line="360" w:lineRule="auto"/>
      <w:ind w:firstLine="200" w:firstLineChars="200"/>
      <w:jc w:val="left"/>
    </w:pPr>
    <w:rPr>
      <w:rFonts w:ascii="Times New Roman" w:hAnsi="Times New Roman"/>
      <w:sz w:val="18"/>
      <w:szCs w:val="18"/>
    </w:rPr>
  </w:style>
  <w:style w:type="paragraph" w:styleId="44">
    <w:name w:val="toc 6"/>
    <w:basedOn w:val="1"/>
    <w:next w:val="1"/>
    <w:unhideWhenUsed/>
    <w:qFormat/>
    <w:uiPriority w:val="39"/>
    <w:pPr>
      <w:ind w:left="2100" w:leftChars="1000"/>
    </w:pPr>
    <w:rPr>
      <w:rFonts w:asciiTheme="minorHAnsi" w:hAnsiTheme="minorHAnsi" w:eastAsiaTheme="minorEastAsia" w:cstheme="minorBidi"/>
      <w:szCs w:val="22"/>
      <w14:ligatures w14:val="standardContextual"/>
    </w:rPr>
  </w:style>
  <w:style w:type="paragraph" w:styleId="45">
    <w:name w:val="Body Text Indent 3"/>
    <w:basedOn w:val="1"/>
    <w:link w:val="831"/>
    <w:qFormat/>
    <w:uiPriority w:val="0"/>
    <w:pPr>
      <w:spacing w:after="120"/>
      <w:ind w:left="420" w:leftChars="200"/>
    </w:pPr>
    <w:rPr>
      <w:rFonts w:ascii="Times New Roman" w:hAnsi="Times New Roman"/>
      <w:kern w:val="0"/>
      <w:sz w:val="16"/>
      <w:szCs w:val="16"/>
    </w:rPr>
  </w:style>
  <w:style w:type="paragraph" w:styleId="46">
    <w:name w:val="toc 2"/>
    <w:basedOn w:val="1"/>
    <w:next w:val="1"/>
    <w:unhideWhenUsed/>
    <w:qFormat/>
    <w:uiPriority w:val="39"/>
    <w:pPr>
      <w:ind w:left="420" w:leftChars="200"/>
    </w:pPr>
  </w:style>
  <w:style w:type="paragraph" w:styleId="47">
    <w:name w:val="toc 9"/>
    <w:basedOn w:val="1"/>
    <w:next w:val="1"/>
    <w:unhideWhenUsed/>
    <w:qFormat/>
    <w:uiPriority w:val="39"/>
    <w:pPr>
      <w:ind w:left="3360" w:leftChars="1600"/>
    </w:pPr>
    <w:rPr>
      <w:rFonts w:asciiTheme="minorHAnsi" w:hAnsiTheme="minorHAnsi" w:eastAsiaTheme="minorEastAsia" w:cstheme="minorBidi"/>
      <w:szCs w:val="22"/>
      <w14:ligatures w14:val="standardContextual"/>
    </w:rPr>
  </w:style>
  <w:style w:type="paragraph" w:styleId="48">
    <w:name w:val="Body Text 2"/>
    <w:basedOn w:val="1"/>
    <w:link w:val="811"/>
    <w:qFormat/>
    <w:uiPriority w:val="0"/>
    <w:pPr>
      <w:spacing w:after="120" w:line="480" w:lineRule="auto"/>
    </w:pPr>
    <w:rPr>
      <w:rFonts w:ascii="Times New Roman" w:hAnsi="Times New Roman"/>
      <w:kern w:val="0"/>
      <w:sz w:val="20"/>
      <w:szCs w:val="24"/>
    </w:rPr>
  </w:style>
  <w:style w:type="paragraph" w:styleId="49">
    <w:name w:val="List 4"/>
    <w:basedOn w:val="1"/>
    <w:qFormat/>
    <w:uiPriority w:val="0"/>
    <w:pPr>
      <w:ind w:left="1680" w:hanging="420"/>
    </w:pPr>
    <w:rPr>
      <w:rFonts w:ascii="Times New Roman" w:hAnsi="Times New Roman"/>
      <w:szCs w:val="20"/>
    </w:rPr>
  </w:style>
  <w:style w:type="paragraph" w:styleId="50">
    <w:name w:val="Normal (Web)"/>
    <w:basedOn w:val="1"/>
    <w:qFormat/>
    <w:uiPriority w:val="99"/>
    <w:pPr>
      <w:widowControl/>
      <w:topLinePunct/>
      <w:adjustRightInd w:val="0"/>
      <w:snapToGrid w:val="0"/>
      <w:spacing w:before="160" w:after="160" w:line="240" w:lineRule="atLeast"/>
      <w:ind w:left="1701"/>
      <w:jc w:val="left"/>
    </w:pPr>
    <w:rPr>
      <w:rFonts w:ascii="Times New Roman" w:hAnsi="Times New Roman"/>
    </w:rPr>
  </w:style>
  <w:style w:type="paragraph" w:styleId="51">
    <w:name w:val="index 1"/>
    <w:basedOn w:val="1"/>
    <w:next w:val="1"/>
    <w:qFormat/>
    <w:uiPriority w:val="0"/>
    <w:rPr>
      <w:rFonts w:ascii="Times New Roman" w:hAnsi="Times New Roman"/>
      <w:szCs w:val="24"/>
    </w:rPr>
  </w:style>
  <w:style w:type="paragraph" w:styleId="52">
    <w:name w:val="Title"/>
    <w:basedOn w:val="1"/>
    <w:next w:val="1"/>
    <w:link w:val="806"/>
    <w:qFormat/>
    <w:uiPriority w:val="0"/>
    <w:pPr>
      <w:autoSpaceDE w:val="0"/>
      <w:autoSpaceDN w:val="0"/>
      <w:adjustRightInd w:val="0"/>
      <w:spacing w:before="240" w:after="60"/>
      <w:jc w:val="center"/>
      <w:outlineLvl w:val="0"/>
    </w:pPr>
    <w:rPr>
      <w:rFonts w:ascii="MS Sans Serif" w:hAnsi="MS Sans Serif" w:eastAsia="新宋体"/>
      <w:b/>
      <w:bCs/>
      <w:sz w:val="32"/>
      <w:szCs w:val="32"/>
    </w:rPr>
  </w:style>
  <w:style w:type="paragraph" w:styleId="53">
    <w:name w:val="annotation subject"/>
    <w:basedOn w:val="20"/>
    <w:next w:val="20"/>
    <w:link w:val="817"/>
    <w:qFormat/>
    <w:uiPriority w:val="0"/>
    <w:rPr>
      <w:b/>
      <w:bCs/>
    </w:rPr>
  </w:style>
  <w:style w:type="paragraph" w:styleId="54">
    <w:name w:val="Body Text First Indent"/>
    <w:basedOn w:val="2"/>
    <w:link w:val="837"/>
    <w:qFormat/>
    <w:uiPriority w:val="0"/>
    <w:pPr>
      <w:ind w:firstLine="420"/>
    </w:pPr>
  </w:style>
  <w:style w:type="paragraph" w:styleId="55">
    <w:name w:val="Body Text First Indent 2"/>
    <w:basedOn w:val="25"/>
    <w:link w:val="833"/>
    <w:unhideWhenUsed/>
    <w:qFormat/>
    <w:uiPriority w:val="0"/>
    <w:pPr>
      <w:adjustRightInd w:val="0"/>
      <w:spacing w:line="312" w:lineRule="atLeast"/>
      <w:ind w:left="200" w:leftChars="200" w:firstLine="200" w:firstLineChars="200"/>
      <w:textAlignment w:val="baseline"/>
    </w:pPr>
    <w:rPr>
      <w:rFonts w:ascii="Times New Roman" w:hAnsi="Times New Roman"/>
      <w:kern w:val="0"/>
      <w:szCs w:val="20"/>
      <w:lang w:val="en-US"/>
    </w:rPr>
  </w:style>
  <w:style w:type="table" w:styleId="57">
    <w:name w:val="Table Grid"/>
    <w:basedOn w:val="56"/>
    <w:qFormat/>
    <w:uiPriority w:val="59"/>
    <w:rPr>
      <w:rFonts w:asciiTheme="minorHAnsi" w:hAnsiTheme="minorHAnsi"/>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basedOn w:val="58"/>
    <w:qFormat/>
    <w:uiPriority w:val="0"/>
    <w:rPr>
      <w:b/>
    </w:rPr>
  </w:style>
  <w:style w:type="character" w:styleId="60">
    <w:name w:val="endnote reference"/>
    <w:unhideWhenUsed/>
    <w:qFormat/>
    <w:uiPriority w:val="0"/>
    <w:rPr>
      <w:vertAlign w:val="superscript"/>
    </w:rPr>
  </w:style>
  <w:style w:type="character" w:styleId="61">
    <w:name w:val="page number"/>
    <w:basedOn w:val="58"/>
    <w:qFormat/>
    <w:uiPriority w:val="0"/>
  </w:style>
  <w:style w:type="character" w:styleId="62">
    <w:name w:val="FollowedHyperlink"/>
    <w:unhideWhenUsed/>
    <w:qFormat/>
    <w:uiPriority w:val="99"/>
    <w:rPr>
      <w:color w:val="800080"/>
      <w:u w:val="single"/>
    </w:rPr>
  </w:style>
  <w:style w:type="character" w:styleId="63">
    <w:name w:val="Emphasis"/>
    <w:qFormat/>
    <w:uiPriority w:val="0"/>
    <w:rPr>
      <w:color w:val="CC0033"/>
    </w:rPr>
  </w:style>
  <w:style w:type="character" w:styleId="64">
    <w:name w:val="Hyperlink"/>
    <w:unhideWhenUsed/>
    <w:qFormat/>
    <w:uiPriority w:val="99"/>
    <w:rPr>
      <w:color w:val="0000FF"/>
      <w:u w:val="single"/>
    </w:rPr>
  </w:style>
  <w:style w:type="character" w:styleId="65">
    <w:name w:val="annotation reference"/>
    <w:qFormat/>
    <w:uiPriority w:val="0"/>
    <w:rPr>
      <w:sz w:val="21"/>
      <w:szCs w:val="21"/>
    </w:rPr>
  </w:style>
  <w:style w:type="character" w:styleId="66">
    <w:name w:val="footnote reference"/>
    <w:unhideWhenUsed/>
    <w:qFormat/>
    <w:uiPriority w:val="0"/>
    <w:rPr>
      <w:vertAlign w:val="superscript"/>
    </w:rPr>
  </w:style>
  <w:style w:type="paragraph" w:customStyle="1" w:styleId="67">
    <w:name w:val="A正文"/>
    <w:qFormat/>
    <w:uiPriority w:val="0"/>
    <w:pPr>
      <w:adjustRightInd w:val="0"/>
      <w:snapToGrid w:val="0"/>
      <w:spacing w:line="360" w:lineRule="auto"/>
      <w:ind w:firstLine="200" w:firstLineChars="200"/>
    </w:pPr>
    <w:rPr>
      <w:rFonts w:ascii="Times New Roman" w:hAnsi="Times New Roman" w:eastAsia="宋体" w:cs="Times New Roman"/>
      <w:kern w:val="2"/>
      <w:sz w:val="28"/>
      <w:szCs w:val="28"/>
      <w:lang w:val="en-US" w:eastAsia="zh-CN" w:bidi="ar-SA"/>
    </w:rPr>
  </w:style>
  <w:style w:type="paragraph" w:customStyle="1" w:styleId="68">
    <w:name w:val="封面一级标题文字"/>
    <w:basedOn w:val="1"/>
    <w:semiHidden/>
    <w:qFormat/>
    <w:uiPriority w:val="0"/>
    <w:pPr>
      <w:spacing w:line="640" w:lineRule="exact"/>
      <w:jc w:val="center"/>
    </w:pPr>
    <w:rPr>
      <w:rFonts w:ascii="黑体" w:hAnsi="黑体" w:eastAsia="黑体"/>
      <w:b/>
      <w:bCs/>
      <w:sz w:val="52"/>
      <w:szCs w:val="24"/>
    </w:rPr>
  </w:style>
  <w:style w:type="paragraph" w:customStyle="1" w:styleId="69">
    <w:name w:val="1 标题"/>
    <w:basedOn w:val="1"/>
    <w:qFormat/>
    <w:uiPriority w:val="0"/>
    <w:pPr>
      <w:spacing w:before="300" w:after="120" w:line="480" w:lineRule="exact"/>
      <w:jc w:val="center"/>
      <w:outlineLvl w:val="0"/>
    </w:pPr>
    <w:rPr>
      <w:rFonts w:ascii="Times New Roman" w:hAnsi="Times New Roman" w:eastAsia="黑体"/>
      <w:kern w:val="32"/>
      <w:sz w:val="36"/>
      <w:szCs w:val="36"/>
      <w:lang w:val="zh-CN"/>
    </w:rPr>
  </w:style>
  <w:style w:type="paragraph" w:customStyle="1" w:styleId="70">
    <w:name w:val="0-正 文"/>
    <w:basedOn w:val="1"/>
    <w:qFormat/>
    <w:uiPriority w:val="0"/>
    <w:pPr>
      <w:spacing w:line="460" w:lineRule="exact"/>
      <w:ind w:firstLine="426"/>
    </w:pPr>
    <w:rPr>
      <w:sz w:val="24"/>
    </w:rPr>
  </w:style>
  <w:style w:type="paragraph" w:customStyle="1" w:styleId="71">
    <w:name w:val="编号正文"/>
    <w:basedOn w:val="1"/>
    <w:qFormat/>
    <w:uiPriority w:val="0"/>
    <w:pPr>
      <w:adjustRightInd w:val="0"/>
      <w:snapToGrid w:val="0"/>
      <w:spacing w:line="360" w:lineRule="auto"/>
    </w:pPr>
    <w:rPr>
      <w:color w:val="000000"/>
      <w:sz w:val="24"/>
      <w:szCs w:val="24"/>
    </w:rPr>
  </w:style>
  <w:style w:type="paragraph" w:customStyle="1" w:styleId="72">
    <w:name w:val="弱电正文"/>
    <w:basedOn w:val="1"/>
    <w:link w:val="116"/>
    <w:qFormat/>
    <w:uiPriority w:val="0"/>
    <w:pPr>
      <w:widowControl/>
      <w:spacing w:line="360" w:lineRule="auto"/>
      <w:ind w:firstLine="480" w:firstLineChars="200"/>
      <w:jc w:val="left"/>
    </w:pPr>
    <w:rPr>
      <w:rFonts w:ascii="Calibri" w:hAnsi="Calibri"/>
      <w:sz w:val="24"/>
      <w:szCs w:val="22"/>
      <w:lang w:val="zh-CN"/>
    </w:rPr>
  </w:style>
  <w:style w:type="paragraph" w:customStyle="1" w:styleId="73">
    <w:name w:val="正文表格"/>
    <w:basedOn w:val="1"/>
    <w:qFormat/>
    <w:uiPriority w:val="0"/>
    <w:pPr>
      <w:widowControl/>
      <w:spacing w:before="60" w:after="60" w:line="300" w:lineRule="auto"/>
    </w:pPr>
    <w:rPr>
      <w:rFonts w:ascii="Times New Roman" w:hAnsi="Times New Roman"/>
      <w:kern w:val="0"/>
      <w:sz w:val="24"/>
      <w:szCs w:val="24"/>
    </w:rPr>
  </w:style>
  <w:style w:type="paragraph" w:customStyle="1" w:styleId="74">
    <w:name w:val="001—正文"/>
    <w:basedOn w:val="1"/>
    <w:qFormat/>
    <w:uiPriority w:val="0"/>
    <w:pPr>
      <w:spacing w:line="460" w:lineRule="exact"/>
      <w:ind w:firstLine="480" w:firstLineChars="200"/>
    </w:pPr>
    <w:rPr>
      <w:rFonts w:ascii="Times New Roman" w:hAnsi="Times New Roman"/>
      <w:sz w:val="24"/>
    </w:rPr>
  </w:style>
  <w:style w:type="paragraph" w:customStyle="1" w:styleId="75">
    <w:name w:val="列出段落11"/>
    <w:basedOn w:val="1"/>
    <w:qFormat/>
    <w:uiPriority w:val="34"/>
    <w:pPr>
      <w:adjustRightInd w:val="0"/>
      <w:snapToGrid w:val="0"/>
    </w:pPr>
    <w:rPr>
      <w:rFonts w:ascii="Times New Roman" w:hAnsi="Times New Roman"/>
    </w:rPr>
  </w:style>
  <w:style w:type="paragraph" w:customStyle="1" w:styleId="76">
    <w:name w:val="正文表标题"/>
    <w:next w:val="77"/>
    <w:qFormat/>
    <w:uiPriority w:val="0"/>
    <w:pPr>
      <w:numPr>
        <w:ilvl w:val="0"/>
        <w:numId w:val="5"/>
      </w:numPr>
      <w:spacing w:beforeLines="50" w:afterLines="50"/>
      <w:jc w:val="center"/>
    </w:pPr>
    <w:rPr>
      <w:rFonts w:ascii="黑体" w:hAnsi="Times New Roman" w:eastAsia="黑体" w:cs="黑体"/>
      <w:sz w:val="21"/>
      <w:szCs w:val="21"/>
      <w:lang w:val="en-US" w:eastAsia="zh-CN" w:bidi="ar-SA"/>
    </w:rPr>
  </w:style>
  <w:style w:type="paragraph" w:customStyle="1" w:styleId="7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78">
    <w:name w:val="段 Char Char"/>
    <w:qFormat/>
    <w:uiPriority w:val="0"/>
    <w:pPr>
      <w:ind w:firstLine="200" w:firstLineChars="200"/>
      <w:jc w:val="both"/>
    </w:pPr>
    <w:rPr>
      <w:rFonts w:ascii="宋体" w:hAnsi="Times New Roman" w:eastAsia="宋体" w:cs="Times New Roman"/>
      <w:sz w:val="21"/>
      <w:lang w:val="en-US" w:eastAsia="zh-CN" w:bidi="ar-SA"/>
    </w:rPr>
  </w:style>
  <w:style w:type="paragraph" w:customStyle="1" w:styleId="79">
    <w:name w:val="yq标题3"/>
    <w:basedOn w:val="80"/>
    <w:qFormat/>
    <w:uiPriority w:val="0"/>
    <w:pPr>
      <w:widowControl/>
      <w:tabs>
        <w:tab w:val="left" w:pos="432"/>
        <w:tab w:val="left" w:pos="576"/>
      </w:tabs>
      <w:spacing w:line="360" w:lineRule="auto"/>
      <w:outlineLvl w:val="2"/>
    </w:pPr>
  </w:style>
  <w:style w:type="paragraph" w:customStyle="1" w:styleId="80">
    <w:name w:val="yq标题2"/>
    <w:basedOn w:val="4"/>
    <w:qFormat/>
    <w:uiPriority w:val="0"/>
    <w:pPr>
      <w:tabs>
        <w:tab w:val="left" w:pos="432"/>
        <w:tab w:val="left" w:pos="576"/>
      </w:tabs>
      <w:ind w:left="575" w:hanging="575"/>
    </w:pPr>
    <w:rPr>
      <w:sz w:val="21"/>
      <w:szCs w:val="21"/>
    </w:rPr>
  </w:style>
  <w:style w:type="paragraph" w:customStyle="1" w:styleId="81">
    <w:name w:val="三级无"/>
    <w:basedOn w:val="1"/>
    <w:qFormat/>
    <w:uiPriority w:val="0"/>
    <w:pPr>
      <w:widowControl/>
      <w:jc w:val="left"/>
      <w:outlineLvl w:val="4"/>
    </w:pPr>
    <w:rPr>
      <w:rFonts w:hAnsi="Times New Roman"/>
      <w:kern w:val="0"/>
    </w:rPr>
  </w:style>
  <w:style w:type="paragraph" w:customStyle="1" w:styleId="82">
    <w:name w:val="样式 标准正文 + 宋体 小四"/>
    <w:basedOn w:val="1"/>
    <w:link w:val="150"/>
    <w:qFormat/>
    <w:uiPriority w:val="0"/>
    <w:pPr>
      <w:spacing w:line="360" w:lineRule="auto"/>
      <w:ind w:firstLine="200" w:firstLineChars="200"/>
    </w:pPr>
    <w:rPr>
      <w:sz w:val="24"/>
      <w:szCs w:val="20"/>
    </w:rPr>
  </w:style>
  <w:style w:type="paragraph" w:styleId="83">
    <w:name w:val="List Paragraph"/>
    <w:basedOn w:val="1"/>
    <w:link w:val="122"/>
    <w:qFormat/>
    <w:uiPriority w:val="99"/>
    <w:pPr>
      <w:numPr>
        <w:ilvl w:val="0"/>
        <w:numId w:val="6"/>
      </w:numPr>
      <w:spacing w:line="360" w:lineRule="auto"/>
    </w:pPr>
  </w:style>
  <w:style w:type="paragraph" w:customStyle="1" w:styleId="84">
    <w:name w:val="正文图标题"/>
    <w:basedOn w:val="76"/>
    <w:next w:val="78"/>
    <w:qFormat/>
    <w:uiPriority w:val="0"/>
    <w:pPr>
      <w:numPr>
        <w:ilvl w:val="0"/>
        <w:numId w:val="7"/>
      </w:numPr>
    </w:pPr>
  </w:style>
  <w:style w:type="paragraph" w:customStyle="1" w:styleId="85">
    <w:name w:val="文章正文编号"/>
    <w:basedOn w:val="86"/>
    <w:qFormat/>
    <w:uiPriority w:val="0"/>
  </w:style>
  <w:style w:type="paragraph" w:customStyle="1" w:styleId="86">
    <w:name w:val="文章正文"/>
    <w:basedOn w:val="15"/>
    <w:qFormat/>
    <w:uiPriority w:val="0"/>
    <w:pPr>
      <w:adjustRightInd w:val="0"/>
      <w:snapToGrid w:val="0"/>
      <w:spacing w:line="360" w:lineRule="auto"/>
      <w:ind w:firstLine="480" w:firstLineChars="200"/>
    </w:pPr>
    <w:rPr>
      <w:rFonts w:ascii="Calibri" w:hAnsi="Calibri"/>
      <w:sz w:val="24"/>
    </w:rPr>
  </w:style>
  <w:style w:type="paragraph" w:customStyle="1" w:styleId="87">
    <w:name w:val="样式7"/>
    <w:basedOn w:val="1"/>
    <w:qFormat/>
    <w:uiPriority w:val="0"/>
    <w:pPr>
      <w:numPr>
        <w:ilvl w:val="0"/>
        <w:numId w:val="8"/>
      </w:numPr>
    </w:pPr>
  </w:style>
  <w:style w:type="paragraph" w:customStyle="1" w:styleId="88">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89">
    <w:name w:val="列出段落1"/>
    <w:basedOn w:val="1"/>
    <w:link w:val="144"/>
    <w:qFormat/>
    <w:uiPriority w:val="34"/>
    <w:pPr>
      <w:ind w:firstLine="420" w:firstLineChars="200"/>
    </w:pPr>
  </w:style>
  <w:style w:type="paragraph" w:customStyle="1" w:styleId="90">
    <w:name w:val="￥正文"/>
    <w:basedOn w:val="1"/>
    <w:qFormat/>
    <w:uiPriority w:val="0"/>
    <w:pPr>
      <w:spacing w:line="360" w:lineRule="auto"/>
      <w:ind w:firstLine="200" w:firstLineChars="200"/>
    </w:pPr>
    <w:rPr>
      <w:rFonts w:ascii="Calibri" w:hAnsi="Calibri"/>
      <w:sz w:val="24"/>
      <w:szCs w:val="22"/>
    </w:rPr>
  </w:style>
  <w:style w:type="paragraph" w:customStyle="1" w:styleId="91">
    <w:name w:val="首行缩进"/>
    <w:basedOn w:val="1"/>
    <w:qFormat/>
    <w:uiPriority w:val="0"/>
    <w:pPr>
      <w:spacing w:line="300" w:lineRule="auto"/>
      <w:ind w:firstLine="420" w:firstLineChars="200"/>
    </w:pPr>
    <w:rPr>
      <w:rFonts w:eastAsia="方正书宋简体"/>
    </w:rPr>
  </w:style>
  <w:style w:type="paragraph" w:customStyle="1" w:styleId="92">
    <w:name w:val="样式113"/>
    <w:basedOn w:val="16"/>
    <w:qFormat/>
    <w:uiPriority w:val="0"/>
    <w:rPr>
      <w:rFonts w:ascii="Times New Roman" w:hAnsi="Times New Roman"/>
    </w:rPr>
  </w:style>
  <w:style w:type="character" w:customStyle="1" w:styleId="93">
    <w:name w:val="样式115 Char"/>
    <w:link w:val="94"/>
    <w:qFormat/>
    <w:uiPriority w:val="0"/>
    <w:rPr>
      <w:rFonts w:ascii="黑体" w:hAnsi="黑体" w:eastAsia="黑体"/>
    </w:rPr>
  </w:style>
  <w:style w:type="paragraph" w:customStyle="1" w:styleId="94">
    <w:name w:val="样式115"/>
    <w:basedOn w:val="1"/>
    <w:link w:val="93"/>
    <w:qFormat/>
    <w:uiPriority w:val="0"/>
    <w:pPr>
      <w:jc w:val="center"/>
    </w:pPr>
    <w:rPr>
      <w:rFonts w:ascii="黑体" w:hAnsi="黑体" w:eastAsia="黑体"/>
    </w:rPr>
  </w:style>
  <w:style w:type="paragraph" w:customStyle="1" w:styleId="95">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96">
    <w:name w:val="Table Text"/>
    <w:qFormat/>
    <w:uiPriority w:val="0"/>
    <w:pPr>
      <w:snapToGrid w:val="0"/>
      <w:spacing w:before="80" w:after="80"/>
    </w:pPr>
    <w:rPr>
      <w:rFonts w:ascii="Arial" w:hAnsi="Arial" w:eastAsia="宋体" w:cs="Arial"/>
      <w:sz w:val="18"/>
      <w:szCs w:val="18"/>
      <w:lang w:val="en-US" w:eastAsia="zh-CN" w:bidi="ar-SA"/>
    </w:rPr>
  </w:style>
  <w:style w:type="character" w:customStyle="1" w:styleId="97">
    <w:name w:val="font21"/>
    <w:basedOn w:val="58"/>
    <w:qFormat/>
    <w:uiPriority w:val="0"/>
    <w:rPr>
      <w:rFonts w:hint="eastAsia" w:ascii="宋体" w:hAnsi="宋体" w:eastAsia="宋体" w:cs="宋体"/>
      <w:color w:val="000000"/>
      <w:sz w:val="21"/>
      <w:szCs w:val="21"/>
      <w:u w:val="none"/>
      <w:vertAlign w:val="subscript"/>
    </w:rPr>
  </w:style>
  <w:style w:type="character" w:customStyle="1" w:styleId="98">
    <w:name w:val="font11"/>
    <w:basedOn w:val="58"/>
    <w:qFormat/>
    <w:uiPriority w:val="0"/>
    <w:rPr>
      <w:rFonts w:hint="eastAsia" w:ascii="宋体" w:hAnsi="宋体" w:eastAsia="宋体" w:cs="宋体"/>
      <w:color w:val="000000"/>
      <w:sz w:val="21"/>
      <w:szCs w:val="21"/>
      <w:u w:val="none"/>
    </w:rPr>
  </w:style>
  <w:style w:type="character" w:customStyle="1" w:styleId="99">
    <w:name w:val="font31"/>
    <w:basedOn w:val="58"/>
    <w:qFormat/>
    <w:uiPriority w:val="0"/>
    <w:rPr>
      <w:rFonts w:hint="eastAsia" w:ascii="宋体" w:hAnsi="宋体" w:eastAsia="宋体" w:cs="宋体"/>
      <w:color w:val="000000"/>
      <w:sz w:val="21"/>
      <w:szCs w:val="21"/>
      <w:u w:val="none"/>
      <w:vertAlign w:val="superscript"/>
    </w:rPr>
  </w:style>
  <w:style w:type="paragraph" w:customStyle="1" w:styleId="100">
    <w:name w:val="表样式"/>
    <w:basedOn w:val="1"/>
    <w:qFormat/>
    <w:uiPriority w:val="99"/>
    <w:pPr>
      <w:keepNext/>
      <w:autoSpaceDE w:val="0"/>
      <w:autoSpaceDN w:val="0"/>
      <w:adjustRightInd w:val="0"/>
      <w:jc w:val="center"/>
      <w:textAlignment w:val="baseline"/>
    </w:pPr>
    <w:rPr>
      <w:kern w:val="0"/>
      <w:sz w:val="22"/>
      <w:szCs w:val="20"/>
    </w:rPr>
  </w:style>
  <w:style w:type="paragraph" w:customStyle="1" w:styleId="101">
    <w:name w:val="titre page niveau 1"/>
    <w:qFormat/>
    <w:uiPriority w:val="0"/>
    <w:pPr>
      <w:widowControl w:val="0"/>
      <w:spacing w:before="1" w:after="1"/>
      <w:ind w:left="1" w:right="1" w:firstLine="1"/>
    </w:pPr>
    <w:rPr>
      <w:rFonts w:ascii="Helvetica" w:hAnsi="Helvetica" w:eastAsia="宋体" w:cs="Times New Roman"/>
      <w:b/>
      <w:color w:val="000000"/>
      <w:sz w:val="24"/>
      <w:lang w:val="fr-FR" w:eastAsia="zh-CN" w:bidi="ar-SA"/>
    </w:rPr>
  </w:style>
  <w:style w:type="paragraph" w:customStyle="1" w:styleId="10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103">
    <w:name w:val="二级条标题"/>
    <w:basedOn w:val="104"/>
    <w:next w:val="77"/>
    <w:qFormat/>
    <w:uiPriority w:val="0"/>
    <w:pPr>
      <w:tabs>
        <w:tab w:val="left" w:pos="1440"/>
        <w:tab w:val="left" w:pos="2160"/>
      </w:tabs>
      <w:outlineLvl w:val="3"/>
    </w:pPr>
    <w:rPr>
      <w:rFonts w:ascii="黑体"/>
      <w:b/>
    </w:rPr>
  </w:style>
  <w:style w:type="paragraph" w:customStyle="1" w:styleId="104">
    <w:name w:val="一级条标题"/>
    <w:basedOn w:val="105"/>
    <w:next w:val="77"/>
    <w:qFormat/>
    <w:uiPriority w:val="0"/>
    <w:pPr>
      <w:tabs>
        <w:tab w:val="left" w:pos="1440"/>
        <w:tab w:val="left" w:pos="2160"/>
      </w:tabs>
      <w:ind w:left="2160"/>
      <w:outlineLvl w:val="2"/>
    </w:pPr>
    <w:rPr>
      <w:rFonts w:ascii="Times New Roman"/>
    </w:rPr>
  </w:style>
  <w:style w:type="paragraph" w:customStyle="1" w:styleId="105">
    <w:name w:val="章标题"/>
    <w:next w:val="77"/>
    <w:qFormat/>
    <w:uiPriority w:val="0"/>
    <w:pPr>
      <w:tabs>
        <w:tab w:val="left" w:pos="1440"/>
      </w:tabs>
      <w:spacing w:beforeLines="50" w:afterLines="50"/>
      <w:ind w:left="1440" w:hanging="360"/>
      <w:jc w:val="both"/>
      <w:outlineLvl w:val="1"/>
    </w:pPr>
    <w:rPr>
      <w:rFonts w:ascii="黑体" w:hAnsi="Times New Roman" w:eastAsia="黑体" w:cs="Times New Roman"/>
      <w:sz w:val="21"/>
      <w:lang w:val="en-US" w:eastAsia="zh-CN" w:bidi="ar-SA"/>
    </w:rPr>
  </w:style>
  <w:style w:type="paragraph" w:customStyle="1" w:styleId="106">
    <w:name w:val="0 正文"/>
    <w:basedOn w:val="37"/>
    <w:qFormat/>
    <w:uiPriority w:val="0"/>
    <w:pPr>
      <w:spacing w:line="460" w:lineRule="exact"/>
      <w:ind w:firstLine="425" w:firstLineChars="177"/>
    </w:pPr>
    <w:rPr>
      <w:rFonts w:ascii="Times New Roman" w:hAnsi="Times New Roman"/>
      <w:sz w:val="24"/>
      <w:szCs w:val="24"/>
    </w:rPr>
  </w:style>
  <w:style w:type="paragraph" w:customStyle="1" w:styleId="107">
    <w:name w:val="修订1"/>
    <w:hidden/>
    <w:unhideWhenUsed/>
    <w:qFormat/>
    <w:uiPriority w:val="99"/>
    <w:rPr>
      <w:rFonts w:ascii="宋体" w:hAnsi="宋体" w:eastAsia="宋体" w:cs="Times New Roman"/>
      <w:kern w:val="2"/>
      <w:sz w:val="21"/>
      <w:szCs w:val="21"/>
      <w:lang w:val="en-US" w:eastAsia="zh-CN" w:bidi="ar-SA"/>
    </w:rPr>
  </w:style>
  <w:style w:type="character" w:customStyle="1" w:styleId="108">
    <w:name w:val="标题 3 Char2"/>
    <w:basedOn w:val="58"/>
    <w:qFormat/>
    <w:uiPriority w:val="9"/>
    <w:rPr>
      <w:rFonts w:ascii="宋体" w:hAnsi="宋体" w:eastAsia="黑体"/>
      <w:kern w:val="2"/>
      <w:sz w:val="21"/>
      <w:szCs w:val="32"/>
    </w:rPr>
  </w:style>
  <w:style w:type="character" w:customStyle="1" w:styleId="109">
    <w:name w:val="批注文字 Char"/>
    <w:basedOn w:val="58"/>
    <w:qFormat/>
    <w:uiPriority w:val="0"/>
    <w:rPr>
      <w:rFonts w:ascii="宋体" w:hAnsi="宋体"/>
      <w:kern w:val="2"/>
      <w:sz w:val="21"/>
      <w:szCs w:val="21"/>
    </w:rPr>
  </w:style>
  <w:style w:type="character" w:customStyle="1" w:styleId="110">
    <w:name w:val="批注主题 Char"/>
    <w:basedOn w:val="109"/>
    <w:qFormat/>
    <w:uiPriority w:val="0"/>
    <w:rPr>
      <w:rFonts w:ascii="宋体" w:hAnsi="宋体"/>
      <w:b/>
      <w:bCs/>
      <w:kern w:val="2"/>
      <w:sz w:val="21"/>
      <w:szCs w:val="21"/>
    </w:rPr>
  </w:style>
  <w:style w:type="paragraph" w:customStyle="1" w:styleId="111">
    <w:name w:val="修订2"/>
    <w:hidden/>
    <w:unhideWhenUsed/>
    <w:qFormat/>
    <w:uiPriority w:val="99"/>
    <w:rPr>
      <w:rFonts w:ascii="宋体" w:hAnsi="宋体" w:eastAsia="宋体" w:cs="Times New Roman"/>
      <w:kern w:val="2"/>
      <w:sz w:val="21"/>
      <w:szCs w:val="21"/>
      <w:lang w:val="en-US" w:eastAsia="zh-CN" w:bidi="ar-SA"/>
    </w:rPr>
  </w:style>
  <w:style w:type="character" w:customStyle="1" w:styleId="112">
    <w:name w:val="未处理的提及1"/>
    <w:basedOn w:val="58"/>
    <w:semiHidden/>
    <w:unhideWhenUsed/>
    <w:qFormat/>
    <w:uiPriority w:val="99"/>
    <w:rPr>
      <w:color w:val="605E5C"/>
      <w:shd w:val="clear" w:color="auto" w:fill="E1DFDD"/>
    </w:rPr>
  </w:style>
  <w:style w:type="character" w:customStyle="1" w:styleId="113">
    <w:name w:val="纯文本 Char"/>
    <w:basedOn w:val="58"/>
    <w:qFormat/>
    <w:uiPriority w:val="0"/>
    <w:rPr>
      <w:rFonts w:ascii="宋体" w:hAnsi="Courier New"/>
      <w:kern w:val="2"/>
      <w:sz w:val="21"/>
    </w:rPr>
  </w:style>
  <w:style w:type="character" w:customStyle="1" w:styleId="114">
    <w:name w:val="批注框文本 Char"/>
    <w:basedOn w:val="58"/>
    <w:qFormat/>
    <w:uiPriority w:val="99"/>
    <w:rPr>
      <w:rFonts w:ascii="宋体" w:hAnsi="宋体"/>
      <w:kern w:val="2"/>
      <w:sz w:val="18"/>
      <w:szCs w:val="18"/>
    </w:rPr>
  </w:style>
  <w:style w:type="character" w:customStyle="1" w:styleId="115">
    <w:name w:val="标题 2 Char"/>
    <w:basedOn w:val="58"/>
    <w:qFormat/>
    <w:uiPriority w:val="9"/>
    <w:rPr>
      <w:rFonts w:ascii="Cambria" w:hAnsi="Cambria"/>
      <w:kern w:val="2"/>
      <w:sz w:val="28"/>
      <w:szCs w:val="32"/>
    </w:rPr>
  </w:style>
  <w:style w:type="character" w:customStyle="1" w:styleId="116">
    <w:name w:val="弱电正文 Char"/>
    <w:link w:val="72"/>
    <w:qFormat/>
    <w:uiPriority w:val="0"/>
    <w:rPr>
      <w:rFonts w:ascii="Calibri" w:hAnsi="Calibri"/>
      <w:kern w:val="2"/>
      <w:sz w:val="24"/>
      <w:szCs w:val="22"/>
      <w:lang w:val="zh-CN"/>
    </w:rPr>
  </w:style>
  <w:style w:type="paragraph" w:customStyle="1" w:styleId="117">
    <w:name w:val="弱电样1"/>
    <w:basedOn w:val="4"/>
    <w:next w:val="1"/>
    <w:qFormat/>
    <w:uiPriority w:val="0"/>
    <w:pPr>
      <w:numPr>
        <w:ilvl w:val="1"/>
        <w:numId w:val="9"/>
      </w:numPr>
      <w:spacing w:before="240" w:after="120" w:line="360" w:lineRule="auto"/>
    </w:pPr>
    <w:rPr>
      <w:rFonts w:ascii="黑体"/>
      <w:sz w:val="32"/>
    </w:rPr>
  </w:style>
  <w:style w:type="paragraph" w:customStyle="1" w:styleId="118">
    <w:name w:val="弱电样3"/>
    <w:basedOn w:val="6"/>
    <w:next w:val="1"/>
    <w:link w:val="119"/>
    <w:qFormat/>
    <w:uiPriority w:val="0"/>
    <w:pPr>
      <w:numPr>
        <w:ilvl w:val="2"/>
        <w:numId w:val="9"/>
      </w:numPr>
      <w:tabs>
        <w:tab w:val="clear" w:pos="432"/>
      </w:tabs>
      <w:spacing w:before="240" w:after="120" w:line="360" w:lineRule="auto"/>
    </w:pPr>
    <w:rPr>
      <w:rFonts w:ascii="Cambria" w:hAnsi="Cambria"/>
      <w:sz w:val="28"/>
    </w:rPr>
  </w:style>
  <w:style w:type="character" w:customStyle="1" w:styleId="119">
    <w:name w:val="弱电样3 Char"/>
    <w:link w:val="118"/>
    <w:qFormat/>
    <w:uiPriority w:val="0"/>
    <w:rPr>
      <w:rFonts w:ascii="Cambria" w:hAnsi="Cambria"/>
      <w:b/>
      <w:bCs/>
      <w:kern w:val="2"/>
      <w:sz w:val="28"/>
      <w:szCs w:val="28"/>
    </w:rPr>
  </w:style>
  <w:style w:type="paragraph" w:customStyle="1" w:styleId="120">
    <w:name w:val="弱电样4"/>
    <w:basedOn w:val="7"/>
    <w:next w:val="1"/>
    <w:link w:val="121"/>
    <w:qFormat/>
    <w:uiPriority w:val="0"/>
    <w:pPr>
      <w:tabs>
        <w:tab w:val="clear" w:pos="3827"/>
      </w:tabs>
      <w:spacing w:before="240" w:after="120" w:line="360" w:lineRule="auto"/>
    </w:pPr>
    <w:rPr>
      <w:rFonts w:ascii="Cambria" w:hAnsi="Cambria"/>
      <w:sz w:val="24"/>
    </w:rPr>
  </w:style>
  <w:style w:type="character" w:customStyle="1" w:styleId="121">
    <w:name w:val="弱电样4 Char"/>
    <w:link w:val="120"/>
    <w:qFormat/>
    <w:uiPriority w:val="0"/>
    <w:rPr>
      <w:rFonts w:ascii="Cambria" w:hAnsi="Cambria"/>
      <w:b/>
      <w:bCs/>
      <w:kern w:val="2"/>
      <w:sz w:val="24"/>
      <w:szCs w:val="28"/>
    </w:rPr>
  </w:style>
  <w:style w:type="character" w:customStyle="1" w:styleId="122">
    <w:name w:val="列出段落 字符2"/>
    <w:link w:val="83"/>
    <w:qFormat/>
    <w:uiPriority w:val="99"/>
    <w:rPr>
      <w:rFonts w:ascii="宋体" w:hAnsi="宋体"/>
      <w:kern w:val="2"/>
      <w:sz w:val="21"/>
      <w:szCs w:val="21"/>
    </w:rPr>
  </w:style>
  <w:style w:type="character" w:customStyle="1" w:styleId="123">
    <w:name w:val="正文缩进 Char"/>
    <w:qFormat/>
    <w:uiPriority w:val="0"/>
    <w:rPr>
      <w:rFonts w:ascii="宋体" w:hAnsi="宋体"/>
      <w:kern w:val="2"/>
      <w:sz w:val="21"/>
      <w:szCs w:val="21"/>
    </w:rPr>
  </w:style>
  <w:style w:type="character" w:customStyle="1" w:styleId="124">
    <w:name w:val="标题 1 Char"/>
    <w:basedOn w:val="58"/>
    <w:qFormat/>
    <w:uiPriority w:val="0"/>
    <w:rPr>
      <w:rFonts w:ascii="Calibri" w:hAnsi="Calibri"/>
      <w:b/>
      <w:bCs/>
      <w:kern w:val="44"/>
      <w:sz w:val="32"/>
      <w:szCs w:val="44"/>
    </w:rPr>
  </w:style>
  <w:style w:type="paragraph" w:customStyle="1" w:styleId="125">
    <w:name w:val="biaoge2"/>
    <w:basedOn w:val="1"/>
    <w:link w:val="126"/>
    <w:qFormat/>
    <w:uiPriority w:val="0"/>
    <w:pPr>
      <w:widowControl/>
      <w:spacing w:line="480" w:lineRule="atLeast"/>
      <w:jc w:val="center"/>
    </w:pPr>
    <w:rPr>
      <w:rFonts w:ascii="Times New Roman" w:hAnsi="Times New Roman" w:cs="Cambria Math"/>
      <w:sz w:val="24"/>
      <w:szCs w:val="24"/>
    </w:rPr>
  </w:style>
  <w:style w:type="character" w:customStyle="1" w:styleId="126">
    <w:name w:val="biaoge2 字符"/>
    <w:basedOn w:val="58"/>
    <w:link w:val="125"/>
    <w:qFormat/>
    <w:uiPriority w:val="0"/>
    <w:rPr>
      <w:rFonts w:cs="Cambria Math"/>
      <w:kern w:val="2"/>
      <w:sz w:val="24"/>
      <w:szCs w:val="24"/>
    </w:rPr>
  </w:style>
  <w:style w:type="character" w:customStyle="1" w:styleId="127">
    <w:name w:val="标题 7 Char"/>
    <w:basedOn w:val="58"/>
    <w:qFormat/>
    <w:uiPriority w:val="0"/>
    <w:rPr>
      <w:rFonts w:ascii="Calibri" w:hAnsi="Calibri" w:eastAsia="黑体"/>
      <w:b/>
      <w:bCs/>
      <w:kern w:val="2"/>
      <w:sz w:val="21"/>
      <w:szCs w:val="21"/>
      <w:lang w:val="zh-CN"/>
    </w:rPr>
  </w:style>
  <w:style w:type="character" w:customStyle="1" w:styleId="128">
    <w:name w:val="标题 8 Char"/>
    <w:basedOn w:val="58"/>
    <w:qFormat/>
    <w:uiPriority w:val="0"/>
    <w:rPr>
      <w:rFonts w:ascii="Arial" w:hAnsi="Arial" w:eastAsia="黑体"/>
      <w:kern w:val="2"/>
      <w:sz w:val="24"/>
      <w:szCs w:val="24"/>
      <w:lang w:val="zh-CN"/>
    </w:rPr>
  </w:style>
  <w:style w:type="character" w:customStyle="1" w:styleId="129">
    <w:name w:val="标题 9 Char"/>
    <w:basedOn w:val="58"/>
    <w:qFormat/>
    <w:uiPriority w:val="0"/>
    <w:rPr>
      <w:rFonts w:ascii="Arial" w:hAnsi="Arial" w:eastAsia="黑体"/>
      <w:kern w:val="2"/>
      <w:sz w:val="21"/>
      <w:szCs w:val="21"/>
      <w:lang w:val="zh-CN"/>
    </w:rPr>
  </w:style>
  <w:style w:type="character" w:customStyle="1" w:styleId="130">
    <w:name w:val="标题 4 Char"/>
    <w:basedOn w:val="58"/>
    <w:qFormat/>
    <w:uiPriority w:val="9"/>
    <w:rPr>
      <w:rFonts w:ascii="Arial" w:hAnsi="Arial"/>
      <w:b/>
      <w:bCs/>
      <w:kern w:val="2"/>
      <w:sz w:val="21"/>
      <w:szCs w:val="28"/>
    </w:rPr>
  </w:style>
  <w:style w:type="character" w:customStyle="1" w:styleId="131">
    <w:name w:val="标题 5 Char"/>
    <w:basedOn w:val="58"/>
    <w:qFormat/>
    <w:uiPriority w:val="0"/>
    <w:rPr>
      <w:rFonts w:ascii="宋体" w:hAnsi="宋体"/>
      <w:b/>
      <w:bCs/>
      <w:kern w:val="2"/>
      <w:sz w:val="21"/>
      <w:szCs w:val="28"/>
    </w:rPr>
  </w:style>
  <w:style w:type="character" w:customStyle="1" w:styleId="132">
    <w:name w:val="标题 6 Char"/>
    <w:basedOn w:val="58"/>
    <w:qFormat/>
    <w:uiPriority w:val="0"/>
    <w:rPr>
      <w:rFonts w:ascii="Arial" w:hAnsi="Arial" w:eastAsia="黑体"/>
      <w:b/>
      <w:bCs/>
      <w:kern w:val="2"/>
      <w:sz w:val="24"/>
      <w:szCs w:val="21"/>
    </w:rPr>
  </w:style>
  <w:style w:type="character" w:customStyle="1" w:styleId="133">
    <w:name w:val="正文文本 Char"/>
    <w:basedOn w:val="58"/>
    <w:qFormat/>
    <w:uiPriority w:val="0"/>
    <w:rPr>
      <w:rFonts w:ascii="宋体" w:hAnsi="宋体"/>
      <w:kern w:val="2"/>
      <w:sz w:val="24"/>
      <w:szCs w:val="21"/>
    </w:rPr>
  </w:style>
  <w:style w:type="character" w:customStyle="1" w:styleId="134">
    <w:name w:val="正文首行缩进 Char"/>
    <w:basedOn w:val="133"/>
    <w:qFormat/>
    <w:uiPriority w:val="0"/>
    <w:rPr>
      <w:rFonts w:ascii="宋体" w:hAnsi="宋体"/>
      <w:kern w:val="2"/>
      <w:sz w:val="24"/>
      <w:szCs w:val="21"/>
    </w:rPr>
  </w:style>
  <w:style w:type="character" w:customStyle="1" w:styleId="135">
    <w:name w:val="题注 Char"/>
    <w:qFormat/>
    <w:uiPriority w:val="0"/>
    <w:rPr>
      <w:rFonts w:ascii="Arial" w:hAnsi="Arial" w:eastAsia="黑体"/>
      <w:kern w:val="2"/>
      <w:sz w:val="21"/>
    </w:rPr>
  </w:style>
  <w:style w:type="character" w:customStyle="1" w:styleId="136">
    <w:name w:val="文档结构图 Char"/>
    <w:basedOn w:val="58"/>
    <w:qFormat/>
    <w:uiPriority w:val="0"/>
    <w:rPr>
      <w:sz w:val="24"/>
      <w:szCs w:val="24"/>
      <w:shd w:val="clear" w:color="auto" w:fill="000080"/>
      <w:lang w:val="zh-CN"/>
    </w:rPr>
  </w:style>
  <w:style w:type="character" w:customStyle="1" w:styleId="137">
    <w:name w:val="正文文本缩进 字符"/>
    <w:basedOn w:val="58"/>
    <w:qFormat/>
    <w:uiPriority w:val="0"/>
    <w:rPr>
      <w:rFonts w:eastAsia="宋体" w:cs="Times New Roman"/>
      <w:kern w:val="0"/>
      <w:sz w:val="20"/>
      <w:szCs w:val="20"/>
      <w:lang w:val="zh-CN" w:eastAsia="zh-CN"/>
    </w:rPr>
  </w:style>
  <w:style w:type="character" w:customStyle="1" w:styleId="138">
    <w:name w:val="日期 Char"/>
    <w:basedOn w:val="58"/>
    <w:qFormat/>
    <w:uiPriority w:val="0"/>
    <w:rPr>
      <w:rFonts w:ascii="宋体"/>
      <w:kern w:val="2"/>
      <w:sz w:val="21"/>
    </w:rPr>
  </w:style>
  <w:style w:type="character" w:customStyle="1" w:styleId="139">
    <w:name w:val="页脚 Char"/>
    <w:basedOn w:val="58"/>
    <w:qFormat/>
    <w:uiPriority w:val="0"/>
    <w:rPr>
      <w:rFonts w:ascii="宋体" w:hAnsi="宋体"/>
      <w:kern w:val="2"/>
      <w:sz w:val="18"/>
      <w:szCs w:val="21"/>
    </w:rPr>
  </w:style>
  <w:style w:type="character" w:customStyle="1" w:styleId="140">
    <w:name w:val="页眉 Char"/>
    <w:basedOn w:val="58"/>
    <w:qFormat/>
    <w:uiPriority w:val="0"/>
    <w:rPr>
      <w:rFonts w:ascii="Calibri" w:hAnsi="Calibri"/>
      <w:sz w:val="18"/>
      <w:szCs w:val="18"/>
    </w:rPr>
  </w:style>
  <w:style w:type="paragraph" w:customStyle="1" w:styleId="141">
    <w:name w:val="封面正文"/>
    <w:qFormat/>
    <w:uiPriority w:val="0"/>
    <w:pPr>
      <w:jc w:val="both"/>
    </w:pPr>
    <w:rPr>
      <w:rFonts w:ascii="Times New Roman" w:hAnsi="Times New Roman" w:eastAsia="宋体" w:cs="Times New Roman"/>
      <w:lang w:val="en-US" w:eastAsia="zh-CN" w:bidi="ar-SA"/>
    </w:rPr>
  </w:style>
  <w:style w:type="paragraph" w:customStyle="1" w:styleId="142">
    <w:name w:val="TOC 标题1"/>
    <w:basedOn w:val="3"/>
    <w:next w:val="1"/>
    <w:unhideWhenUsed/>
    <w:qFormat/>
    <w:uiPriority w:val="39"/>
    <w:pPr>
      <w:widowControl/>
      <w:spacing w:before="48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143">
    <w:name w:val="标题 3 Char"/>
    <w:basedOn w:val="58"/>
    <w:qFormat/>
    <w:uiPriority w:val="9"/>
    <w:rPr>
      <w:rFonts w:eastAsia="宋体" w:cs="Times New Roman"/>
      <w:b/>
      <w:bCs/>
      <w:kern w:val="0"/>
      <w:sz w:val="32"/>
      <w:szCs w:val="32"/>
    </w:rPr>
  </w:style>
  <w:style w:type="character" w:customStyle="1" w:styleId="144">
    <w:name w:val="列出段落 Char"/>
    <w:link w:val="89"/>
    <w:qFormat/>
    <w:uiPriority w:val="34"/>
    <w:rPr>
      <w:rFonts w:ascii="宋体" w:hAnsi="宋体"/>
      <w:kern w:val="2"/>
      <w:sz w:val="21"/>
      <w:szCs w:val="21"/>
    </w:rPr>
  </w:style>
  <w:style w:type="paragraph" w:customStyle="1" w:styleId="145">
    <w:name w:val="zi"/>
    <w:basedOn w:val="1"/>
    <w:qFormat/>
    <w:uiPriority w:val="0"/>
    <w:pPr>
      <w:widowControl/>
      <w:spacing w:before="100" w:beforeAutospacing="1" w:after="100" w:afterAutospacing="1" w:line="336" w:lineRule="atLeast"/>
      <w:jc w:val="left"/>
    </w:pPr>
    <w:rPr>
      <w:rFonts w:ascii="ˎ̥" w:hAnsi="ˎ̥" w:cs="宋体"/>
      <w:color w:val="000000"/>
      <w:kern w:val="0"/>
      <w:sz w:val="22"/>
      <w:szCs w:val="22"/>
    </w:rPr>
  </w:style>
  <w:style w:type="table" w:customStyle="1" w:styleId="146">
    <w:name w:val="网格型1"/>
    <w:basedOn w:val="56"/>
    <w:qFormat/>
    <w:uiPriority w:val="59"/>
    <w:rPr>
      <w:rFonts w:asciiTheme="minorHAnsi" w:hAnsiTheme="minorHAnsi"/>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
    <w:name w:val="网格型2"/>
    <w:basedOn w:val="56"/>
    <w:qFormat/>
    <w:uiPriority w:val="59"/>
    <w:rPr>
      <w:rFonts w:asciiTheme="minorHAnsi" w:hAnsiTheme="minorHAnsi"/>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
    <w:name w:val="网格型3"/>
    <w:basedOn w:val="56"/>
    <w:qFormat/>
    <w:uiPriority w:val="59"/>
    <w:rPr>
      <w:rFonts w:asciiTheme="minorHAnsi" w:hAnsiTheme="minorHAnsi"/>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
    <w:name w:val="网格型4"/>
    <w:basedOn w:val="56"/>
    <w:qFormat/>
    <w:uiPriority w:val="59"/>
    <w:rPr>
      <w:rFonts w:asciiTheme="minorHAnsi" w:hAnsiTheme="minorHAnsi"/>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0">
    <w:name w:val="样式 标准正文 + 宋体 小四 Char Char"/>
    <w:link w:val="82"/>
    <w:qFormat/>
    <w:uiPriority w:val="0"/>
    <w:rPr>
      <w:rFonts w:ascii="宋体" w:hAnsi="宋体"/>
      <w:kern w:val="2"/>
      <w:sz w:val="24"/>
    </w:rPr>
  </w:style>
  <w:style w:type="paragraph" w:customStyle="1" w:styleId="151">
    <w:name w:val="GEDI正文样式"/>
    <w:basedOn w:val="1"/>
    <w:link w:val="152"/>
    <w:qFormat/>
    <w:uiPriority w:val="99"/>
    <w:pPr>
      <w:adjustRightInd w:val="0"/>
      <w:snapToGrid w:val="0"/>
      <w:spacing w:line="480" w:lineRule="atLeast"/>
      <w:ind w:firstLine="480" w:firstLineChars="200"/>
    </w:pPr>
    <w:rPr>
      <w:rFonts w:ascii="Times New Roman" w:hAnsi="Times New Roman"/>
      <w:kern w:val="0"/>
      <w:sz w:val="24"/>
      <w:szCs w:val="24"/>
      <w:lang w:val="zh-CN"/>
    </w:rPr>
  </w:style>
  <w:style w:type="character" w:customStyle="1" w:styleId="152">
    <w:name w:val="GEDI正文样式 Char"/>
    <w:link w:val="151"/>
    <w:qFormat/>
    <w:locked/>
    <w:uiPriority w:val="99"/>
    <w:rPr>
      <w:sz w:val="24"/>
      <w:szCs w:val="24"/>
      <w:lang w:val="zh-CN"/>
    </w:rPr>
  </w:style>
  <w:style w:type="paragraph" w:customStyle="1" w:styleId="153">
    <w:name w:val="GEDI一级项目编号"/>
    <w:basedOn w:val="1"/>
    <w:link w:val="154"/>
    <w:qFormat/>
    <w:uiPriority w:val="99"/>
    <w:pPr>
      <w:adjustRightInd w:val="0"/>
      <w:snapToGrid w:val="0"/>
      <w:spacing w:line="480" w:lineRule="atLeast"/>
    </w:pPr>
    <w:rPr>
      <w:rFonts w:ascii="Times New Roman" w:hAnsi="Times New Roman"/>
      <w:kern w:val="0"/>
      <w:sz w:val="24"/>
      <w:szCs w:val="24"/>
      <w:lang w:val="zh-CN"/>
    </w:rPr>
  </w:style>
  <w:style w:type="character" w:customStyle="1" w:styleId="154">
    <w:name w:val="GEDI一级项目编号 Char"/>
    <w:link w:val="153"/>
    <w:qFormat/>
    <w:locked/>
    <w:uiPriority w:val="99"/>
    <w:rPr>
      <w:sz w:val="24"/>
      <w:szCs w:val="24"/>
      <w:lang w:val="zh-CN"/>
    </w:rPr>
  </w:style>
  <w:style w:type="paragraph" w:customStyle="1" w:styleId="155">
    <w:name w:val="默认段落字体 Para Char Char Char Char"/>
    <w:basedOn w:val="1"/>
    <w:qFormat/>
    <w:uiPriority w:val="99"/>
    <w:rPr>
      <w:rFonts w:ascii="Times New Roman" w:hAnsi="Times New Roman"/>
    </w:rPr>
  </w:style>
  <w:style w:type="paragraph" w:customStyle="1" w:styleId="156">
    <w:name w:val="Char Char Char1 Char Char Char Char Char Char Char Char Char Char Char Char Char Char Char Char Char Char1 Char Char Char Char Char Char Char Char Char Char Char Char Char Char Char Char Char"/>
    <w:basedOn w:val="1"/>
    <w:qFormat/>
    <w:uiPriority w:val="99"/>
    <w:pPr>
      <w:spacing w:line="360" w:lineRule="auto"/>
    </w:pPr>
    <w:rPr>
      <w:rFonts w:ascii="Tahoma" w:hAnsi="Tahoma" w:cs="Tahoma"/>
      <w:sz w:val="24"/>
      <w:szCs w:val="24"/>
    </w:rPr>
  </w:style>
  <w:style w:type="paragraph" w:customStyle="1" w:styleId="157">
    <w:name w:val="表身"/>
    <w:qFormat/>
    <w:uiPriority w:val="0"/>
    <w:pPr>
      <w:keepNext/>
      <w:spacing w:before="60" w:after="60" w:line="300" w:lineRule="auto"/>
      <w:jc w:val="both"/>
    </w:pPr>
    <w:rPr>
      <w:rFonts w:ascii="Times New Roman" w:hAnsi="Times New Roman" w:eastAsia="宋体" w:cs="Times New Roman"/>
      <w:sz w:val="18"/>
      <w:lang w:val="en-US" w:eastAsia="zh-CN" w:bidi="ar-SA"/>
    </w:rPr>
  </w:style>
  <w:style w:type="paragraph" w:customStyle="1" w:styleId="158">
    <w:name w:val="表项"/>
    <w:next w:val="157"/>
    <w:qFormat/>
    <w:uiPriority w:val="0"/>
    <w:pPr>
      <w:keepNext/>
      <w:spacing w:line="300" w:lineRule="auto"/>
      <w:jc w:val="center"/>
    </w:pPr>
    <w:rPr>
      <w:rFonts w:ascii="Arial" w:hAnsi="Arial" w:eastAsia="黑体" w:cs="Times New Roman"/>
      <w:sz w:val="21"/>
      <w:lang w:val="en-US" w:eastAsia="zh-CN" w:bidi="ar-SA"/>
    </w:rPr>
  </w:style>
  <w:style w:type="paragraph" w:customStyle="1" w:styleId="159">
    <w:name w:val="È±Ê¡ÎÄ±¾"/>
    <w:basedOn w:val="1"/>
    <w:qFormat/>
    <w:uiPriority w:val="0"/>
    <w:pPr>
      <w:widowControl/>
      <w:overflowPunct w:val="0"/>
      <w:autoSpaceDE w:val="0"/>
      <w:autoSpaceDN w:val="0"/>
      <w:adjustRightInd w:val="0"/>
      <w:jc w:val="left"/>
    </w:pPr>
    <w:rPr>
      <w:rFonts w:ascii="Times New Roman" w:hAnsi="Times New Roman"/>
      <w:kern w:val="0"/>
      <w:sz w:val="24"/>
      <w:szCs w:val="20"/>
    </w:rPr>
  </w:style>
  <w:style w:type="character" w:customStyle="1" w:styleId="160">
    <w:name w:val="zi1"/>
    <w:qFormat/>
    <w:uiPriority w:val="0"/>
    <w:rPr>
      <w:rFonts w:hint="default" w:ascii="ˎ̥" w:hAnsi="ˎ̥"/>
      <w:color w:val="000000"/>
      <w:sz w:val="22"/>
      <w:szCs w:val="22"/>
      <w:u w:val="none"/>
    </w:rPr>
  </w:style>
  <w:style w:type="paragraph" w:customStyle="1" w:styleId="161">
    <w:name w:val="font5"/>
    <w:basedOn w:val="1"/>
    <w:qFormat/>
    <w:uiPriority w:val="0"/>
    <w:pPr>
      <w:widowControl/>
      <w:spacing w:before="100" w:beforeAutospacing="1" w:after="100" w:afterAutospacing="1"/>
      <w:jc w:val="left"/>
    </w:pPr>
    <w:rPr>
      <w:rFonts w:cs="宋体"/>
      <w:kern w:val="0"/>
      <w:sz w:val="18"/>
      <w:szCs w:val="18"/>
    </w:rPr>
  </w:style>
  <w:style w:type="paragraph" w:customStyle="1" w:styleId="162">
    <w:name w:val="font6"/>
    <w:basedOn w:val="1"/>
    <w:qFormat/>
    <w:uiPriority w:val="0"/>
    <w:pPr>
      <w:widowControl/>
      <w:spacing w:before="100" w:beforeAutospacing="1" w:after="100" w:afterAutospacing="1"/>
      <w:jc w:val="left"/>
    </w:pPr>
    <w:rPr>
      <w:rFonts w:cs="宋体"/>
      <w:kern w:val="0"/>
      <w:sz w:val="22"/>
      <w:szCs w:val="22"/>
    </w:rPr>
  </w:style>
  <w:style w:type="paragraph" w:customStyle="1" w:styleId="163">
    <w:name w:val="font7"/>
    <w:basedOn w:val="1"/>
    <w:qFormat/>
    <w:uiPriority w:val="0"/>
    <w:pPr>
      <w:widowControl/>
      <w:spacing w:before="100" w:beforeAutospacing="1" w:after="100" w:afterAutospacing="1"/>
      <w:jc w:val="left"/>
    </w:pPr>
    <w:rPr>
      <w:rFonts w:cs="宋体"/>
      <w:b/>
      <w:bCs/>
      <w:kern w:val="0"/>
      <w:sz w:val="22"/>
      <w:szCs w:val="22"/>
    </w:rPr>
  </w:style>
  <w:style w:type="paragraph" w:customStyle="1" w:styleId="164">
    <w:name w:val="font8"/>
    <w:basedOn w:val="1"/>
    <w:qFormat/>
    <w:uiPriority w:val="0"/>
    <w:pPr>
      <w:widowControl/>
      <w:spacing w:before="100" w:beforeAutospacing="1" w:after="100" w:afterAutospacing="1"/>
      <w:jc w:val="left"/>
    </w:pPr>
    <w:rPr>
      <w:rFonts w:cs="宋体"/>
      <w:kern w:val="0"/>
      <w:sz w:val="20"/>
      <w:szCs w:val="20"/>
    </w:rPr>
  </w:style>
  <w:style w:type="paragraph" w:customStyle="1" w:styleId="165">
    <w:name w:val="font9"/>
    <w:basedOn w:val="1"/>
    <w:qFormat/>
    <w:uiPriority w:val="0"/>
    <w:pPr>
      <w:widowControl/>
      <w:spacing w:before="100" w:beforeAutospacing="1" w:after="100" w:afterAutospacing="1"/>
      <w:jc w:val="left"/>
    </w:pPr>
    <w:rPr>
      <w:rFonts w:ascii="Times New Roman" w:hAnsi="Times New Roman"/>
      <w:kern w:val="0"/>
      <w:sz w:val="20"/>
      <w:szCs w:val="20"/>
    </w:rPr>
  </w:style>
  <w:style w:type="paragraph" w:customStyle="1" w:styleId="166">
    <w:name w:val="font10"/>
    <w:basedOn w:val="1"/>
    <w:qFormat/>
    <w:uiPriority w:val="0"/>
    <w:pPr>
      <w:widowControl/>
      <w:spacing w:before="100" w:beforeAutospacing="1" w:after="100" w:afterAutospacing="1"/>
      <w:jc w:val="left"/>
    </w:pPr>
    <w:rPr>
      <w:rFonts w:cs="宋体"/>
      <w:b/>
      <w:bCs/>
      <w:color w:val="000000"/>
      <w:kern w:val="0"/>
      <w:sz w:val="18"/>
      <w:szCs w:val="18"/>
    </w:rPr>
  </w:style>
  <w:style w:type="paragraph" w:customStyle="1" w:styleId="167">
    <w:name w:val="font12"/>
    <w:basedOn w:val="1"/>
    <w:qFormat/>
    <w:uiPriority w:val="0"/>
    <w:pPr>
      <w:widowControl/>
      <w:spacing w:before="100" w:beforeAutospacing="1" w:after="100" w:afterAutospacing="1"/>
      <w:jc w:val="left"/>
    </w:pPr>
    <w:rPr>
      <w:rFonts w:cs="宋体"/>
      <w:kern w:val="0"/>
      <w:sz w:val="22"/>
      <w:szCs w:val="22"/>
    </w:rPr>
  </w:style>
  <w:style w:type="paragraph" w:customStyle="1" w:styleId="168">
    <w:name w:val="font13"/>
    <w:basedOn w:val="1"/>
    <w:qFormat/>
    <w:uiPriority w:val="0"/>
    <w:pPr>
      <w:widowControl/>
      <w:spacing w:before="100" w:beforeAutospacing="1" w:after="100" w:afterAutospacing="1"/>
      <w:jc w:val="left"/>
    </w:pPr>
    <w:rPr>
      <w:rFonts w:cs="宋体"/>
      <w:kern w:val="0"/>
      <w:sz w:val="18"/>
      <w:szCs w:val="18"/>
    </w:rPr>
  </w:style>
  <w:style w:type="paragraph" w:customStyle="1" w:styleId="169">
    <w:name w:val="font14"/>
    <w:basedOn w:val="1"/>
    <w:qFormat/>
    <w:uiPriority w:val="0"/>
    <w:pPr>
      <w:widowControl/>
      <w:spacing w:before="100" w:beforeAutospacing="1" w:after="100" w:afterAutospacing="1"/>
      <w:jc w:val="left"/>
    </w:pPr>
    <w:rPr>
      <w:rFonts w:cs="宋体"/>
      <w:kern w:val="0"/>
      <w:sz w:val="18"/>
      <w:szCs w:val="18"/>
    </w:rPr>
  </w:style>
  <w:style w:type="paragraph" w:customStyle="1" w:styleId="170">
    <w:name w:val="font15"/>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171">
    <w:name w:val="font16"/>
    <w:basedOn w:val="1"/>
    <w:qFormat/>
    <w:uiPriority w:val="0"/>
    <w:pPr>
      <w:widowControl/>
      <w:spacing w:before="100" w:beforeAutospacing="1" w:after="100" w:afterAutospacing="1"/>
      <w:jc w:val="left"/>
    </w:pPr>
    <w:rPr>
      <w:rFonts w:cs="宋体"/>
      <w:color w:val="000000"/>
      <w:kern w:val="0"/>
      <w:sz w:val="18"/>
      <w:szCs w:val="18"/>
    </w:rPr>
  </w:style>
  <w:style w:type="paragraph" w:customStyle="1" w:styleId="172">
    <w:name w:val="font17"/>
    <w:basedOn w:val="1"/>
    <w:qFormat/>
    <w:uiPriority w:val="0"/>
    <w:pPr>
      <w:widowControl/>
      <w:spacing w:before="100" w:beforeAutospacing="1" w:after="100" w:afterAutospacing="1"/>
      <w:jc w:val="left"/>
    </w:pPr>
    <w:rPr>
      <w:rFonts w:cs="宋体"/>
      <w:kern w:val="0"/>
      <w:sz w:val="22"/>
      <w:szCs w:val="22"/>
    </w:rPr>
  </w:style>
  <w:style w:type="paragraph" w:customStyle="1" w:styleId="173">
    <w:name w:val="font18"/>
    <w:basedOn w:val="1"/>
    <w:qFormat/>
    <w:uiPriority w:val="0"/>
    <w:pPr>
      <w:widowControl/>
      <w:spacing w:before="100" w:beforeAutospacing="1" w:after="100" w:afterAutospacing="1"/>
      <w:jc w:val="left"/>
    </w:pPr>
    <w:rPr>
      <w:rFonts w:cs="宋体"/>
      <w:color w:val="000000"/>
      <w:kern w:val="0"/>
      <w:sz w:val="20"/>
      <w:szCs w:val="20"/>
    </w:rPr>
  </w:style>
  <w:style w:type="paragraph" w:customStyle="1" w:styleId="174">
    <w:name w:val="font19"/>
    <w:basedOn w:val="1"/>
    <w:qFormat/>
    <w:uiPriority w:val="0"/>
    <w:pPr>
      <w:widowControl/>
      <w:spacing w:before="100" w:beforeAutospacing="1" w:after="100" w:afterAutospacing="1"/>
      <w:jc w:val="left"/>
    </w:pPr>
    <w:rPr>
      <w:rFonts w:cs="宋体"/>
      <w:kern w:val="0"/>
      <w:sz w:val="22"/>
      <w:szCs w:val="22"/>
    </w:rPr>
  </w:style>
  <w:style w:type="paragraph" w:customStyle="1" w:styleId="175">
    <w:name w:val="font20"/>
    <w:basedOn w:val="1"/>
    <w:qFormat/>
    <w:uiPriority w:val="0"/>
    <w:pPr>
      <w:widowControl/>
      <w:spacing w:before="100" w:beforeAutospacing="1" w:after="100" w:afterAutospacing="1"/>
      <w:jc w:val="left"/>
    </w:pPr>
    <w:rPr>
      <w:rFonts w:cs="宋体"/>
      <w:kern w:val="0"/>
      <w:sz w:val="20"/>
      <w:szCs w:val="20"/>
    </w:rPr>
  </w:style>
  <w:style w:type="paragraph" w:customStyle="1" w:styleId="176">
    <w:name w:val="font22"/>
    <w:basedOn w:val="1"/>
    <w:qFormat/>
    <w:uiPriority w:val="0"/>
    <w:pPr>
      <w:widowControl/>
      <w:spacing w:before="100" w:beforeAutospacing="1" w:after="100" w:afterAutospacing="1"/>
      <w:jc w:val="left"/>
    </w:pPr>
    <w:rPr>
      <w:rFonts w:cs="宋体"/>
      <w:kern w:val="0"/>
      <w:sz w:val="22"/>
      <w:szCs w:val="22"/>
    </w:rPr>
  </w:style>
  <w:style w:type="paragraph" w:customStyle="1" w:styleId="177">
    <w:name w:val="xl68"/>
    <w:basedOn w:val="1"/>
    <w:qFormat/>
    <w:uiPriority w:val="0"/>
    <w:pPr>
      <w:widowControl/>
      <w:shd w:val="clear" w:color="000000" w:fill="EEECE1"/>
      <w:spacing w:before="100" w:beforeAutospacing="1" w:after="100" w:afterAutospacing="1"/>
      <w:jc w:val="left"/>
      <w:textAlignment w:val="center"/>
    </w:pPr>
    <w:rPr>
      <w:rFonts w:cs="宋体"/>
      <w:kern w:val="0"/>
      <w:sz w:val="22"/>
      <w:szCs w:val="22"/>
    </w:rPr>
  </w:style>
  <w:style w:type="paragraph" w:customStyle="1" w:styleId="17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2"/>
      <w:szCs w:val="22"/>
    </w:rPr>
  </w:style>
  <w:style w:type="paragraph" w:customStyle="1" w:styleId="179">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2"/>
      <w:szCs w:val="22"/>
    </w:rPr>
  </w:style>
  <w:style w:type="paragraph" w:customStyle="1" w:styleId="180">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2"/>
      <w:szCs w:val="22"/>
    </w:rPr>
  </w:style>
  <w:style w:type="paragraph" w:customStyle="1" w:styleId="181">
    <w:name w:val="xl72"/>
    <w:basedOn w:val="1"/>
    <w:qFormat/>
    <w:uiPriority w:val="0"/>
    <w:pPr>
      <w:widowControl/>
      <w:shd w:val="clear" w:color="000000" w:fill="EEECE1"/>
      <w:spacing w:before="100" w:beforeAutospacing="1" w:after="100" w:afterAutospacing="1"/>
      <w:jc w:val="center"/>
      <w:textAlignment w:val="center"/>
    </w:pPr>
    <w:rPr>
      <w:rFonts w:cs="宋体"/>
      <w:color w:val="FF0000"/>
      <w:kern w:val="0"/>
      <w:sz w:val="22"/>
      <w:szCs w:val="22"/>
    </w:rPr>
  </w:style>
  <w:style w:type="paragraph" w:customStyle="1" w:styleId="182">
    <w:name w:val="xl73"/>
    <w:basedOn w:val="1"/>
    <w:qFormat/>
    <w:uiPriority w:val="0"/>
    <w:pPr>
      <w:widowControl/>
      <w:shd w:val="clear" w:color="000000" w:fill="EEECE1"/>
      <w:spacing w:before="100" w:beforeAutospacing="1" w:after="100" w:afterAutospacing="1"/>
      <w:jc w:val="center"/>
      <w:textAlignment w:val="center"/>
    </w:pPr>
    <w:rPr>
      <w:rFonts w:cs="宋体"/>
      <w:kern w:val="0"/>
      <w:sz w:val="22"/>
      <w:szCs w:val="22"/>
    </w:rPr>
  </w:style>
  <w:style w:type="paragraph" w:customStyle="1" w:styleId="1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b/>
      <w:bCs/>
      <w:kern w:val="0"/>
      <w:sz w:val="22"/>
      <w:szCs w:val="22"/>
    </w:rPr>
  </w:style>
  <w:style w:type="paragraph" w:customStyle="1" w:styleId="18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b/>
      <w:bCs/>
      <w:kern w:val="0"/>
      <w:sz w:val="22"/>
      <w:szCs w:val="22"/>
    </w:rPr>
  </w:style>
  <w:style w:type="paragraph" w:customStyle="1" w:styleId="185">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kern w:val="0"/>
      <w:sz w:val="22"/>
      <w:szCs w:val="22"/>
    </w:rPr>
  </w:style>
  <w:style w:type="paragraph" w:customStyle="1" w:styleId="18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kern w:val="0"/>
      <w:sz w:val="22"/>
      <w:szCs w:val="22"/>
    </w:rPr>
  </w:style>
  <w:style w:type="paragraph" w:customStyle="1" w:styleId="18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2"/>
      <w:szCs w:val="22"/>
    </w:rPr>
  </w:style>
  <w:style w:type="paragraph" w:customStyle="1" w:styleId="18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2"/>
      <w:szCs w:val="22"/>
    </w:rPr>
  </w:style>
  <w:style w:type="paragraph" w:customStyle="1" w:styleId="18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2"/>
      <w:szCs w:val="22"/>
    </w:rPr>
  </w:style>
  <w:style w:type="paragraph" w:customStyle="1" w:styleId="19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0"/>
      <w:szCs w:val="20"/>
    </w:rPr>
  </w:style>
  <w:style w:type="paragraph" w:customStyle="1" w:styleId="19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2"/>
      <w:szCs w:val="22"/>
    </w:rPr>
  </w:style>
  <w:style w:type="paragraph" w:customStyle="1" w:styleId="19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color w:val="000000"/>
      <w:kern w:val="0"/>
      <w:sz w:val="22"/>
      <w:szCs w:val="22"/>
    </w:rPr>
  </w:style>
  <w:style w:type="paragraph" w:customStyle="1" w:styleId="19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color w:val="000000"/>
      <w:kern w:val="0"/>
      <w:sz w:val="22"/>
      <w:szCs w:val="22"/>
    </w:rPr>
  </w:style>
  <w:style w:type="paragraph" w:customStyle="1" w:styleId="19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color w:val="000000"/>
      <w:kern w:val="0"/>
      <w:sz w:val="22"/>
      <w:szCs w:val="22"/>
    </w:rPr>
  </w:style>
  <w:style w:type="paragraph" w:customStyle="1" w:styleId="19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color w:val="000000"/>
      <w:kern w:val="0"/>
      <w:sz w:val="22"/>
      <w:szCs w:val="22"/>
    </w:rPr>
  </w:style>
  <w:style w:type="paragraph" w:customStyle="1" w:styleId="19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kern w:val="0"/>
      <w:sz w:val="22"/>
      <w:szCs w:val="22"/>
    </w:rPr>
  </w:style>
  <w:style w:type="paragraph" w:customStyle="1" w:styleId="19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pPr>
    <w:rPr>
      <w:rFonts w:cs="宋体"/>
      <w:kern w:val="0"/>
      <w:sz w:val="24"/>
      <w:szCs w:val="24"/>
    </w:rPr>
  </w:style>
  <w:style w:type="paragraph" w:customStyle="1" w:styleId="19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2"/>
      <w:szCs w:val="22"/>
    </w:rPr>
  </w:style>
  <w:style w:type="paragraph" w:customStyle="1" w:styleId="19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2"/>
      <w:szCs w:val="22"/>
    </w:rPr>
  </w:style>
  <w:style w:type="paragraph" w:customStyle="1" w:styleId="20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2"/>
      <w:szCs w:val="22"/>
    </w:rPr>
  </w:style>
  <w:style w:type="paragraph" w:customStyle="1" w:styleId="20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4"/>
      <w:szCs w:val="24"/>
    </w:rPr>
  </w:style>
  <w:style w:type="paragraph" w:customStyle="1" w:styleId="20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4"/>
      <w:szCs w:val="24"/>
    </w:rPr>
  </w:style>
  <w:style w:type="paragraph" w:customStyle="1" w:styleId="20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4"/>
      <w:szCs w:val="24"/>
    </w:rPr>
  </w:style>
  <w:style w:type="paragraph" w:customStyle="1" w:styleId="204">
    <w:name w:val="xl95"/>
    <w:basedOn w:val="1"/>
    <w:qFormat/>
    <w:uiPriority w:val="0"/>
    <w:pPr>
      <w:widowControl/>
      <w:shd w:val="clear" w:color="000000" w:fill="EEECE1"/>
      <w:spacing w:before="100" w:beforeAutospacing="1" w:after="100" w:afterAutospacing="1"/>
      <w:jc w:val="left"/>
      <w:textAlignment w:val="center"/>
    </w:pPr>
    <w:rPr>
      <w:rFonts w:cs="宋体"/>
      <w:color w:val="3366FF"/>
      <w:kern w:val="0"/>
      <w:sz w:val="22"/>
      <w:szCs w:val="22"/>
    </w:rPr>
  </w:style>
  <w:style w:type="paragraph" w:customStyle="1" w:styleId="20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2"/>
      <w:szCs w:val="22"/>
    </w:rPr>
  </w:style>
  <w:style w:type="paragraph" w:customStyle="1" w:styleId="20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2"/>
      <w:szCs w:val="22"/>
    </w:rPr>
  </w:style>
  <w:style w:type="paragraph" w:customStyle="1" w:styleId="207">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2"/>
      <w:szCs w:val="22"/>
    </w:rPr>
  </w:style>
  <w:style w:type="paragraph" w:customStyle="1" w:styleId="20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right"/>
      <w:textAlignment w:val="center"/>
    </w:pPr>
    <w:rPr>
      <w:rFonts w:cs="宋体"/>
      <w:kern w:val="0"/>
      <w:sz w:val="22"/>
      <w:szCs w:val="22"/>
    </w:rPr>
  </w:style>
  <w:style w:type="paragraph" w:customStyle="1" w:styleId="20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b/>
      <w:bCs/>
      <w:kern w:val="0"/>
      <w:sz w:val="22"/>
      <w:szCs w:val="22"/>
    </w:rPr>
  </w:style>
  <w:style w:type="paragraph" w:customStyle="1" w:styleId="21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b/>
      <w:bCs/>
      <w:kern w:val="0"/>
      <w:sz w:val="22"/>
      <w:szCs w:val="22"/>
    </w:rPr>
  </w:style>
  <w:style w:type="paragraph" w:customStyle="1" w:styleId="211">
    <w:name w:val="xl102"/>
    <w:basedOn w:val="1"/>
    <w:qFormat/>
    <w:uiPriority w:val="0"/>
    <w:pPr>
      <w:widowControl/>
      <w:shd w:val="clear" w:color="000000" w:fill="EEECE1"/>
      <w:spacing w:before="100" w:beforeAutospacing="1" w:after="100" w:afterAutospacing="1"/>
      <w:jc w:val="center"/>
      <w:textAlignment w:val="center"/>
    </w:pPr>
    <w:rPr>
      <w:rFonts w:cs="宋体"/>
      <w:b/>
      <w:bCs/>
      <w:kern w:val="0"/>
      <w:sz w:val="22"/>
      <w:szCs w:val="22"/>
    </w:rPr>
  </w:style>
  <w:style w:type="paragraph" w:customStyle="1" w:styleId="21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b/>
      <w:bCs/>
      <w:kern w:val="0"/>
      <w:sz w:val="22"/>
      <w:szCs w:val="22"/>
    </w:rPr>
  </w:style>
  <w:style w:type="paragraph" w:customStyle="1" w:styleId="21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ascii="Times New Roman" w:hAnsi="Times New Roman"/>
      <w:kern w:val="0"/>
      <w:sz w:val="22"/>
      <w:szCs w:val="22"/>
    </w:rPr>
  </w:style>
  <w:style w:type="paragraph" w:customStyle="1" w:styleId="2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ascii="Times New Roman" w:hAnsi="Times New Roman"/>
      <w:kern w:val="0"/>
      <w:sz w:val="22"/>
      <w:szCs w:val="22"/>
    </w:rPr>
  </w:style>
  <w:style w:type="paragraph" w:customStyle="1" w:styleId="215">
    <w:name w:val="xl106"/>
    <w:basedOn w:val="1"/>
    <w:qFormat/>
    <w:uiPriority w:val="0"/>
    <w:pPr>
      <w:widowControl/>
      <w:shd w:val="clear" w:color="000000" w:fill="EEECE1"/>
      <w:spacing w:before="100" w:beforeAutospacing="1" w:after="100" w:afterAutospacing="1"/>
      <w:jc w:val="right"/>
      <w:textAlignment w:val="center"/>
    </w:pPr>
    <w:rPr>
      <w:rFonts w:cs="宋体"/>
      <w:kern w:val="0"/>
      <w:sz w:val="22"/>
      <w:szCs w:val="22"/>
    </w:rPr>
  </w:style>
  <w:style w:type="paragraph" w:customStyle="1" w:styleId="21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color w:val="FF0000"/>
      <w:kern w:val="0"/>
      <w:sz w:val="22"/>
      <w:szCs w:val="22"/>
    </w:rPr>
  </w:style>
  <w:style w:type="paragraph" w:customStyle="1" w:styleId="217">
    <w:name w:val="xl108"/>
    <w:basedOn w:val="1"/>
    <w:qFormat/>
    <w:uiPriority w:val="0"/>
    <w:pPr>
      <w:widowControl/>
      <w:shd w:val="clear" w:color="000000" w:fill="EEECE1"/>
      <w:spacing w:before="100" w:beforeAutospacing="1" w:after="100" w:afterAutospacing="1"/>
      <w:jc w:val="left"/>
    </w:pPr>
    <w:rPr>
      <w:rFonts w:cs="宋体"/>
      <w:kern w:val="0"/>
      <w:sz w:val="22"/>
      <w:szCs w:val="22"/>
    </w:rPr>
  </w:style>
  <w:style w:type="paragraph" w:customStyle="1" w:styleId="21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cs="宋体"/>
      <w:kern w:val="0"/>
      <w:sz w:val="22"/>
      <w:szCs w:val="22"/>
    </w:rPr>
  </w:style>
  <w:style w:type="paragraph" w:customStyle="1" w:styleId="21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ascii="Times New Roman" w:hAnsi="Times New Roman"/>
      <w:b/>
      <w:bCs/>
      <w:kern w:val="0"/>
      <w:sz w:val="22"/>
      <w:szCs w:val="22"/>
    </w:rPr>
  </w:style>
  <w:style w:type="paragraph" w:customStyle="1" w:styleId="22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ascii="Times New Roman" w:hAnsi="Times New Roman"/>
      <w:kern w:val="0"/>
      <w:sz w:val="20"/>
      <w:szCs w:val="20"/>
    </w:rPr>
  </w:style>
  <w:style w:type="paragraph" w:customStyle="1" w:styleId="22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kern w:val="0"/>
      <w:sz w:val="20"/>
      <w:szCs w:val="20"/>
    </w:rPr>
  </w:style>
  <w:style w:type="paragraph" w:customStyle="1" w:styleId="222">
    <w:name w:val="xl113"/>
    <w:basedOn w:val="1"/>
    <w:qFormat/>
    <w:uiPriority w:val="0"/>
    <w:pPr>
      <w:widowControl/>
      <w:shd w:val="clear" w:color="000000" w:fill="EEECE1"/>
      <w:spacing w:before="100" w:beforeAutospacing="1" w:after="100" w:afterAutospacing="1"/>
      <w:jc w:val="left"/>
      <w:textAlignment w:val="center"/>
    </w:pPr>
    <w:rPr>
      <w:rFonts w:cs="宋体"/>
      <w:b/>
      <w:bCs/>
      <w:kern w:val="0"/>
      <w:sz w:val="22"/>
      <w:szCs w:val="22"/>
    </w:rPr>
  </w:style>
  <w:style w:type="paragraph" w:customStyle="1" w:styleId="22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0"/>
      <w:szCs w:val="20"/>
    </w:rPr>
  </w:style>
  <w:style w:type="paragraph" w:customStyle="1" w:styleId="22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kern w:val="0"/>
      <w:sz w:val="20"/>
      <w:szCs w:val="20"/>
    </w:rPr>
  </w:style>
  <w:style w:type="paragraph" w:customStyle="1" w:styleId="225">
    <w:name w:val="xl116"/>
    <w:basedOn w:val="1"/>
    <w:qFormat/>
    <w:uiPriority w:val="0"/>
    <w:pPr>
      <w:widowControl/>
      <w:shd w:val="clear" w:color="000000" w:fill="EEECE1"/>
      <w:spacing w:before="100" w:beforeAutospacing="1" w:after="100" w:afterAutospacing="1"/>
      <w:jc w:val="center"/>
      <w:textAlignment w:val="center"/>
    </w:pPr>
    <w:rPr>
      <w:rFonts w:cs="宋体"/>
      <w:kern w:val="0"/>
      <w:sz w:val="22"/>
      <w:szCs w:val="22"/>
    </w:rPr>
  </w:style>
  <w:style w:type="paragraph" w:customStyle="1" w:styleId="226">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b/>
      <w:bCs/>
      <w:kern w:val="0"/>
      <w:sz w:val="28"/>
      <w:szCs w:val="28"/>
    </w:rPr>
  </w:style>
  <w:style w:type="paragraph" w:customStyle="1" w:styleId="227">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textAlignment w:val="center"/>
    </w:pPr>
    <w:rPr>
      <w:rFonts w:cs="宋体"/>
      <w:b/>
      <w:bCs/>
      <w:kern w:val="0"/>
      <w:sz w:val="24"/>
      <w:szCs w:val="24"/>
    </w:rPr>
  </w:style>
  <w:style w:type="paragraph" w:customStyle="1" w:styleId="228">
    <w:name w:val="xl119"/>
    <w:basedOn w:val="1"/>
    <w:qFormat/>
    <w:uiPriority w:val="0"/>
    <w:pPr>
      <w:widowControl/>
      <w:pBdr>
        <w:top w:val="single" w:color="auto" w:sz="4" w:space="0"/>
        <w:left w:val="single" w:color="auto" w:sz="4" w:space="0"/>
        <w:bottom w:val="single" w:color="auto" w:sz="4" w:space="0"/>
      </w:pBdr>
      <w:shd w:val="clear" w:color="000000" w:fill="EEECE1"/>
      <w:spacing w:before="100" w:beforeAutospacing="1" w:after="100" w:afterAutospacing="1"/>
      <w:jc w:val="left"/>
      <w:textAlignment w:val="center"/>
    </w:pPr>
    <w:rPr>
      <w:rFonts w:cs="宋体"/>
      <w:b/>
      <w:bCs/>
      <w:kern w:val="0"/>
      <w:sz w:val="24"/>
      <w:szCs w:val="24"/>
    </w:rPr>
  </w:style>
  <w:style w:type="paragraph" w:customStyle="1" w:styleId="229">
    <w:name w:val="xl120"/>
    <w:basedOn w:val="1"/>
    <w:qFormat/>
    <w:uiPriority w:val="0"/>
    <w:pPr>
      <w:widowControl/>
      <w:pBdr>
        <w:top w:val="single" w:color="auto" w:sz="4" w:space="0"/>
        <w:bottom w:val="single" w:color="auto" w:sz="4" w:space="0"/>
      </w:pBdr>
      <w:shd w:val="clear" w:color="000000" w:fill="EEECE1"/>
      <w:spacing w:before="100" w:beforeAutospacing="1" w:after="100" w:afterAutospacing="1"/>
      <w:jc w:val="left"/>
      <w:textAlignment w:val="center"/>
    </w:pPr>
    <w:rPr>
      <w:rFonts w:cs="宋体"/>
      <w:b/>
      <w:bCs/>
      <w:kern w:val="0"/>
      <w:sz w:val="24"/>
      <w:szCs w:val="24"/>
    </w:rPr>
  </w:style>
  <w:style w:type="paragraph" w:customStyle="1" w:styleId="230">
    <w:name w:val="xl121"/>
    <w:basedOn w:val="1"/>
    <w:qFormat/>
    <w:uiPriority w:val="0"/>
    <w:pPr>
      <w:widowControl/>
      <w:pBdr>
        <w:top w:val="single" w:color="auto" w:sz="4" w:space="0"/>
        <w:bottom w:val="single" w:color="auto" w:sz="4" w:space="0"/>
        <w:right w:val="single" w:color="auto" w:sz="4" w:space="0"/>
      </w:pBdr>
      <w:shd w:val="clear" w:color="000000" w:fill="EEECE1"/>
      <w:spacing w:before="100" w:beforeAutospacing="1" w:after="100" w:afterAutospacing="1"/>
      <w:jc w:val="left"/>
      <w:textAlignment w:val="center"/>
    </w:pPr>
    <w:rPr>
      <w:rFonts w:cs="宋体"/>
      <w:b/>
      <w:bCs/>
      <w:kern w:val="0"/>
      <w:sz w:val="24"/>
      <w:szCs w:val="24"/>
    </w:rPr>
  </w:style>
  <w:style w:type="paragraph" w:customStyle="1" w:styleId="231">
    <w:name w:val="p0"/>
    <w:basedOn w:val="1"/>
    <w:qFormat/>
    <w:uiPriority w:val="0"/>
    <w:pPr>
      <w:widowControl/>
      <w:spacing w:before="100" w:beforeAutospacing="1" w:after="100" w:afterAutospacing="1"/>
      <w:jc w:val="left"/>
    </w:pPr>
    <w:rPr>
      <w:rFonts w:cs="宋体"/>
      <w:kern w:val="0"/>
      <w:sz w:val="24"/>
      <w:szCs w:val="24"/>
    </w:rPr>
  </w:style>
  <w:style w:type="paragraph" w:customStyle="1" w:styleId="232">
    <w:name w:val="font1"/>
    <w:basedOn w:val="1"/>
    <w:qFormat/>
    <w:uiPriority w:val="0"/>
    <w:pPr>
      <w:widowControl/>
      <w:spacing w:before="100" w:beforeAutospacing="1" w:after="100" w:afterAutospacing="1"/>
      <w:jc w:val="left"/>
    </w:pPr>
    <w:rPr>
      <w:rFonts w:cs="宋体"/>
      <w:kern w:val="0"/>
      <w:sz w:val="24"/>
      <w:szCs w:val="24"/>
    </w:rPr>
  </w:style>
  <w:style w:type="paragraph" w:customStyle="1" w:styleId="233">
    <w:name w:val="Char"/>
    <w:basedOn w:val="1"/>
    <w:qFormat/>
    <w:uiPriority w:val="0"/>
    <w:rPr>
      <w:rFonts w:ascii="Tahoma" w:hAnsi="Tahoma"/>
      <w:sz w:val="24"/>
      <w:szCs w:val="20"/>
    </w:rPr>
  </w:style>
  <w:style w:type="character" w:customStyle="1" w:styleId="234">
    <w:name w:val="样式 标准正文 + 宋体 小四 Char"/>
    <w:qFormat/>
    <w:uiPriority w:val="0"/>
    <w:rPr>
      <w:rFonts w:ascii="宋体" w:hAnsi="宋体" w:eastAsia="宋体"/>
      <w:kern w:val="2"/>
      <w:sz w:val="24"/>
      <w:lang w:val="en-US" w:eastAsia="zh-CN" w:bidi="ar-SA"/>
    </w:rPr>
  </w:style>
  <w:style w:type="paragraph" w:customStyle="1" w:styleId="235">
    <w:name w:val="图表标题"/>
    <w:qFormat/>
    <w:uiPriority w:val="0"/>
    <w:pPr>
      <w:widowControl w:val="0"/>
      <w:adjustRightInd w:val="0"/>
      <w:snapToGrid w:val="0"/>
      <w:spacing w:before="120" w:after="120"/>
      <w:jc w:val="center"/>
    </w:pPr>
    <w:rPr>
      <w:rFonts w:ascii="Arial" w:hAnsi="Arial" w:eastAsia="黑体" w:cs="Times New Roman"/>
      <w:sz w:val="18"/>
      <w:lang w:val="en-US" w:eastAsia="zh-CN" w:bidi="ar-SA"/>
    </w:rPr>
  </w:style>
  <w:style w:type="paragraph" w:customStyle="1" w:styleId="236">
    <w:name w:val="样式 标题 4h4H4PIM 44sect 1.2.3.4Ref Heading 1rh1sect 1.2.3...."/>
    <w:basedOn w:val="6"/>
    <w:qFormat/>
    <w:uiPriority w:val="0"/>
    <w:pPr>
      <w:numPr>
        <w:ilvl w:val="0"/>
        <w:numId w:val="0"/>
      </w:numPr>
      <w:tabs>
        <w:tab w:val="left" w:pos="864"/>
        <w:tab w:val="clear" w:pos="432"/>
      </w:tabs>
      <w:spacing w:before="120" w:after="120" w:line="280" w:lineRule="atLeast"/>
      <w:ind w:left="864" w:hanging="864"/>
      <w:textAlignment w:val="baseline"/>
    </w:pPr>
    <w:rPr>
      <w:rFonts w:cs="宋体"/>
      <w:kern w:val="0"/>
      <w:sz w:val="24"/>
      <w:szCs w:val="20"/>
    </w:rPr>
  </w:style>
  <w:style w:type="paragraph" w:customStyle="1" w:styleId="237">
    <w:name w:val="样式 标题 1h1H1Title1Normal + Font: HelveticaBoldSpace Before ...1"/>
    <w:basedOn w:val="3"/>
    <w:qFormat/>
    <w:uiPriority w:val="0"/>
    <w:pPr>
      <w:keepNext w:val="0"/>
      <w:keepLines w:val="0"/>
      <w:tabs>
        <w:tab w:val="left" w:pos="432"/>
      </w:tabs>
      <w:spacing w:before="120" w:beforeLines="50" w:after="120" w:afterLines="50" w:line="360" w:lineRule="auto"/>
      <w:ind w:left="432" w:hanging="432"/>
    </w:pPr>
    <w:rPr>
      <w:rFonts w:ascii="Arial" w:hAnsi="Arial" w:eastAsia="黑体"/>
      <w:b w:val="0"/>
      <w:bCs w:val="0"/>
      <w:kern w:val="2"/>
      <w:szCs w:val="20"/>
    </w:rPr>
  </w:style>
  <w:style w:type="paragraph" w:customStyle="1" w:styleId="238">
    <w:name w:val="样式 标题 2Title2h2Heading 2 HiddenHeading 2 CCBSheading 2第一章 ..."/>
    <w:basedOn w:val="4"/>
    <w:qFormat/>
    <w:uiPriority w:val="0"/>
    <w:pPr>
      <w:tabs>
        <w:tab w:val="left" w:pos="576"/>
      </w:tabs>
      <w:snapToGrid w:val="0"/>
      <w:spacing w:before="50" w:beforeLines="50" w:after="50" w:afterLines="50" w:line="360" w:lineRule="auto"/>
      <w:ind w:left="576" w:hanging="576"/>
      <w:jc w:val="left"/>
    </w:pPr>
    <w:rPr>
      <w:rFonts w:ascii="Arial" w:hAnsi="Arial" w:cs="宋体"/>
      <w:snapToGrid w:val="0"/>
      <w:szCs w:val="20"/>
    </w:rPr>
  </w:style>
  <w:style w:type="paragraph" w:customStyle="1" w:styleId="239">
    <w:name w:val="样式 标题 3h3Heading 3 - oldLevel 3 HeadH3level_3PIM 3sect1.2..."/>
    <w:basedOn w:val="5"/>
    <w:qFormat/>
    <w:uiPriority w:val="0"/>
    <w:pPr>
      <w:numPr>
        <w:ilvl w:val="0"/>
        <w:numId w:val="0"/>
      </w:numPr>
      <w:tabs>
        <w:tab w:val="left" w:pos="720"/>
        <w:tab w:val="clear" w:pos="432"/>
      </w:tabs>
      <w:snapToGrid/>
      <w:spacing w:before="120" w:after="120" w:line="360" w:lineRule="auto"/>
      <w:ind w:left="720" w:hanging="720"/>
      <w:textAlignment w:val="baseline"/>
    </w:pPr>
    <w:rPr>
      <w:rFonts w:eastAsia="宋体" w:cs="宋体"/>
      <w:sz w:val="24"/>
      <w:szCs w:val="24"/>
    </w:rPr>
  </w:style>
  <w:style w:type="paragraph" w:customStyle="1" w:styleId="240">
    <w:name w:val="缺省文本"/>
    <w:basedOn w:val="1"/>
    <w:qFormat/>
    <w:uiPriority w:val="0"/>
    <w:pPr>
      <w:autoSpaceDE w:val="0"/>
      <w:autoSpaceDN w:val="0"/>
      <w:adjustRightInd w:val="0"/>
      <w:jc w:val="left"/>
    </w:pPr>
    <w:rPr>
      <w:rFonts w:ascii="Times New Roman" w:hAnsi="Times New Roman"/>
      <w:kern w:val="0"/>
      <w:sz w:val="24"/>
      <w:szCs w:val="24"/>
    </w:rPr>
  </w:style>
  <w:style w:type="paragraph" w:customStyle="1" w:styleId="241">
    <w:name w:val="Figure"/>
    <w:basedOn w:val="1"/>
    <w:next w:val="1"/>
    <w:qFormat/>
    <w:uiPriority w:val="0"/>
    <w:pPr>
      <w:widowControl/>
      <w:topLinePunct/>
      <w:adjustRightInd w:val="0"/>
      <w:snapToGrid w:val="0"/>
      <w:spacing w:before="160" w:after="160" w:line="240" w:lineRule="atLeast"/>
      <w:ind w:left="1701"/>
      <w:jc w:val="left"/>
    </w:pPr>
    <w:rPr>
      <w:rFonts w:ascii="Times New Roman" w:hAnsi="Times New Roman" w:cs="Arial"/>
    </w:rPr>
  </w:style>
  <w:style w:type="paragraph" w:customStyle="1" w:styleId="242">
    <w:name w:val="Figure Description"/>
    <w:next w:val="241"/>
    <w:qFormat/>
    <w:uiPriority w:val="0"/>
    <w:pPr>
      <w:keepNext/>
      <w:adjustRightInd w:val="0"/>
      <w:snapToGrid w:val="0"/>
      <w:spacing w:before="320" w:after="80" w:line="240" w:lineRule="atLeast"/>
      <w:ind w:left="1701"/>
      <w:outlineLvl w:val="7"/>
    </w:pPr>
    <w:rPr>
      <w:rFonts w:ascii="Times New Roman" w:hAnsi="Times New Roman" w:eastAsia="黑体" w:cs="Arial"/>
      <w:spacing w:val="-4"/>
      <w:kern w:val="2"/>
      <w:sz w:val="21"/>
      <w:szCs w:val="21"/>
      <w:lang w:val="en-US" w:eastAsia="zh-CN" w:bidi="ar-SA"/>
    </w:rPr>
  </w:style>
  <w:style w:type="paragraph" w:customStyle="1" w:styleId="243">
    <w:name w:val="Item Step"/>
    <w:qFormat/>
    <w:uiPriority w:val="0"/>
    <w:pPr>
      <w:tabs>
        <w:tab w:val="left" w:pos="2126"/>
      </w:tabs>
      <w:adjustRightInd w:val="0"/>
      <w:snapToGrid w:val="0"/>
      <w:spacing w:before="80" w:after="80" w:line="240" w:lineRule="atLeast"/>
      <w:ind w:left="2126" w:hanging="425"/>
      <w:jc w:val="both"/>
      <w:outlineLvl w:val="6"/>
    </w:pPr>
    <w:rPr>
      <w:rFonts w:ascii="Times New Roman" w:hAnsi="Times New Roman" w:eastAsia="宋体" w:cs="Arial"/>
      <w:sz w:val="21"/>
      <w:szCs w:val="21"/>
      <w:lang w:val="en-US" w:eastAsia="zh-CN" w:bidi="ar-SA"/>
    </w:rPr>
  </w:style>
  <w:style w:type="paragraph" w:customStyle="1" w:styleId="244">
    <w:name w:val="Step"/>
    <w:basedOn w:val="1"/>
    <w:qFormat/>
    <w:uiPriority w:val="0"/>
    <w:pPr>
      <w:widowControl/>
      <w:tabs>
        <w:tab w:val="left" w:pos="1701"/>
      </w:tabs>
      <w:topLinePunct/>
      <w:adjustRightInd w:val="0"/>
      <w:snapToGrid w:val="0"/>
      <w:spacing w:before="160" w:after="160" w:line="240" w:lineRule="atLeast"/>
      <w:ind w:left="1701" w:hanging="159"/>
      <w:jc w:val="left"/>
      <w:outlineLvl w:val="5"/>
    </w:pPr>
    <w:rPr>
      <w:rFonts w:ascii="Times New Roman" w:hAnsi="Times New Roman" w:cs="Arial"/>
      <w:snapToGrid w:val="0"/>
      <w:kern w:val="0"/>
    </w:rPr>
  </w:style>
  <w:style w:type="paragraph" w:customStyle="1" w:styleId="245">
    <w:name w:val="Sub Item List"/>
    <w:basedOn w:val="1"/>
    <w:qFormat/>
    <w:uiPriority w:val="0"/>
    <w:pPr>
      <w:widowControl/>
      <w:numPr>
        <w:ilvl w:val="0"/>
        <w:numId w:val="10"/>
      </w:numPr>
      <w:topLinePunct/>
      <w:adjustRightInd w:val="0"/>
      <w:snapToGrid w:val="0"/>
      <w:spacing w:before="80" w:after="80" w:line="240" w:lineRule="atLeast"/>
      <w:jc w:val="left"/>
    </w:pPr>
    <w:rPr>
      <w:rFonts w:ascii="Times New Roman" w:hAnsi="Times New Roman" w:cs="Arial"/>
    </w:rPr>
  </w:style>
  <w:style w:type="paragraph" w:customStyle="1" w:styleId="246">
    <w:name w:val="Table Description"/>
    <w:basedOn w:val="1"/>
    <w:next w:val="1"/>
    <w:qFormat/>
    <w:uiPriority w:val="0"/>
    <w:pPr>
      <w:keepNext/>
      <w:widowControl/>
      <w:topLinePunct/>
      <w:adjustRightInd w:val="0"/>
      <w:snapToGrid w:val="0"/>
      <w:spacing w:before="320" w:after="80" w:line="240" w:lineRule="atLeast"/>
      <w:ind w:left="2410"/>
      <w:jc w:val="left"/>
      <w:outlineLvl w:val="7"/>
    </w:pPr>
    <w:rPr>
      <w:rFonts w:ascii="Times New Roman" w:hAnsi="Times New Roman" w:cs="Arial"/>
      <w:spacing w:val="-4"/>
    </w:rPr>
  </w:style>
  <w:style w:type="character" w:customStyle="1" w:styleId="247">
    <w:name w:val="标题 3 Char1"/>
    <w:qFormat/>
    <w:uiPriority w:val="9"/>
    <w:rPr>
      <w:rFonts w:ascii="Times New Roman" w:hAnsi="Times New Roman"/>
      <w:b/>
      <w:bCs/>
      <w:sz w:val="24"/>
      <w:szCs w:val="32"/>
      <w:lang w:val="zh-CN" w:eastAsia="zh-CN"/>
    </w:rPr>
  </w:style>
  <w:style w:type="paragraph" w:customStyle="1" w:styleId="248">
    <w:name w:val="二级无标题条"/>
    <w:basedOn w:val="1"/>
    <w:qFormat/>
    <w:uiPriority w:val="0"/>
    <w:pPr>
      <w:numPr>
        <w:ilvl w:val="3"/>
        <w:numId w:val="11"/>
      </w:numPr>
    </w:pPr>
    <w:rPr>
      <w:rFonts w:ascii="Times New Roman" w:hAnsi="Times New Roman"/>
      <w:szCs w:val="24"/>
    </w:rPr>
  </w:style>
  <w:style w:type="paragraph" w:customStyle="1" w:styleId="249">
    <w:name w:val="三级无标题条"/>
    <w:basedOn w:val="1"/>
    <w:qFormat/>
    <w:uiPriority w:val="0"/>
    <w:rPr>
      <w:rFonts w:ascii="Times New Roman" w:hAnsi="Times New Roman"/>
      <w:szCs w:val="24"/>
    </w:rPr>
  </w:style>
  <w:style w:type="paragraph" w:customStyle="1" w:styleId="250">
    <w:name w:val="四级无标题条"/>
    <w:basedOn w:val="1"/>
    <w:qFormat/>
    <w:uiPriority w:val="0"/>
    <w:rPr>
      <w:rFonts w:ascii="Times New Roman" w:hAnsi="Times New Roman"/>
      <w:szCs w:val="24"/>
    </w:rPr>
  </w:style>
  <w:style w:type="paragraph" w:customStyle="1" w:styleId="251">
    <w:name w:val="五级无标题条"/>
    <w:basedOn w:val="1"/>
    <w:qFormat/>
    <w:uiPriority w:val="0"/>
    <w:rPr>
      <w:rFonts w:ascii="Times New Roman" w:hAnsi="Times New Roman"/>
      <w:szCs w:val="24"/>
    </w:rPr>
  </w:style>
  <w:style w:type="paragraph" w:customStyle="1" w:styleId="252">
    <w:name w:val="一级无标题条"/>
    <w:basedOn w:val="1"/>
    <w:qFormat/>
    <w:uiPriority w:val="0"/>
    <w:rPr>
      <w:rFonts w:ascii="Times New Roman" w:hAnsi="Times New Roman"/>
      <w:szCs w:val="24"/>
    </w:rPr>
  </w:style>
  <w:style w:type="table" w:customStyle="1" w:styleId="253">
    <w:name w:val="网格型5"/>
    <w:basedOn w:val="56"/>
    <w:qFormat/>
    <w:locked/>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4">
    <w:name w:val="xl662"/>
    <w:basedOn w:val="1"/>
    <w:qFormat/>
    <w:uiPriority w:val="0"/>
    <w:pPr>
      <w:widowControl/>
      <w:shd w:val="clear" w:color="000000" w:fill="FFFFFF"/>
      <w:spacing w:before="100" w:beforeAutospacing="1" w:after="100" w:afterAutospacing="1"/>
      <w:jc w:val="left"/>
    </w:pPr>
    <w:rPr>
      <w:rFonts w:cs="宋体"/>
      <w:kern w:val="0"/>
      <w:sz w:val="20"/>
      <w:szCs w:val="20"/>
    </w:rPr>
  </w:style>
  <w:style w:type="paragraph" w:customStyle="1" w:styleId="255">
    <w:name w:val="xl663"/>
    <w:basedOn w:val="1"/>
    <w:qFormat/>
    <w:uiPriority w:val="0"/>
    <w:pPr>
      <w:widowControl/>
      <w:shd w:val="clear" w:color="000000" w:fill="FFFFFF"/>
      <w:spacing w:before="100" w:beforeAutospacing="1" w:after="100" w:afterAutospacing="1"/>
      <w:jc w:val="center"/>
    </w:pPr>
    <w:rPr>
      <w:rFonts w:cs="宋体"/>
      <w:kern w:val="0"/>
      <w:sz w:val="20"/>
      <w:szCs w:val="20"/>
    </w:rPr>
  </w:style>
  <w:style w:type="paragraph" w:customStyle="1" w:styleId="256">
    <w:name w:val="xl664"/>
    <w:basedOn w:val="1"/>
    <w:qFormat/>
    <w:uiPriority w:val="0"/>
    <w:pPr>
      <w:widowControl/>
      <w:shd w:val="clear" w:color="000000" w:fill="FFFFFF"/>
      <w:spacing w:before="100" w:beforeAutospacing="1" w:after="100" w:afterAutospacing="1"/>
      <w:jc w:val="center"/>
    </w:pPr>
    <w:rPr>
      <w:rFonts w:cs="宋体"/>
      <w:kern w:val="0"/>
      <w:sz w:val="20"/>
      <w:szCs w:val="20"/>
    </w:rPr>
  </w:style>
  <w:style w:type="paragraph" w:customStyle="1" w:styleId="257">
    <w:name w:val="xl665"/>
    <w:basedOn w:val="1"/>
    <w:qFormat/>
    <w:uiPriority w:val="0"/>
    <w:pPr>
      <w:widowControl/>
      <w:shd w:val="clear" w:color="000000" w:fill="FFFFFF"/>
      <w:spacing w:before="100" w:beforeAutospacing="1" w:after="100" w:afterAutospacing="1"/>
      <w:jc w:val="center"/>
    </w:pPr>
    <w:rPr>
      <w:rFonts w:cs="宋体"/>
      <w:kern w:val="0"/>
      <w:sz w:val="20"/>
      <w:szCs w:val="20"/>
    </w:rPr>
  </w:style>
  <w:style w:type="paragraph" w:customStyle="1" w:styleId="258">
    <w:name w:val="xl666"/>
    <w:basedOn w:val="1"/>
    <w:qFormat/>
    <w:uiPriority w:val="0"/>
    <w:pPr>
      <w:widowControl/>
      <w:shd w:val="clear" w:color="000000" w:fill="FFFFFF"/>
      <w:spacing w:before="100" w:beforeAutospacing="1" w:after="100" w:afterAutospacing="1"/>
      <w:jc w:val="right"/>
    </w:pPr>
    <w:rPr>
      <w:rFonts w:cs="宋体"/>
      <w:kern w:val="0"/>
      <w:sz w:val="20"/>
      <w:szCs w:val="20"/>
    </w:rPr>
  </w:style>
  <w:style w:type="paragraph" w:customStyle="1" w:styleId="259">
    <w:name w:val="xl667"/>
    <w:basedOn w:val="1"/>
    <w:qFormat/>
    <w:uiPriority w:val="0"/>
    <w:pPr>
      <w:widowControl/>
      <w:shd w:val="clear" w:color="000000" w:fill="FFFFFF"/>
      <w:spacing w:before="100" w:beforeAutospacing="1" w:after="100" w:afterAutospacing="1"/>
      <w:jc w:val="left"/>
    </w:pPr>
    <w:rPr>
      <w:rFonts w:cs="宋体"/>
      <w:kern w:val="0"/>
      <w:sz w:val="20"/>
      <w:szCs w:val="20"/>
    </w:rPr>
  </w:style>
  <w:style w:type="paragraph" w:customStyle="1" w:styleId="260">
    <w:name w:val="xl668"/>
    <w:basedOn w:val="1"/>
    <w:qFormat/>
    <w:uiPriority w:val="0"/>
    <w:pPr>
      <w:widowControl/>
      <w:shd w:val="clear" w:color="000000" w:fill="FFFFFF"/>
      <w:spacing w:before="100" w:beforeAutospacing="1" w:after="100" w:afterAutospacing="1"/>
      <w:jc w:val="left"/>
    </w:pPr>
    <w:rPr>
      <w:rFonts w:cs="宋体"/>
      <w:color w:val="FF0000"/>
      <w:kern w:val="0"/>
      <w:sz w:val="20"/>
      <w:szCs w:val="20"/>
    </w:rPr>
  </w:style>
  <w:style w:type="paragraph" w:customStyle="1" w:styleId="261">
    <w:name w:val="xl669"/>
    <w:basedOn w:val="1"/>
    <w:qFormat/>
    <w:uiPriority w:val="0"/>
    <w:pPr>
      <w:widowControl/>
      <w:shd w:val="clear" w:color="000000" w:fill="FFC000"/>
      <w:spacing w:before="100" w:beforeAutospacing="1" w:after="100" w:afterAutospacing="1"/>
      <w:jc w:val="left"/>
    </w:pPr>
    <w:rPr>
      <w:rFonts w:cs="宋体"/>
      <w:kern w:val="0"/>
      <w:sz w:val="20"/>
      <w:szCs w:val="20"/>
    </w:rPr>
  </w:style>
  <w:style w:type="paragraph" w:customStyle="1" w:styleId="262">
    <w:name w:val="xl6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263">
    <w:name w:val="xl6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64">
    <w:name w:val="xl6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65">
    <w:name w:val="xl6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66">
    <w:name w:val="xl6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67">
    <w:name w:val="xl6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68">
    <w:name w:val="xl676"/>
    <w:basedOn w:val="1"/>
    <w:qFormat/>
    <w:uiPriority w:val="0"/>
    <w:pPr>
      <w:widowControl/>
      <w:spacing w:before="100" w:beforeAutospacing="1" w:after="100" w:afterAutospacing="1"/>
      <w:jc w:val="left"/>
    </w:pPr>
    <w:rPr>
      <w:rFonts w:cs="宋体"/>
      <w:kern w:val="0"/>
      <w:sz w:val="20"/>
      <w:szCs w:val="20"/>
    </w:rPr>
  </w:style>
  <w:style w:type="paragraph" w:customStyle="1" w:styleId="269">
    <w:name w:val="xl6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70">
    <w:name w:val="xl67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cs="宋体"/>
      <w:b/>
      <w:bCs/>
      <w:kern w:val="0"/>
      <w:sz w:val="20"/>
      <w:szCs w:val="20"/>
    </w:rPr>
  </w:style>
  <w:style w:type="paragraph" w:customStyle="1" w:styleId="271">
    <w:name w:val="xl6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b/>
      <w:bCs/>
      <w:kern w:val="0"/>
      <w:sz w:val="20"/>
      <w:szCs w:val="20"/>
    </w:rPr>
  </w:style>
  <w:style w:type="paragraph" w:customStyle="1" w:styleId="272">
    <w:name w:val="xl6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73">
    <w:name w:val="xl6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cs="宋体"/>
      <w:b/>
      <w:bCs/>
      <w:kern w:val="0"/>
      <w:sz w:val="20"/>
      <w:szCs w:val="20"/>
    </w:rPr>
  </w:style>
  <w:style w:type="paragraph" w:customStyle="1" w:styleId="274">
    <w:name w:val="xl68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75">
    <w:name w:val="xl683"/>
    <w:basedOn w:val="1"/>
    <w:qFormat/>
    <w:uiPriority w:val="0"/>
    <w:pPr>
      <w:widowControl/>
      <w:spacing w:before="100" w:beforeAutospacing="1" w:after="100" w:afterAutospacing="1"/>
      <w:jc w:val="center"/>
    </w:pPr>
    <w:rPr>
      <w:rFonts w:cs="宋体"/>
      <w:kern w:val="0"/>
      <w:sz w:val="20"/>
      <w:szCs w:val="20"/>
    </w:rPr>
  </w:style>
  <w:style w:type="paragraph" w:customStyle="1" w:styleId="276">
    <w:name w:val="xl684"/>
    <w:basedOn w:val="1"/>
    <w:qFormat/>
    <w:uiPriority w:val="0"/>
    <w:pPr>
      <w:widowControl/>
      <w:spacing w:before="100" w:beforeAutospacing="1" w:after="100" w:afterAutospacing="1"/>
      <w:jc w:val="center"/>
    </w:pPr>
    <w:rPr>
      <w:rFonts w:cs="宋体"/>
      <w:kern w:val="0"/>
      <w:sz w:val="20"/>
      <w:szCs w:val="20"/>
    </w:rPr>
  </w:style>
  <w:style w:type="paragraph" w:customStyle="1" w:styleId="277">
    <w:name w:val="xl685"/>
    <w:basedOn w:val="1"/>
    <w:qFormat/>
    <w:uiPriority w:val="0"/>
    <w:pPr>
      <w:widowControl/>
      <w:spacing w:before="100" w:beforeAutospacing="1" w:after="100" w:afterAutospacing="1"/>
      <w:jc w:val="right"/>
    </w:pPr>
    <w:rPr>
      <w:rFonts w:cs="宋体"/>
      <w:kern w:val="0"/>
      <w:sz w:val="20"/>
      <w:szCs w:val="20"/>
    </w:rPr>
  </w:style>
  <w:style w:type="paragraph" w:customStyle="1" w:styleId="278">
    <w:name w:val="xl6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79">
    <w:name w:val="xl6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80">
    <w:name w:val="xl6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81">
    <w:name w:val="xl6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282">
    <w:name w:val="xl6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83">
    <w:name w:val="xl6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84">
    <w:name w:val="xl6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85">
    <w:name w:val="xl6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b/>
      <w:bCs/>
      <w:kern w:val="0"/>
      <w:sz w:val="20"/>
      <w:szCs w:val="20"/>
    </w:rPr>
  </w:style>
  <w:style w:type="paragraph" w:customStyle="1" w:styleId="286">
    <w:name w:val="xl6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87">
    <w:name w:val="xl6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88">
    <w:name w:val="xl6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289">
    <w:name w:val="xl6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290">
    <w:name w:val="xl6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291">
    <w:name w:val="xl6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292">
    <w:name w:val="xl7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cs="宋体"/>
      <w:kern w:val="0"/>
      <w:sz w:val="20"/>
      <w:szCs w:val="20"/>
    </w:rPr>
  </w:style>
  <w:style w:type="paragraph" w:customStyle="1" w:styleId="293">
    <w:name w:val="xl7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294">
    <w:name w:val="xl7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95">
    <w:name w:val="xl7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96">
    <w:name w:val="xl7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97">
    <w:name w:val="xl7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298">
    <w:name w:val="xl7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299">
    <w:name w:val="xl707"/>
    <w:basedOn w:val="1"/>
    <w:qFormat/>
    <w:uiPriority w:val="0"/>
    <w:pPr>
      <w:widowControl/>
      <w:pBdr>
        <w:left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300">
    <w:name w:val="xl7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01">
    <w:name w:val="xl7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b/>
      <w:bCs/>
      <w:kern w:val="0"/>
      <w:sz w:val="20"/>
      <w:szCs w:val="20"/>
    </w:rPr>
  </w:style>
  <w:style w:type="paragraph" w:customStyle="1" w:styleId="302">
    <w:name w:val="xl7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18"/>
      <w:szCs w:val="18"/>
    </w:rPr>
  </w:style>
  <w:style w:type="paragraph" w:customStyle="1" w:styleId="303">
    <w:name w:val="xl7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18"/>
      <w:szCs w:val="18"/>
    </w:rPr>
  </w:style>
  <w:style w:type="paragraph" w:customStyle="1" w:styleId="304">
    <w:name w:val="xl712"/>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cs="宋体"/>
      <w:kern w:val="0"/>
      <w:sz w:val="18"/>
      <w:szCs w:val="18"/>
    </w:rPr>
  </w:style>
  <w:style w:type="paragraph" w:customStyle="1" w:styleId="305">
    <w:name w:val="xl7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06">
    <w:name w:val="xl7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307">
    <w:name w:val="xl7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308">
    <w:name w:val="xl7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09">
    <w:name w:val="xl7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310">
    <w:name w:val="xl7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11">
    <w:name w:val="xl7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312">
    <w:name w:val="xl7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13">
    <w:name w:val="xl72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0"/>
      <w:szCs w:val="20"/>
    </w:rPr>
  </w:style>
  <w:style w:type="paragraph" w:customStyle="1" w:styleId="314">
    <w:name w:val="xl7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315">
    <w:name w:val="xl7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16">
    <w:name w:val="xl7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317">
    <w:name w:val="xl7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18">
    <w:name w:val="xl7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19">
    <w:name w:val="xl7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20"/>
      <w:szCs w:val="20"/>
    </w:rPr>
  </w:style>
  <w:style w:type="paragraph" w:customStyle="1" w:styleId="320">
    <w:name w:val="xl728"/>
    <w:basedOn w:val="1"/>
    <w:qFormat/>
    <w:uiPriority w:val="0"/>
    <w:pPr>
      <w:widowControl/>
      <w:spacing w:before="100" w:beforeAutospacing="1" w:after="100" w:afterAutospacing="1"/>
      <w:jc w:val="center"/>
      <w:textAlignment w:val="center"/>
    </w:pPr>
    <w:rPr>
      <w:rFonts w:cs="宋体"/>
      <w:b/>
      <w:bCs/>
      <w:kern w:val="0"/>
      <w:sz w:val="20"/>
      <w:szCs w:val="20"/>
    </w:rPr>
  </w:style>
  <w:style w:type="paragraph" w:customStyle="1" w:styleId="321">
    <w:name w:val="xl7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322">
    <w:name w:val="xl7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cs="宋体"/>
      <w:kern w:val="0"/>
      <w:sz w:val="18"/>
      <w:szCs w:val="18"/>
    </w:rPr>
  </w:style>
  <w:style w:type="paragraph" w:customStyle="1" w:styleId="323">
    <w:name w:val="xl7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24">
    <w:name w:val="xl7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25">
    <w:name w:val="xl7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4"/>
      <w:szCs w:val="24"/>
    </w:rPr>
  </w:style>
  <w:style w:type="paragraph" w:customStyle="1" w:styleId="326">
    <w:name w:val="xl7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4"/>
      <w:szCs w:val="24"/>
    </w:rPr>
  </w:style>
  <w:style w:type="paragraph" w:customStyle="1" w:styleId="32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32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29">
    <w:name w:val="标准书眉一"/>
    <w:qFormat/>
    <w:uiPriority w:val="0"/>
    <w:pPr>
      <w:jc w:val="both"/>
    </w:pPr>
    <w:rPr>
      <w:rFonts w:ascii="Times New Roman" w:hAnsi="Times New Roman" w:eastAsia="宋体" w:cs="Times New Roman"/>
      <w:lang w:val="en-US" w:eastAsia="zh-CN" w:bidi="ar-SA"/>
    </w:rPr>
  </w:style>
  <w:style w:type="paragraph" w:customStyle="1" w:styleId="330">
    <w:name w:val="xl4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b/>
      <w:bCs/>
      <w:kern w:val="0"/>
      <w:sz w:val="24"/>
      <w:szCs w:val="24"/>
    </w:rPr>
  </w:style>
  <w:style w:type="paragraph" w:customStyle="1" w:styleId="331">
    <w:name w:val="xl4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color w:val="000000"/>
      <w:kern w:val="0"/>
      <w:sz w:val="24"/>
      <w:szCs w:val="24"/>
    </w:rPr>
  </w:style>
  <w:style w:type="paragraph" w:customStyle="1" w:styleId="332">
    <w:name w:val="xl419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Times New Roman" w:hAnsi="Times New Roman"/>
      <w:b/>
      <w:bCs/>
      <w:kern w:val="0"/>
      <w:sz w:val="24"/>
      <w:szCs w:val="24"/>
    </w:rPr>
  </w:style>
  <w:style w:type="paragraph" w:customStyle="1" w:styleId="333">
    <w:name w:val="xl419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34">
    <w:name w:val="xl4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b/>
      <w:bCs/>
      <w:kern w:val="0"/>
      <w:sz w:val="24"/>
      <w:szCs w:val="24"/>
    </w:rPr>
  </w:style>
  <w:style w:type="paragraph" w:customStyle="1" w:styleId="335">
    <w:name w:val="xl4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36">
    <w:name w:val="xl4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37">
    <w:name w:val="xl4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kern w:val="0"/>
      <w:sz w:val="24"/>
      <w:szCs w:val="24"/>
    </w:rPr>
  </w:style>
  <w:style w:type="paragraph" w:customStyle="1" w:styleId="338">
    <w:name w:val="xl4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39">
    <w:name w:val="xl41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40">
    <w:name w:val="xl420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41">
    <w:name w:val="xl42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42">
    <w:name w:val="xl42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color w:val="000000"/>
      <w:kern w:val="0"/>
      <w:sz w:val="24"/>
      <w:szCs w:val="24"/>
    </w:rPr>
  </w:style>
  <w:style w:type="paragraph" w:customStyle="1" w:styleId="343">
    <w:name w:val="xl420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color w:val="000000"/>
      <w:kern w:val="0"/>
      <w:sz w:val="24"/>
      <w:szCs w:val="24"/>
    </w:rPr>
  </w:style>
  <w:style w:type="paragraph" w:customStyle="1" w:styleId="344">
    <w:name w:val="xl4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4"/>
      <w:szCs w:val="24"/>
    </w:rPr>
  </w:style>
  <w:style w:type="paragraph" w:customStyle="1" w:styleId="345">
    <w:name w:val="xl4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kern w:val="0"/>
      <w:sz w:val="24"/>
      <w:szCs w:val="24"/>
    </w:rPr>
  </w:style>
  <w:style w:type="paragraph" w:customStyle="1" w:styleId="346">
    <w:name w:val="xl42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4"/>
      <w:szCs w:val="24"/>
    </w:rPr>
  </w:style>
  <w:style w:type="paragraph" w:customStyle="1" w:styleId="347">
    <w:name w:val="xl420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cs="宋体"/>
      <w:color w:val="000000"/>
      <w:kern w:val="0"/>
      <w:sz w:val="24"/>
      <w:szCs w:val="24"/>
    </w:rPr>
  </w:style>
  <w:style w:type="paragraph" w:customStyle="1" w:styleId="348">
    <w:name w:val="xl420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top"/>
    </w:pPr>
    <w:rPr>
      <w:rFonts w:cs="宋体"/>
      <w:color w:val="000000"/>
      <w:kern w:val="0"/>
      <w:sz w:val="24"/>
      <w:szCs w:val="24"/>
    </w:rPr>
  </w:style>
  <w:style w:type="paragraph" w:customStyle="1" w:styleId="349">
    <w:name w:val="xl4209"/>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50">
    <w:name w:val="xl42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51">
    <w:name w:val="xl42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52">
    <w:name w:val="xl421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53">
    <w:name w:val="xl4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b/>
      <w:bCs/>
      <w:kern w:val="0"/>
      <w:sz w:val="24"/>
      <w:szCs w:val="24"/>
    </w:rPr>
  </w:style>
  <w:style w:type="paragraph" w:customStyle="1" w:styleId="354">
    <w:name w:val="xl42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kern w:val="0"/>
      <w:sz w:val="24"/>
      <w:szCs w:val="24"/>
    </w:rPr>
  </w:style>
  <w:style w:type="paragraph" w:customStyle="1" w:styleId="355">
    <w:name w:val="xl42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56">
    <w:name w:val="xl42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57">
    <w:name w:val="xl42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color w:val="000000"/>
      <w:kern w:val="0"/>
      <w:sz w:val="24"/>
      <w:szCs w:val="24"/>
    </w:rPr>
  </w:style>
  <w:style w:type="paragraph" w:customStyle="1" w:styleId="358">
    <w:name w:val="xl42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b/>
      <w:bCs/>
      <w:kern w:val="0"/>
      <w:sz w:val="24"/>
      <w:szCs w:val="24"/>
    </w:rPr>
  </w:style>
  <w:style w:type="paragraph" w:customStyle="1" w:styleId="359">
    <w:name w:val="xl4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cs="宋体"/>
      <w:kern w:val="0"/>
      <w:sz w:val="24"/>
      <w:szCs w:val="24"/>
    </w:rPr>
  </w:style>
  <w:style w:type="paragraph" w:customStyle="1" w:styleId="360">
    <w:name w:val="xl42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61">
    <w:name w:val="xl42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62">
    <w:name w:val="xl42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63">
    <w:name w:val="xl4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kern w:val="0"/>
      <w:sz w:val="24"/>
      <w:szCs w:val="24"/>
    </w:rPr>
  </w:style>
  <w:style w:type="paragraph" w:customStyle="1" w:styleId="364">
    <w:name w:val="xl42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color w:val="000000"/>
      <w:kern w:val="0"/>
      <w:sz w:val="24"/>
      <w:szCs w:val="24"/>
    </w:rPr>
  </w:style>
  <w:style w:type="paragraph" w:customStyle="1" w:styleId="365">
    <w:name w:val="xl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cs="宋体"/>
      <w:color w:val="000000"/>
      <w:kern w:val="0"/>
      <w:sz w:val="24"/>
      <w:szCs w:val="24"/>
    </w:rPr>
  </w:style>
  <w:style w:type="paragraph" w:customStyle="1" w:styleId="366">
    <w:name w:val="xl42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367">
    <w:name w:val="xl4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4"/>
      <w:szCs w:val="24"/>
    </w:rPr>
  </w:style>
  <w:style w:type="paragraph" w:customStyle="1" w:styleId="368">
    <w:name w:val="xl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kern w:val="0"/>
      <w:sz w:val="24"/>
      <w:szCs w:val="24"/>
    </w:rPr>
  </w:style>
  <w:style w:type="paragraph" w:customStyle="1" w:styleId="369">
    <w:name w:val="xl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4"/>
      <w:szCs w:val="24"/>
    </w:rPr>
  </w:style>
  <w:style w:type="paragraph" w:customStyle="1" w:styleId="370">
    <w:name w:val="xl423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top"/>
    </w:pPr>
    <w:rPr>
      <w:rFonts w:ascii="Times New Roman" w:hAnsi="Times New Roman"/>
      <w:kern w:val="0"/>
      <w:sz w:val="24"/>
      <w:szCs w:val="24"/>
    </w:rPr>
  </w:style>
  <w:style w:type="paragraph" w:customStyle="1" w:styleId="371">
    <w:name w:val="xl423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szCs w:val="24"/>
    </w:rPr>
  </w:style>
  <w:style w:type="paragraph" w:customStyle="1" w:styleId="372">
    <w:name w:val="xl423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Times New Roman" w:hAnsi="Times New Roman"/>
      <w:kern w:val="0"/>
      <w:sz w:val="24"/>
      <w:szCs w:val="24"/>
    </w:rPr>
  </w:style>
  <w:style w:type="paragraph" w:customStyle="1" w:styleId="373">
    <w:name w:val="xl423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cs="宋体"/>
      <w:kern w:val="0"/>
      <w:sz w:val="24"/>
      <w:szCs w:val="24"/>
    </w:rPr>
  </w:style>
  <w:style w:type="paragraph" w:customStyle="1" w:styleId="374">
    <w:name w:val="xl423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top"/>
    </w:pPr>
    <w:rPr>
      <w:rFonts w:ascii="Times New Roman" w:hAnsi="Times New Roman"/>
      <w:kern w:val="0"/>
      <w:sz w:val="24"/>
      <w:szCs w:val="24"/>
    </w:rPr>
  </w:style>
  <w:style w:type="paragraph" w:customStyle="1" w:styleId="375">
    <w:name w:val="xl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376">
    <w:name w:val="xl4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cs="宋体"/>
      <w:kern w:val="0"/>
      <w:sz w:val="24"/>
      <w:szCs w:val="24"/>
    </w:rPr>
  </w:style>
  <w:style w:type="paragraph" w:customStyle="1" w:styleId="377">
    <w:name w:val="xl423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36"/>
      <w:szCs w:val="36"/>
    </w:rPr>
  </w:style>
  <w:style w:type="paragraph" w:customStyle="1" w:styleId="378">
    <w:name w:val="xl4238"/>
    <w:basedOn w:val="1"/>
    <w:qFormat/>
    <w:uiPriority w:val="0"/>
    <w:pPr>
      <w:widowControl/>
      <w:pBdr>
        <w:top w:val="single" w:color="auto" w:sz="4" w:space="0"/>
        <w:bottom w:val="single" w:color="auto" w:sz="4" w:space="0"/>
      </w:pBdr>
      <w:spacing w:before="100" w:beforeAutospacing="1" w:after="100" w:afterAutospacing="1"/>
      <w:jc w:val="center"/>
    </w:pPr>
    <w:rPr>
      <w:rFonts w:cs="宋体"/>
      <w:b/>
      <w:bCs/>
      <w:kern w:val="0"/>
      <w:sz w:val="36"/>
      <w:szCs w:val="36"/>
    </w:rPr>
  </w:style>
  <w:style w:type="paragraph" w:customStyle="1" w:styleId="379">
    <w:name w:val="xl4188"/>
    <w:basedOn w:val="1"/>
    <w:qFormat/>
    <w:uiPriority w:val="0"/>
    <w:pPr>
      <w:widowControl/>
      <w:shd w:val="clear" w:color="000000" w:fill="C7EDCC"/>
      <w:spacing w:before="100" w:beforeAutospacing="1" w:after="100" w:afterAutospacing="1"/>
      <w:jc w:val="left"/>
    </w:pPr>
    <w:rPr>
      <w:rFonts w:cs="宋体"/>
      <w:kern w:val="0"/>
      <w:sz w:val="20"/>
      <w:szCs w:val="20"/>
    </w:rPr>
  </w:style>
  <w:style w:type="paragraph" w:customStyle="1" w:styleId="380">
    <w:name w:val="xl41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b/>
      <w:bCs/>
      <w:kern w:val="0"/>
      <w:sz w:val="24"/>
      <w:szCs w:val="24"/>
    </w:rPr>
  </w:style>
  <w:style w:type="paragraph" w:customStyle="1" w:styleId="381">
    <w:name w:val="xl4239"/>
    <w:basedOn w:val="1"/>
    <w:qFormat/>
    <w:uiPriority w:val="0"/>
    <w:pPr>
      <w:widowControl/>
      <w:pBdr>
        <w:top w:val="single" w:color="auto" w:sz="4" w:space="0"/>
        <w:bottom w:val="single" w:color="auto" w:sz="4" w:space="0"/>
      </w:pBdr>
      <w:spacing w:before="100" w:beforeAutospacing="1" w:after="100" w:afterAutospacing="1"/>
      <w:jc w:val="center"/>
    </w:pPr>
    <w:rPr>
      <w:rFonts w:cs="宋体"/>
      <w:b/>
      <w:bCs/>
      <w:kern w:val="0"/>
      <w:sz w:val="36"/>
      <w:szCs w:val="36"/>
    </w:rPr>
  </w:style>
  <w:style w:type="paragraph" w:customStyle="1" w:styleId="382">
    <w:name w:val="xl4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4"/>
      <w:szCs w:val="24"/>
    </w:rPr>
  </w:style>
  <w:style w:type="paragraph" w:customStyle="1" w:styleId="383">
    <w:name w:val="xl4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Times New Roman" w:hAnsi="Times New Roman"/>
      <w:kern w:val="0"/>
      <w:sz w:val="24"/>
      <w:szCs w:val="24"/>
    </w:rPr>
  </w:style>
  <w:style w:type="paragraph" w:customStyle="1" w:styleId="384">
    <w:name w:val="xl424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85">
    <w:name w:val="xl424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top"/>
    </w:pPr>
    <w:rPr>
      <w:rFonts w:ascii="Times New Roman" w:hAnsi="Times New Roman"/>
      <w:b/>
      <w:bCs/>
      <w:kern w:val="0"/>
      <w:sz w:val="24"/>
      <w:szCs w:val="24"/>
    </w:rPr>
  </w:style>
  <w:style w:type="paragraph" w:customStyle="1" w:styleId="386">
    <w:name w:val="xl424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36"/>
      <w:szCs w:val="36"/>
    </w:rPr>
  </w:style>
  <w:style w:type="paragraph" w:customStyle="1" w:styleId="387">
    <w:name w:val="xl4245"/>
    <w:basedOn w:val="1"/>
    <w:qFormat/>
    <w:uiPriority w:val="0"/>
    <w:pPr>
      <w:widowControl/>
      <w:pBdr>
        <w:top w:val="single" w:color="auto" w:sz="4" w:space="0"/>
        <w:bottom w:val="single" w:color="auto" w:sz="4" w:space="0"/>
      </w:pBdr>
      <w:spacing w:before="100" w:beforeAutospacing="1" w:after="100" w:afterAutospacing="1"/>
      <w:jc w:val="center"/>
    </w:pPr>
    <w:rPr>
      <w:rFonts w:cs="宋体"/>
      <w:b/>
      <w:bCs/>
      <w:kern w:val="0"/>
      <w:sz w:val="36"/>
      <w:szCs w:val="36"/>
    </w:rPr>
  </w:style>
  <w:style w:type="paragraph" w:customStyle="1" w:styleId="388">
    <w:name w:val="标题2"/>
    <w:basedOn w:val="3"/>
    <w:qFormat/>
    <w:uiPriority w:val="0"/>
    <w:pPr>
      <w:numPr>
        <w:ilvl w:val="1"/>
        <w:numId w:val="12"/>
      </w:numPr>
      <w:adjustRightInd w:val="0"/>
      <w:snapToGrid w:val="0"/>
      <w:spacing w:before="100" w:beforeAutospacing="1" w:line="360" w:lineRule="auto"/>
      <w:textAlignment w:val="baseline"/>
    </w:pPr>
    <w:rPr>
      <w:rFonts w:ascii="Times New Roman" w:hAnsi="Times New Roman"/>
      <w:szCs w:val="32"/>
    </w:rPr>
  </w:style>
  <w:style w:type="paragraph" w:customStyle="1" w:styleId="389">
    <w:name w:val="正文编号"/>
    <w:basedOn w:val="1"/>
    <w:qFormat/>
    <w:uiPriority w:val="0"/>
    <w:pPr>
      <w:widowControl/>
      <w:adjustRightInd w:val="0"/>
      <w:spacing w:line="360" w:lineRule="auto"/>
      <w:ind w:firstLine="480" w:firstLineChars="200"/>
      <w:jc w:val="left"/>
      <w:textAlignment w:val="baseline"/>
    </w:pPr>
    <w:rPr>
      <w:rFonts w:ascii="Calibri" w:hAnsi="Calibri"/>
      <w:snapToGrid w:val="0"/>
      <w:kern w:val="0"/>
      <w:sz w:val="24"/>
      <w:szCs w:val="22"/>
    </w:rPr>
  </w:style>
  <w:style w:type="paragraph" w:customStyle="1" w:styleId="390">
    <w:name w:val="彩色列表 - 强调文字颜色 11"/>
    <w:basedOn w:val="1"/>
    <w:qFormat/>
    <w:uiPriority w:val="34"/>
    <w:pPr>
      <w:numPr>
        <w:ilvl w:val="1"/>
        <w:numId w:val="13"/>
      </w:numPr>
      <w:spacing w:line="480" w:lineRule="exact"/>
    </w:pPr>
    <w:rPr>
      <w:rFonts w:ascii="Times New Roman" w:hAnsi="Times New Roman"/>
      <w:szCs w:val="24"/>
    </w:rPr>
  </w:style>
  <w:style w:type="character" w:customStyle="1" w:styleId="391">
    <w:name w:val="font121"/>
    <w:basedOn w:val="58"/>
    <w:qFormat/>
    <w:uiPriority w:val="0"/>
    <w:rPr>
      <w:rFonts w:hint="eastAsia" w:ascii="宋体" w:hAnsi="宋体" w:eastAsia="宋体" w:cs="宋体"/>
      <w:color w:val="000000"/>
      <w:sz w:val="16"/>
      <w:szCs w:val="16"/>
      <w:u w:val="none"/>
    </w:rPr>
  </w:style>
  <w:style w:type="character" w:customStyle="1" w:styleId="392">
    <w:name w:val="font71"/>
    <w:basedOn w:val="58"/>
    <w:qFormat/>
    <w:uiPriority w:val="0"/>
    <w:rPr>
      <w:rFonts w:hint="default" w:ascii="Times New Roman" w:hAnsi="Times New Roman" w:cs="Times New Roman"/>
      <w:b/>
      <w:color w:val="000000"/>
      <w:sz w:val="16"/>
      <w:szCs w:val="16"/>
      <w:u w:val="none"/>
    </w:rPr>
  </w:style>
  <w:style w:type="character" w:customStyle="1" w:styleId="393">
    <w:name w:val="font41"/>
    <w:basedOn w:val="58"/>
    <w:qFormat/>
    <w:uiPriority w:val="0"/>
    <w:rPr>
      <w:rFonts w:hint="eastAsia" w:ascii="宋体" w:hAnsi="宋体" w:eastAsia="宋体" w:cs="宋体"/>
      <w:color w:val="000000"/>
      <w:sz w:val="16"/>
      <w:szCs w:val="16"/>
      <w:u w:val="none"/>
    </w:rPr>
  </w:style>
  <w:style w:type="character" w:customStyle="1" w:styleId="394">
    <w:name w:val="font81"/>
    <w:basedOn w:val="58"/>
    <w:qFormat/>
    <w:uiPriority w:val="0"/>
    <w:rPr>
      <w:rFonts w:hint="default" w:ascii="Times New Roman" w:hAnsi="Times New Roman" w:cs="Times New Roman"/>
      <w:color w:val="000000"/>
      <w:sz w:val="16"/>
      <w:szCs w:val="16"/>
      <w:u w:val="none"/>
    </w:rPr>
  </w:style>
  <w:style w:type="paragraph" w:customStyle="1" w:styleId="395">
    <w:name w:val="_Style 6"/>
    <w:basedOn w:val="1"/>
    <w:qFormat/>
    <w:uiPriority w:val="34"/>
    <w:pPr>
      <w:adjustRightInd w:val="0"/>
      <w:spacing w:line="312" w:lineRule="atLeast"/>
      <w:ind w:firstLine="420" w:firstLineChars="200"/>
      <w:textAlignment w:val="baseline"/>
    </w:pPr>
    <w:rPr>
      <w:rFonts w:ascii="Times New Roman" w:hAnsi="Times New Roman"/>
      <w:kern w:val="0"/>
      <w:szCs w:val="20"/>
    </w:rPr>
  </w:style>
  <w:style w:type="paragraph" w:customStyle="1" w:styleId="396">
    <w:name w:val="弱电样2"/>
    <w:basedOn w:val="5"/>
    <w:next w:val="1"/>
    <w:link w:val="397"/>
    <w:qFormat/>
    <w:uiPriority w:val="0"/>
    <w:pPr>
      <w:numPr>
        <w:ilvl w:val="0"/>
        <w:numId w:val="0"/>
      </w:numPr>
      <w:tabs>
        <w:tab w:val="clear" w:pos="432"/>
      </w:tabs>
      <w:adjustRightInd/>
      <w:snapToGrid/>
      <w:spacing w:before="240" w:after="120" w:line="360" w:lineRule="auto"/>
      <w:ind w:left="992" w:hanging="567"/>
    </w:pPr>
    <w:rPr>
      <w:rFonts w:ascii="黑体" w:hAnsi="Cambria" w:eastAsia="宋体"/>
      <w:sz w:val="30"/>
    </w:rPr>
  </w:style>
  <w:style w:type="character" w:customStyle="1" w:styleId="397">
    <w:name w:val="弱电样2 Char"/>
    <w:link w:val="396"/>
    <w:qFormat/>
    <w:uiPriority w:val="0"/>
    <w:rPr>
      <w:rFonts w:ascii="黑体" w:hAnsi="Cambria"/>
      <w:b/>
      <w:bCs/>
      <w:kern w:val="2"/>
      <w:sz w:val="30"/>
      <w:szCs w:val="32"/>
    </w:rPr>
  </w:style>
  <w:style w:type="paragraph" w:customStyle="1" w:styleId="398">
    <w:name w:val="弱电正文编号1"/>
    <w:basedOn w:val="72"/>
    <w:next w:val="72"/>
    <w:link w:val="399"/>
    <w:qFormat/>
    <w:uiPriority w:val="0"/>
    <w:pPr>
      <w:widowControl w:val="0"/>
      <w:numPr>
        <w:ilvl w:val="0"/>
        <w:numId w:val="14"/>
      </w:numPr>
      <w:ind w:left="567" w:firstLine="0" w:firstLineChars="0"/>
      <w:jc w:val="both"/>
    </w:pPr>
    <w:rPr>
      <w:lang w:val="en-US"/>
    </w:rPr>
  </w:style>
  <w:style w:type="character" w:customStyle="1" w:styleId="399">
    <w:name w:val="弱电正文编号1 Char"/>
    <w:link w:val="398"/>
    <w:qFormat/>
    <w:uiPriority w:val="0"/>
    <w:rPr>
      <w:rFonts w:ascii="Calibri" w:hAnsi="Calibri"/>
      <w:kern w:val="2"/>
      <w:sz w:val="24"/>
      <w:szCs w:val="22"/>
    </w:rPr>
  </w:style>
  <w:style w:type="paragraph" w:customStyle="1" w:styleId="400">
    <w:name w:val="样式 标书正文"/>
    <w:basedOn w:val="1"/>
    <w:link w:val="401"/>
    <w:qFormat/>
    <w:uiPriority w:val="0"/>
    <w:pPr>
      <w:spacing w:line="360" w:lineRule="auto"/>
      <w:ind w:firstLine="200" w:firstLineChars="200"/>
    </w:pPr>
    <w:rPr>
      <w:rFonts w:hAnsi="Times New Roman"/>
      <w:sz w:val="24"/>
      <w:szCs w:val="20"/>
    </w:rPr>
  </w:style>
  <w:style w:type="character" w:customStyle="1" w:styleId="401">
    <w:name w:val="样式 标书正文 Char"/>
    <w:link w:val="400"/>
    <w:qFormat/>
    <w:uiPriority w:val="0"/>
    <w:rPr>
      <w:rFonts w:ascii="宋体"/>
      <w:kern w:val="2"/>
      <w:sz w:val="24"/>
    </w:rPr>
  </w:style>
  <w:style w:type="paragraph" w:customStyle="1" w:styleId="402">
    <w:name w:val="样式 首行缩进:  0 字符"/>
    <w:basedOn w:val="1"/>
    <w:link w:val="403"/>
    <w:qFormat/>
    <w:uiPriority w:val="0"/>
    <w:pPr>
      <w:spacing w:line="360" w:lineRule="auto"/>
      <w:ind w:firstLine="200" w:firstLineChars="200"/>
    </w:pPr>
    <w:rPr>
      <w:rFonts w:ascii="Times New Roman" w:hAnsi="Times New Roman" w:cs="宋体"/>
      <w:sz w:val="24"/>
      <w:szCs w:val="20"/>
    </w:rPr>
  </w:style>
  <w:style w:type="character" w:customStyle="1" w:styleId="403">
    <w:name w:val="样式 首行缩进:  0 字符 Char"/>
    <w:link w:val="402"/>
    <w:qFormat/>
    <w:locked/>
    <w:uiPriority w:val="0"/>
    <w:rPr>
      <w:rFonts w:cs="宋体"/>
      <w:kern w:val="2"/>
      <w:sz w:val="24"/>
    </w:rPr>
  </w:style>
  <w:style w:type="paragraph" w:customStyle="1" w:styleId="404">
    <w:name w:val="列出段落2"/>
    <w:basedOn w:val="1"/>
    <w:qFormat/>
    <w:uiPriority w:val="0"/>
    <w:pPr>
      <w:ind w:firstLine="420" w:firstLineChars="200"/>
    </w:pPr>
    <w:rPr>
      <w:rFonts w:ascii="Calibri" w:hAnsi="Calibri"/>
      <w:szCs w:val="22"/>
    </w:rPr>
  </w:style>
  <w:style w:type="paragraph" w:customStyle="1" w:styleId="405">
    <w:name w:val="标准正文"/>
    <w:basedOn w:val="1"/>
    <w:link w:val="406"/>
    <w:qFormat/>
    <w:uiPriority w:val="0"/>
    <w:pPr>
      <w:widowControl/>
      <w:spacing w:line="360" w:lineRule="auto"/>
      <w:ind w:firstLine="200" w:firstLineChars="200"/>
      <w:jc w:val="left"/>
    </w:pPr>
    <w:rPr>
      <w:rFonts w:ascii="Times New Roman" w:hAnsi="Times New Roman"/>
      <w:sz w:val="24"/>
      <w:szCs w:val="20"/>
    </w:rPr>
  </w:style>
  <w:style w:type="character" w:customStyle="1" w:styleId="406">
    <w:name w:val="标准正文 Char"/>
    <w:link w:val="405"/>
    <w:qFormat/>
    <w:locked/>
    <w:uiPriority w:val="0"/>
    <w:rPr>
      <w:kern w:val="2"/>
      <w:sz w:val="24"/>
    </w:rPr>
  </w:style>
  <w:style w:type="paragraph" w:customStyle="1" w:styleId="407">
    <w:name w:val="正文1"/>
    <w:basedOn w:val="1"/>
    <w:link w:val="408"/>
    <w:qFormat/>
    <w:uiPriority w:val="0"/>
    <w:pPr>
      <w:adjustRightInd w:val="0"/>
      <w:spacing w:line="360" w:lineRule="atLeast"/>
      <w:jc w:val="left"/>
      <w:textAlignment w:val="baseline"/>
    </w:pPr>
    <w:rPr>
      <w:rFonts w:hAnsi="微软雅黑"/>
      <w:kern w:val="0"/>
      <w:sz w:val="24"/>
      <w:szCs w:val="20"/>
      <w:lang w:val="zh-CN"/>
    </w:rPr>
  </w:style>
  <w:style w:type="character" w:customStyle="1" w:styleId="408">
    <w:name w:val="正文1 Char Char"/>
    <w:link w:val="407"/>
    <w:qFormat/>
    <w:uiPriority w:val="0"/>
    <w:rPr>
      <w:rFonts w:ascii="宋体" w:hAnsi="微软雅黑"/>
      <w:sz w:val="24"/>
      <w:lang w:val="zh-CN"/>
    </w:rPr>
  </w:style>
  <w:style w:type="paragraph" w:customStyle="1" w:styleId="409">
    <w:name w:val="标书正文格式"/>
    <w:link w:val="410"/>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410">
    <w:name w:val="标书正文格式 Char"/>
    <w:link w:val="409"/>
    <w:qFormat/>
    <w:uiPriority w:val="0"/>
    <w:rPr>
      <w:rFonts w:eastAsia="楷体_GB2312"/>
      <w:kern w:val="2"/>
      <w:sz w:val="24"/>
      <w:szCs w:val="24"/>
    </w:rPr>
  </w:style>
  <w:style w:type="paragraph" w:customStyle="1" w:styleId="411">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kern w:val="0"/>
      <w:sz w:val="24"/>
      <w:szCs w:val="24"/>
    </w:rPr>
  </w:style>
  <w:style w:type="paragraph" w:customStyle="1" w:styleId="412">
    <w:name w:val="xl64"/>
    <w:basedOn w:val="1"/>
    <w:qFormat/>
    <w:uiPriority w:val="0"/>
    <w:pPr>
      <w:widowControl/>
      <w:spacing w:before="100" w:beforeAutospacing="1" w:after="100" w:afterAutospacing="1"/>
      <w:jc w:val="center"/>
    </w:pPr>
    <w:rPr>
      <w:rFonts w:cs="宋体"/>
      <w:kern w:val="0"/>
      <w:sz w:val="24"/>
      <w:szCs w:val="24"/>
    </w:rPr>
  </w:style>
  <w:style w:type="paragraph" w:customStyle="1" w:styleId="41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kern w:val="0"/>
      <w:sz w:val="24"/>
      <w:szCs w:val="24"/>
    </w:rPr>
  </w:style>
  <w:style w:type="paragraph" w:customStyle="1" w:styleId="414">
    <w:name w:val="xl6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szCs w:val="24"/>
    </w:rPr>
  </w:style>
  <w:style w:type="paragraph" w:customStyle="1" w:styleId="415">
    <w:name w:val="xl67"/>
    <w:basedOn w:val="1"/>
    <w:qFormat/>
    <w:uiPriority w:val="0"/>
    <w:pPr>
      <w:widowControl/>
      <w:pBdr>
        <w:left w:val="single" w:color="auto" w:sz="4" w:space="0"/>
        <w:right w:val="single" w:color="auto" w:sz="4" w:space="0"/>
      </w:pBdr>
      <w:spacing w:before="100" w:beforeAutospacing="1" w:after="100" w:afterAutospacing="1"/>
      <w:jc w:val="center"/>
    </w:pPr>
    <w:rPr>
      <w:rFonts w:cs="宋体"/>
      <w:kern w:val="0"/>
      <w:sz w:val="24"/>
      <w:szCs w:val="24"/>
    </w:rPr>
  </w:style>
  <w:style w:type="paragraph" w:customStyle="1" w:styleId="416">
    <w:name w:val="标题3"/>
    <w:basedOn w:val="5"/>
    <w:link w:val="417"/>
    <w:qFormat/>
    <w:uiPriority w:val="0"/>
    <w:pPr>
      <w:numPr>
        <w:ilvl w:val="0"/>
        <w:numId w:val="0"/>
      </w:numPr>
      <w:tabs>
        <w:tab w:val="clear" w:pos="432"/>
      </w:tabs>
      <w:adjustRightInd/>
      <w:snapToGrid/>
      <w:spacing w:line="360" w:lineRule="auto"/>
    </w:pPr>
    <w:rPr>
      <w:rFonts w:ascii="Times New Roman" w:hAnsi="Times New Roman" w:eastAsia="宋体"/>
      <w:sz w:val="24"/>
      <w:szCs w:val="24"/>
    </w:rPr>
  </w:style>
  <w:style w:type="character" w:customStyle="1" w:styleId="417">
    <w:name w:val="标题3 Char"/>
    <w:link w:val="416"/>
    <w:qFormat/>
    <w:uiPriority w:val="0"/>
    <w:rPr>
      <w:kern w:val="2"/>
      <w:sz w:val="24"/>
      <w:szCs w:val="24"/>
    </w:rPr>
  </w:style>
  <w:style w:type="character" w:customStyle="1" w:styleId="418">
    <w:name w:val="jiange1"/>
    <w:qFormat/>
    <w:uiPriority w:val="0"/>
    <w:rPr>
      <w:rFonts w:eastAsia="宋体"/>
      <w:kern w:val="2"/>
      <w:sz w:val="24"/>
      <w:szCs w:val="24"/>
      <w:lang w:val="en-US" w:eastAsia="zh-CN" w:bidi="ar-SA"/>
    </w:rPr>
  </w:style>
  <w:style w:type="paragraph" w:customStyle="1" w:styleId="419">
    <w:name w:val="msonormal"/>
    <w:basedOn w:val="1"/>
    <w:qFormat/>
    <w:uiPriority w:val="0"/>
    <w:pPr>
      <w:widowControl/>
      <w:spacing w:before="100" w:beforeAutospacing="1" w:after="100" w:afterAutospacing="1"/>
      <w:jc w:val="left"/>
    </w:pPr>
    <w:rPr>
      <w:rFonts w:cs="宋体"/>
      <w:kern w:val="0"/>
      <w:sz w:val="24"/>
      <w:szCs w:val="24"/>
    </w:rPr>
  </w:style>
  <w:style w:type="character" w:customStyle="1" w:styleId="420">
    <w:name w:val="font91"/>
    <w:basedOn w:val="58"/>
    <w:qFormat/>
    <w:uiPriority w:val="0"/>
    <w:rPr>
      <w:rFonts w:hint="eastAsia" w:ascii="宋体" w:hAnsi="宋体" w:eastAsia="宋体" w:cs="宋体"/>
      <w:color w:val="FF0000"/>
      <w:sz w:val="21"/>
      <w:szCs w:val="21"/>
      <w:u w:val="none"/>
    </w:rPr>
  </w:style>
  <w:style w:type="character" w:customStyle="1" w:styleId="421">
    <w:name w:val="正文文本缩进 Char"/>
    <w:basedOn w:val="58"/>
    <w:qFormat/>
    <w:uiPriority w:val="0"/>
    <w:rPr>
      <w:rFonts w:ascii="宋体" w:hAnsi="宋体"/>
      <w:kern w:val="2"/>
      <w:sz w:val="21"/>
      <w:szCs w:val="21"/>
      <w:lang w:val="zh-CN"/>
    </w:rPr>
  </w:style>
  <w:style w:type="character" w:customStyle="1" w:styleId="422">
    <w:name w:val="正文首行缩进 2 Char"/>
    <w:basedOn w:val="421"/>
    <w:qFormat/>
    <w:uiPriority w:val="0"/>
    <w:rPr>
      <w:rFonts w:ascii="宋体" w:hAnsi="宋体"/>
      <w:kern w:val="2"/>
      <w:sz w:val="21"/>
      <w:szCs w:val="21"/>
      <w:lang w:val="zh-CN"/>
    </w:rPr>
  </w:style>
  <w:style w:type="paragraph" w:customStyle="1" w:styleId="423">
    <w:name w:val="表格1"/>
    <w:qFormat/>
    <w:uiPriority w:val="0"/>
    <w:pPr>
      <w:jc w:val="center"/>
    </w:pPr>
    <w:rPr>
      <w:rFonts w:ascii="宋体" w:hAnsi="宋体" w:eastAsia="宋体" w:cs="宋体"/>
      <w:bCs/>
      <w:color w:val="000000"/>
      <w:sz w:val="21"/>
      <w:szCs w:val="21"/>
      <w:lang w:val="en-US" w:eastAsia="zh-CN" w:bidi="ar-SA"/>
    </w:rPr>
  </w:style>
  <w:style w:type="character" w:customStyle="1" w:styleId="424">
    <w:name w:val="标题 2 Char1"/>
    <w:qFormat/>
    <w:uiPriority w:val="0"/>
    <w:rPr>
      <w:rFonts w:ascii="宋体" w:hAnsi="宋体"/>
      <w:b/>
      <w:bCs/>
      <w:kern w:val="2"/>
      <w:sz w:val="28"/>
      <w:szCs w:val="28"/>
    </w:rPr>
  </w:style>
  <w:style w:type="character" w:customStyle="1" w:styleId="425">
    <w:name w:val="纯文本 Char2"/>
    <w:qFormat/>
    <w:uiPriority w:val="0"/>
    <w:rPr>
      <w:rFonts w:ascii="宋体" w:hAnsi="Courier New"/>
      <w:kern w:val="2"/>
      <w:sz w:val="21"/>
    </w:rPr>
  </w:style>
  <w:style w:type="character" w:customStyle="1" w:styleId="426">
    <w:name w:val="标题 Char"/>
    <w:qFormat/>
    <w:uiPriority w:val="0"/>
    <w:rPr>
      <w:rFonts w:ascii="MS Sans Serif" w:hAnsi="MS Sans Serif" w:eastAsia="新宋体"/>
      <w:b/>
      <w:bCs/>
      <w:kern w:val="2"/>
      <w:sz w:val="32"/>
      <w:szCs w:val="32"/>
    </w:rPr>
  </w:style>
  <w:style w:type="character" w:customStyle="1" w:styleId="427">
    <w:name w:val="h3 Char"/>
    <w:qFormat/>
    <w:uiPriority w:val="0"/>
    <w:rPr>
      <w:rFonts w:ascii="Times New Roman" w:hAnsi="Times New Roman"/>
      <w:b/>
      <w:sz w:val="28"/>
    </w:rPr>
  </w:style>
  <w:style w:type="character" w:customStyle="1" w:styleId="428">
    <w:name w:val="“上标”样式"/>
    <w:qFormat/>
    <w:uiPriority w:val="0"/>
    <w:rPr>
      <w:rFonts w:hint="default" w:ascii="Times New Roman" w:hAnsi="Times New Roman" w:eastAsia="宋体" w:cs="Times New Roman"/>
      <w:sz w:val="24"/>
      <w:vertAlign w:val="superscript"/>
    </w:rPr>
  </w:style>
  <w:style w:type="character" w:customStyle="1" w:styleId="429">
    <w:name w:val="样式 正文缩进正文（首行缩进两字）正文对齐正文（首行缩进两字） Char Char中文正文正文（首行缩进两字） Cha... Char"/>
    <w:link w:val="430"/>
    <w:qFormat/>
    <w:uiPriority w:val="0"/>
    <w:rPr>
      <w:rFonts w:eastAsia="仿宋_GB2312"/>
      <w:sz w:val="30"/>
      <w:szCs w:val="24"/>
    </w:rPr>
  </w:style>
  <w:style w:type="paragraph" w:customStyle="1" w:styleId="430">
    <w:name w:val="样式 正文缩进正文（首行缩进两字）正文对齐正文（首行缩进两字） Char Char中文正文正文（首行缩进两字） Cha..."/>
    <w:basedOn w:val="15"/>
    <w:link w:val="429"/>
    <w:qFormat/>
    <w:uiPriority w:val="0"/>
    <w:pPr>
      <w:ind w:firstLine="200" w:firstLineChars="200"/>
    </w:pPr>
    <w:rPr>
      <w:rFonts w:ascii="Times New Roman" w:hAnsi="Times New Roman" w:eastAsia="仿宋_GB2312"/>
      <w:kern w:val="0"/>
      <w:sz w:val="30"/>
      <w:szCs w:val="24"/>
    </w:rPr>
  </w:style>
  <w:style w:type="character" w:customStyle="1" w:styleId="431">
    <w:name w:val="正文文本 2 Char"/>
    <w:qFormat/>
    <w:uiPriority w:val="0"/>
    <w:rPr>
      <w:szCs w:val="24"/>
    </w:rPr>
  </w:style>
  <w:style w:type="character" w:customStyle="1" w:styleId="432">
    <w:name w:val="正文文本 2 字符1"/>
    <w:basedOn w:val="58"/>
    <w:qFormat/>
    <w:uiPriority w:val="0"/>
    <w:rPr>
      <w:rFonts w:ascii="宋体" w:hAnsi="宋体"/>
      <w:kern w:val="2"/>
      <w:sz w:val="21"/>
      <w:szCs w:val="21"/>
    </w:rPr>
  </w:style>
  <w:style w:type="character" w:customStyle="1" w:styleId="433">
    <w:name w:val="称呼 Char"/>
    <w:qFormat/>
    <w:uiPriority w:val="0"/>
    <w:rPr>
      <w:kern w:val="2"/>
      <w:sz w:val="21"/>
      <w:szCs w:val="24"/>
    </w:rPr>
  </w:style>
  <w:style w:type="character" w:customStyle="1" w:styleId="434">
    <w:name w:val="称呼 字符1"/>
    <w:basedOn w:val="58"/>
    <w:qFormat/>
    <w:uiPriority w:val="0"/>
    <w:rPr>
      <w:rFonts w:ascii="宋体" w:hAnsi="宋体"/>
      <w:kern w:val="2"/>
      <w:sz w:val="21"/>
      <w:szCs w:val="21"/>
    </w:rPr>
  </w:style>
  <w:style w:type="character" w:customStyle="1" w:styleId="435">
    <w:name w:val="设计正文 Char"/>
    <w:qFormat/>
    <w:uiPriority w:val="0"/>
    <w:rPr>
      <w:rFonts w:ascii="仿宋_GB2312" w:eastAsia="仿宋_GB2312" w:cs="宋体"/>
      <w:kern w:val="2"/>
      <w:sz w:val="24"/>
      <w:lang w:val="en-US" w:eastAsia="zh-CN" w:bidi="ar-SA"/>
    </w:rPr>
  </w:style>
  <w:style w:type="character" w:customStyle="1" w:styleId="436">
    <w:name w:val="正文文字首行缩进 Char"/>
    <w:qFormat/>
    <w:uiPriority w:val="0"/>
    <w:rPr>
      <w:rFonts w:ascii="宋体" w:hAnsi="宋体" w:eastAsia="宋体"/>
      <w:sz w:val="24"/>
      <w:szCs w:val="24"/>
      <w:lang w:val="en-US" w:eastAsia="zh-CN" w:bidi="ar-SA"/>
    </w:rPr>
  </w:style>
  <w:style w:type="character" w:customStyle="1" w:styleId="437">
    <w:name w:val="样式 加粗"/>
    <w:qFormat/>
    <w:uiPriority w:val="0"/>
    <w:rPr>
      <w:b/>
      <w:bCs/>
    </w:rPr>
  </w:style>
  <w:style w:type="character" w:customStyle="1" w:styleId="438">
    <w:name w:val="样式1 Char"/>
    <w:qFormat/>
    <w:uiPriority w:val="0"/>
    <w:rPr>
      <w:rFonts w:ascii="宋体" w:hAnsi="宋体" w:eastAsia="宋体"/>
      <w:b/>
      <w:kern w:val="2"/>
      <w:sz w:val="24"/>
      <w:lang w:val="en-US" w:eastAsia="zh-CN" w:bidi="ar-SA"/>
    </w:rPr>
  </w:style>
  <w:style w:type="character" w:customStyle="1" w:styleId="439">
    <w:name w:val="正文文本缩进 3 Char"/>
    <w:qFormat/>
    <w:uiPriority w:val="0"/>
    <w:rPr>
      <w:sz w:val="16"/>
      <w:szCs w:val="16"/>
    </w:rPr>
  </w:style>
  <w:style w:type="character" w:customStyle="1" w:styleId="440">
    <w:name w:val="正文文本缩进 3 字符1"/>
    <w:basedOn w:val="58"/>
    <w:qFormat/>
    <w:uiPriority w:val="0"/>
    <w:rPr>
      <w:rFonts w:ascii="宋体" w:hAnsi="宋体"/>
      <w:kern w:val="2"/>
      <w:sz w:val="16"/>
      <w:szCs w:val="16"/>
    </w:rPr>
  </w:style>
  <w:style w:type="character" w:customStyle="1" w:styleId="441">
    <w:name w:val="unnamed1"/>
    <w:basedOn w:val="58"/>
    <w:qFormat/>
    <w:uiPriority w:val="0"/>
  </w:style>
  <w:style w:type="character" w:customStyle="1" w:styleId="442">
    <w:name w:val="尾注文本 Char"/>
    <w:qFormat/>
    <w:uiPriority w:val="0"/>
    <w:rPr>
      <w:kern w:val="2"/>
      <w:sz w:val="24"/>
      <w:szCs w:val="24"/>
    </w:rPr>
  </w:style>
  <w:style w:type="character" w:customStyle="1" w:styleId="443">
    <w:name w:val="尾注文本 字符1"/>
    <w:basedOn w:val="58"/>
    <w:qFormat/>
    <w:uiPriority w:val="0"/>
    <w:rPr>
      <w:rFonts w:ascii="宋体" w:hAnsi="宋体"/>
      <w:kern w:val="2"/>
      <w:sz w:val="21"/>
      <w:szCs w:val="21"/>
    </w:rPr>
  </w:style>
  <w:style w:type="character" w:customStyle="1" w:styleId="444">
    <w:name w:val="正 文 1 Char Char"/>
    <w:qFormat/>
    <w:uiPriority w:val="0"/>
    <w:rPr>
      <w:rFonts w:ascii="宋体" w:hAnsi="Courier New" w:eastAsia="宋体"/>
      <w:sz w:val="24"/>
      <w:lang w:val="en-US" w:eastAsia="zh-CN" w:bidi="ar-SA"/>
    </w:rPr>
  </w:style>
  <w:style w:type="character" w:customStyle="1" w:styleId="445">
    <w:name w:val="样式4缩 Char"/>
    <w:link w:val="446"/>
    <w:qFormat/>
    <w:uiPriority w:val="0"/>
    <w:rPr>
      <w:rFonts w:ascii="宋体" w:hAnsi="宋体"/>
      <w:sz w:val="24"/>
      <w:szCs w:val="24"/>
    </w:rPr>
  </w:style>
  <w:style w:type="paragraph" w:customStyle="1" w:styleId="446">
    <w:name w:val="样式4缩"/>
    <w:basedOn w:val="1"/>
    <w:next w:val="1"/>
    <w:link w:val="445"/>
    <w:qFormat/>
    <w:uiPriority w:val="0"/>
    <w:pPr>
      <w:spacing w:line="360" w:lineRule="auto"/>
      <w:ind w:firstLine="200" w:firstLineChars="200"/>
      <w:jc w:val="left"/>
    </w:pPr>
    <w:rPr>
      <w:kern w:val="0"/>
      <w:sz w:val="24"/>
      <w:szCs w:val="24"/>
    </w:rPr>
  </w:style>
  <w:style w:type="character" w:customStyle="1" w:styleId="447">
    <w:name w:val="脚注文本 Char"/>
    <w:qFormat/>
    <w:uiPriority w:val="0"/>
    <w:rPr>
      <w:kern w:val="2"/>
      <w:sz w:val="18"/>
      <w:szCs w:val="18"/>
    </w:rPr>
  </w:style>
  <w:style w:type="character" w:customStyle="1" w:styleId="448">
    <w:name w:val="脚注文本 字符1"/>
    <w:basedOn w:val="58"/>
    <w:qFormat/>
    <w:uiPriority w:val="0"/>
    <w:rPr>
      <w:rFonts w:ascii="宋体" w:hAnsi="宋体"/>
      <w:kern w:val="2"/>
      <w:sz w:val="18"/>
      <w:szCs w:val="18"/>
    </w:rPr>
  </w:style>
  <w:style w:type="character" w:customStyle="1" w:styleId="449">
    <w:name w:val="封面“EPC联合体”中文文字 Char Char"/>
    <w:link w:val="450"/>
    <w:semiHidden/>
    <w:qFormat/>
    <w:uiPriority w:val="0"/>
    <w:rPr>
      <w:rFonts w:hAnsi="宋体"/>
      <w:b/>
      <w:sz w:val="32"/>
      <w:szCs w:val="32"/>
    </w:rPr>
  </w:style>
  <w:style w:type="paragraph" w:customStyle="1" w:styleId="450">
    <w:name w:val="封面“EPC联合体”中文文字"/>
    <w:basedOn w:val="451"/>
    <w:link w:val="449"/>
    <w:semiHidden/>
    <w:qFormat/>
    <w:uiPriority w:val="0"/>
    <w:pPr>
      <w:ind w:firstLine="0" w:firstLineChars="0"/>
      <w:jc w:val="center"/>
    </w:pPr>
    <w:rPr>
      <w:rFonts w:hAnsi="宋体"/>
      <w:b/>
      <w:sz w:val="32"/>
      <w:szCs w:val="32"/>
    </w:rPr>
  </w:style>
  <w:style w:type="paragraph" w:customStyle="1" w:styleId="451">
    <w:name w:val="正文文字样式"/>
    <w:basedOn w:val="1"/>
    <w:link w:val="452"/>
    <w:qFormat/>
    <w:uiPriority w:val="0"/>
    <w:pPr>
      <w:spacing w:line="480" w:lineRule="exact"/>
      <w:ind w:firstLine="480" w:firstLineChars="200"/>
    </w:pPr>
    <w:rPr>
      <w:rFonts w:ascii="Times New Roman" w:hAnsi="Times New Roman"/>
      <w:kern w:val="0"/>
      <w:sz w:val="24"/>
      <w:szCs w:val="24"/>
    </w:rPr>
  </w:style>
  <w:style w:type="character" w:customStyle="1" w:styleId="452">
    <w:name w:val="正文文字样式 Char Char"/>
    <w:link w:val="451"/>
    <w:qFormat/>
    <w:uiPriority w:val="0"/>
    <w:rPr>
      <w:sz w:val="24"/>
      <w:szCs w:val="24"/>
    </w:rPr>
  </w:style>
  <w:style w:type="character" w:customStyle="1" w:styleId="453">
    <w:name w:val="标题 1 Char1"/>
    <w:qFormat/>
    <w:uiPriority w:val="0"/>
    <w:rPr>
      <w:rFonts w:ascii="Times New Roman" w:hAnsi="Times New Roman"/>
      <w:b/>
      <w:bCs/>
      <w:kern w:val="44"/>
      <w:sz w:val="30"/>
      <w:szCs w:val="30"/>
    </w:rPr>
  </w:style>
  <w:style w:type="character" w:customStyle="1" w:styleId="454">
    <w:name w:val="正文文本缩进 2 Char"/>
    <w:qFormat/>
    <w:uiPriority w:val="0"/>
  </w:style>
  <w:style w:type="character" w:customStyle="1" w:styleId="455">
    <w:name w:val="正文文本缩进 2 字符1"/>
    <w:basedOn w:val="58"/>
    <w:qFormat/>
    <w:uiPriority w:val="0"/>
    <w:rPr>
      <w:rFonts w:ascii="宋体" w:hAnsi="宋体"/>
      <w:kern w:val="2"/>
      <w:sz w:val="21"/>
      <w:szCs w:val="21"/>
    </w:rPr>
  </w:style>
  <w:style w:type="character" w:customStyle="1" w:styleId="456">
    <w:name w:val="正文文本 3 Char"/>
    <w:qFormat/>
    <w:uiPriority w:val="0"/>
    <w:rPr>
      <w:sz w:val="16"/>
      <w:szCs w:val="16"/>
    </w:rPr>
  </w:style>
  <w:style w:type="character" w:customStyle="1" w:styleId="457">
    <w:name w:val="正文文本 3 字符1"/>
    <w:basedOn w:val="58"/>
    <w:qFormat/>
    <w:uiPriority w:val="0"/>
    <w:rPr>
      <w:rFonts w:ascii="宋体" w:hAnsi="宋体"/>
      <w:kern w:val="2"/>
      <w:sz w:val="16"/>
      <w:szCs w:val="16"/>
    </w:rPr>
  </w:style>
  <w:style w:type="character" w:customStyle="1" w:styleId="458">
    <w:name w:val="纯文本 Char1"/>
    <w:qFormat/>
    <w:uiPriority w:val="0"/>
    <w:rPr>
      <w:rFonts w:ascii="宋体" w:hAnsi="Courier New" w:eastAsia="宋体" w:cs="Courier New"/>
      <w:szCs w:val="21"/>
    </w:rPr>
  </w:style>
  <w:style w:type="character" w:customStyle="1" w:styleId="459">
    <w:name w:val="标题 3 + 四号 非加粗 Char Char"/>
    <w:qFormat/>
    <w:uiPriority w:val="0"/>
    <w:rPr>
      <w:rFonts w:eastAsia="宋体"/>
      <w:b/>
      <w:kern w:val="2"/>
      <w:sz w:val="24"/>
      <w:lang w:val="en-US" w:eastAsia="zh-CN" w:bidi="ar-SA"/>
    </w:rPr>
  </w:style>
  <w:style w:type="character" w:customStyle="1" w:styleId="460">
    <w:name w:val="标题2 Char"/>
    <w:qFormat/>
    <w:uiPriority w:val="0"/>
    <w:rPr>
      <w:rFonts w:ascii="Arial" w:hAnsi="Arial" w:eastAsia="宋体" w:cs="Arial"/>
      <w:sz w:val="24"/>
      <w:szCs w:val="28"/>
      <w:lang w:val="en-US" w:eastAsia="zh-CN" w:bidi="ar-SA"/>
    </w:rPr>
  </w:style>
  <w:style w:type="character" w:customStyle="1" w:styleId="461">
    <w:name w:val="Chapter Title Char1"/>
    <w:qFormat/>
    <w:uiPriority w:val="0"/>
    <w:rPr>
      <w:rFonts w:ascii="Cambria" w:hAnsi="Cambria" w:cs="Times New Roman"/>
      <w:b/>
      <w:bCs/>
      <w:kern w:val="2"/>
      <w:sz w:val="32"/>
      <w:szCs w:val="32"/>
    </w:rPr>
  </w:style>
  <w:style w:type="character" w:customStyle="1" w:styleId="462">
    <w:name w:val="副标题 Char"/>
    <w:qFormat/>
    <w:uiPriority w:val="0"/>
    <w:rPr>
      <w:rFonts w:ascii="Cambria" w:hAnsi="Cambria"/>
      <w:b/>
      <w:bCs/>
      <w:kern w:val="28"/>
      <w:sz w:val="32"/>
      <w:szCs w:val="32"/>
    </w:rPr>
  </w:style>
  <w:style w:type="character" w:customStyle="1" w:styleId="463">
    <w:name w:val="副标题 字符1"/>
    <w:basedOn w:val="58"/>
    <w:qFormat/>
    <w:uiPriority w:val="0"/>
    <w:rPr>
      <w:rFonts w:asciiTheme="minorHAnsi" w:hAnsiTheme="minorHAnsi" w:eastAsiaTheme="minorEastAsia" w:cstheme="minorBidi"/>
      <w:b/>
      <w:bCs/>
      <w:kern w:val="28"/>
      <w:sz w:val="32"/>
      <w:szCs w:val="32"/>
    </w:rPr>
  </w:style>
  <w:style w:type="character" w:customStyle="1" w:styleId="464">
    <w:name w:val="样式 宋体 小三 加粗"/>
    <w:qFormat/>
    <w:uiPriority w:val="0"/>
    <w:rPr>
      <w:rFonts w:hint="default" w:ascii="Times New Roman" w:hAnsi="Times New Roman" w:eastAsia="宋体" w:cs="Times New Roman"/>
      <w:b/>
      <w:bCs/>
      <w:sz w:val="30"/>
      <w:szCs w:val="30"/>
    </w:rPr>
  </w:style>
  <w:style w:type="character" w:customStyle="1" w:styleId="465">
    <w:name w:val="正文文字 Char Char Char Char Char Char"/>
    <w:qFormat/>
    <w:uiPriority w:val="0"/>
    <w:rPr>
      <w:rFonts w:ascii="仿宋_GB2312" w:hAnsi="宋体" w:eastAsia="仿宋_GB2312"/>
      <w:bCs/>
      <w:sz w:val="24"/>
      <w:lang w:val="en-US" w:eastAsia="zh-CN" w:bidi="ar-SA"/>
    </w:rPr>
  </w:style>
  <w:style w:type="character" w:customStyle="1" w:styleId="466">
    <w:name w:val="FtrF Char Char"/>
    <w:qFormat/>
    <w:uiPriority w:val="0"/>
    <w:rPr>
      <w:rFonts w:eastAsia="宋体"/>
      <w:kern w:val="2"/>
      <w:sz w:val="18"/>
      <w:szCs w:val="18"/>
      <w:lang w:val="en-US" w:eastAsia="zh-CN" w:bidi="ar-SA"/>
    </w:rPr>
  </w:style>
  <w:style w:type="character" w:customStyle="1" w:styleId="467">
    <w:name w:val="正文加粗 Char"/>
    <w:link w:val="468"/>
    <w:qFormat/>
    <w:uiPriority w:val="0"/>
    <w:rPr>
      <w:rFonts w:ascii="宋体" w:hAnsi="宋体"/>
      <w:b/>
      <w:color w:val="000000"/>
      <w:sz w:val="24"/>
      <w:szCs w:val="24"/>
    </w:rPr>
  </w:style>
  <w:style w:type="paragraph" w:customStyle="1" w:styleId="468">
    <w:name w:val="正文加粗"/>
    <w:basedOn w:val="1"/>
    <w:next w:val="469"/>
    <w:link w:val="467"/>
    <w:qFormat/>
    <w:uiPriority w:val="0"/>
    <w:pPr>
      <w:spacing w:beforeLines="50" w:afterLines="50" w:line="360" w:lineRule="auto"/>
      <w:outlineLvl w:val="0"/>
    </w:pPr>
    <w:rPr>
      <w:b/>
      <w:color w:val="000000"/>
      <w:kern w:val="0"/>
      <w:sz w:val="24"/>
      <w:szCs w:val="24"/>
    </w:rPr>
  </w:style>
  <w:style w:type="paragraph" w:customStyle="1" w:styleId="469">
    <w:name w:val="Char Char Char Char Char Char Char2"/>
    <w:basedOn w:val="1"/>
    <w:qFormat/>
    <w:uiPriority w:val="0"/>
    <w:rPr>
      <w:rFonts w:ascii="Tahoma" w:hAnsi="Tahoma"/>
      <w:sz w:val="24"/>
      <w:szCs w:val="20"/>
    </w:rPr>
  </w:style>
  <w:style w:type="character" w:customStyle="1" w:styleId="470">
    <w:name w:val="正文加粗2 Char"/>
    <w:link w:val="471"/>
    <w:qFormat/>
    <w:uiPriority w:val="0"/>
    <w:rPr>
      <w:rFonts w:ascii="宋体" w:hAnsi="宋体"/>
      <w:b/>
      <w:color w:val="000000"/>
      <w:kern w:val="2"/>
      <w:sz w:val="24"/>
      <w:szCs w:val="24"/>
    </w:rPr>
  </w:style>
  <w:style w:type="paragraph" w:customStyle="1" w:styleId="471">
    <w:name w:val="正文加粗2"/>
    <w:link w:val="470"/>
    <w:qFormat/>
    <w:uiPriority w:val="0"/>
    <w:pPr>
      <w:spacing w:beforeLines="50" w:afterLines="50"/>
      <w:ind w:right="238"/>
    </w:pPr>
    <w:rPr>
      <w:rFonts w:ascii="宋体" w:hAnsi="宋体" w:eastAsia="宋体" w:cs="Times New Roman"/>
      <w:b/>
      <w:color w:val="000000"/>
      <w:kern w:val="2"/>
      <w:sz w:val="24"/>
      <w:szCs w:val="24"/>
      <w:lang w:val="en-US" w:eastAsia="zh-CN" w:bidi="ar-SA"/>
    </w:rPr>
  </w:style>
  <w:style w:type="character" w:customStyle="1" w:styleId="472">
    <w:name w:val="A6"/>
    <w:qFormat/>
    <w:uiPriority w:val="0"/>
    <w:rPr>
      <w:rFonts w:cs="FZZD Extra JW"/>
      <w:color w:val="000000"/>
      <w:sz w:val="20"/>
      <w:szCs w:val="20"/>
    </w:rPr>
  </w:style>
  <w:style w:type="character" w:customStyle="1" w:styleId="473">
    <w:name w:val="结束语 Char"/>
    <w:qFormat/>
    <w:uiPriority w:val="0"/>
    <w:rPr>
      <w:kern w:val="2"/>
      <w:sz w:val="21"/>
      <w:szCs w:val="24"/>
    </w:rPr>
  </w:style>
  <w:style w:type="character" w:customStyle="1" w:styleId="474">
    <w:name w:val="结束语 字符1"/>
    <w:basedOn w:val="58"/>
    <w:qFormat/>
    <w:uiPriority w:val="0"/>
    <w:rPr>
      <w:rFonts w:ascii="宋体" w:hAnsi="宋体"/>
      <w:kern w:val="2"/>
      <w:sz w:val="21"/>
      <w:szCs w:val="21"/>
    </w:rPr>
  </w:style>
  <w:style w:type="character" w:customStyle="1" w:styleId="475">
    <w:name w:val="封面“EPC联合体”西文文字 Char Char"/>
    <w:link w:val="476"/>
    <w:semiHidden/>
    <w:qFormat/>
    <w:locked/>
    <w:uiPriority w:val="0"/>
    <w:rPr>
      <w:rFonts w:ascii="宋体" w:hAnsi="宋体"/>
      <w:b/>
      <w:kern w:val="2"/>
      <w:sz w:val="32"/>
      <w:szCs w:val="32"/>
    </w:rPr>
  </w:style>
  <w:style w:type="paragraph" w:customStyle="1" w:styleId="476">
    <w:name w:val="封面“EPC联合体”西文文字"/>
    <w:basedOn w:val="450"/>
    <w:link w:val="475"/>
    <w:semiHidden/>
    <w:qFormat/>
    <w:uiPriority w:val="0"/>
    <w:pPr>
      <w:spacing w:line="480" w:lineRule="atLeast"/>
    </w:pPr>
    <w:rPr>
      <w:rFonts w:ascii="宋体"/>
      <w:kern w:val="2"/>
    </w:rPr>
  </w:style>
  <w:style w:type="character" w:customStyle="1" w:styleId="477">
    <w:name w:val="“下标”样式"/>
    <w:qFormat/>
    <w:uiPriority w:val="0"/>
    <w:rPr>
      <w:vertAlign w:val="subscript"/>
    </w:rPr>
  </w:style>
  <w:style w:type="character" w:customStyle="1" w:styleId="478">
    <w:name w:val="插入式样 Char"/>
    <w:qFormat/>
    <w:uiPriority w:val="0"/>
    <w:rPr>
      <w:rFonts w:hint="eastAsia" w:ascii="宋体" w:hAnsi="宋体" w:eastAsia="宋体"/>
      <w:bCs/>
      <w:kern w:val="2"/>
      <w:sz w:val="24"/>
      <w:szCs w:val="24"/>
      <w:lang w:val="en-US" w:eastAsia="zh-CN" w:bidi="ar-SA"/>
    </w:rPr>
  </w:style>
  <w:style w:type="character" w:customStyle="1" w:styleId="479">
    <w:name w:val="text_darkgray"/>
    <w:basedOn w:val="58"/>
    <w:qFormat/>
    <w:uiPriority w:val="0"/>
  </w:style>
  <w:style w:type="character" w:customStyle="1" w:styleId="480">
    <w:name w:val="标题 Char1"/>
    <w:qFormat/>
    <w:uiPriority w:val="0"/>
    <w:rPr>
      <w:rFonts w:ascii="Arial" w:hAnsi="Arial" w:eastAsia="宋体"/>
      <w:b/>
      <w:kern w:val="2"/>
      <w:sz w:val="44"/>
      <w:lang w:val="en-US" w:eastAsia="zh-CN" w:bidi="ar-SA"/>
    </w:rPr>
  </w:style>
  <w:style w:type="character" w:customStyle="1" w:styleId="481">
    <w:name w:val="Para head"/>
    <w:qFormat/>
    <w:uiPriority w:val="0"/>
    <w:rPr>
      <w:rFonts w:ascii="Arial" w:hAnsi="Arial" w:eastAsia="Times New Roman"/>
      <w:sz w:val="20"/>
    </w:rPr>
  </w:style>
  <w:style w:type="character" w:customStyle="1" w:styleId="482">
    <w:name w:val="正文文本 3 Char1"/>
    <w:qFormat/>
    <w:uiPriority w:val="0"/>
    <w:rPr>
      <w:rFonts w:ascii="宋体" w:hAnsi="宋体" w:eastAsia="宋体"/>
      <w:kern w:val="2"/>
      <w:sz w:val="24"/>
      <w:szCs w:val="24"/>
      <w:lang w:val="en-US" w:eastAsia="zh-CN" w:bidi="ar-SA"/>
    </w:rPr>
  </w:style>
  <w:style w:type="character" w:customStyle="1" w:styleId="483">
    <w:name w:val="black11"/>
    <w:qFormat/>
    <w:uiPriority w:val="0"/>
    <w:rPr>
      <w:color w:val="000000"/>
      <w:sz w:val="18"/>
      <w:szCs w:val="18"/>
    </w:rPr>
  </w:style>
  <w:style w:type="character" w:customStyle="1" w:styleId="484">
    <w:name w:val="条标题1.1.1 Char"/>
    <w:qFormat/>
    <w:uiPriority w:val="0"/>
    <w:rPr>
      <w:rFonts w:eastAsia="宋体"/>
      <w:b/>
      <w:sz w:val="32"/>
      <w:lang w:val="en-US" w:eastAsia="zh-CN" w:bidi="ar-SA"/>
    </w:rPr>
  </w:style>
  <w:style w:type="character" w:customStyle="1" w:styleId="485">
    <w:name w:val="Char Char10"/>
    <w:qFormat/>
    <w:uiPriority w:val="0"/>
    <w:rPr>
      <w:rFonts w:ascii="Times New Roman" w:hAnsi="Times New Roman" w:eastAsia="宋体" w:cs="Times New Roman"/>
      <w:szCs w:val="24"/>
    </w:rPr>
  </w:style>
  <w:style w:type="character" w:customStyle="1" w:styleId="486">
    <w:name w:val="Char Char4"/>
    <w:qFormat/>
    <w:uiPriority w:val="0"/>
    <w:rPr>
      <w:rFonts w:ascii="Times New Roman" w:hAnsi="Times New Roman" w:eastAsia="宋体" w:cs="Times New Roman"/>
      <w:sz w:val="16"/>
      <w:szCs w:val="16"/>
    </w:rPr>
  </w:style>
  <w:style w:type="character" w:customStyle="1" w:styleId="487">
    <w:name w:val="样式 Tahoma"/>
    <w:qFormat/>
    <w:uiPriority w:val="0"/>
    <w:rPr>
      <w:rFonts w:ascii="Tahoma" w:hAnsi="Tahoma" w:eastAsia="宋体"/>
      <w:kern w:val="2"/>
      <w:sz w:val="28"/>
      <w:lang w:val="en-US" w:eastAsia="zh-CN" w:bidi="ar-SA"/>
    </w:rPr>
  </w:style>
  <w:style w:type="character" w:customStyle="1" w:styleId="488">
    <w:name w:val="图片说明 Char"/>
    <w:link w:val="489"/>
    <w:qFormat/>
    <w:uiPriority w:val="0"/>
    <w:rPr>
      <w:rFonts w:ascii="Arial" w:hAnsi="Arial" w:cs="宋体"/>
      <w:b/>
      <w:bCs/>
      <w:kern w:val="2"/>
      <w:sz w:val="24"/>
      <w:szCs w:val="21"/>
    </w:rPr>
  </w:style>
  <w:style w:type="paragraph" w:customStyle="1" w:styleId="489">
    <w:name w:val="图片说明"/>
    <w:basedOn w:val="1"/>
    <w:link w:val="488"/>
    <w:qFormat/>
    <w:uiPriority w:val="0"/>
    <w:pPr>
      <w:spacing w:before="156" w:line="360" w:lineRule="auto"/>
      <w:ind w:firstLine="412" w:firstLineChars="171"/>
      <w:jc w:val="center"/>
    </w:pPr>
    <w:rPr>
      <w:rFonts w:ascii="Arial" w:hAnsi="Arial" w:cs="宋体"/>
      <w:b/>
      <w:bCs/>
      <w:sz w:val="24"/>
    </w:rPr>
  </w:style>
  <w:style w:type="character" w:customStyle="1" w:styleId="490">
    <w:name w:val="样式 题注 Char"/>
    <w:qFormat/>
    <w:uiPriority w:val="0"/>
    <w:rPr>
      <w:rFonts w:ascii="Arial" w:hAnsi="Arial" w:eastAsia="黑体" w:cs="Arial"/>
      <w:kern w:val="2"/>
      <w:sz w:val="21"/>
      <w:lang w:val="en-US" w:eastAsia="zh-CN" w:bidi="ar-SA"/>
    </w:rPr>
  </w:style>
  <w:style w:type="character" w:customStyle="1" w:styleId="491">
    <w:name w:val="发布"/>
    <w:qFormat/>
    <w:uiPriority w:val="0"/>
    <w:rPr>
      <w:rFonts w:ascii="黑体" w:eastAsia="黑体"/>
      <w:spacing w:val="22"/>
      <w:w w:val="100"/>
      <w:position w:val="3"/>
      <w:sz w:val="28"/>
    </w:rPr>
  </w:style>
  <w:style w:type="character" w:customStyle="1" w:styleId="492">
    <w:name w:val="正文样式 Char"/>
    <w:link w:val="493"/>
    <w:qFormat/>
    <w:uiPriority w:val="0"/>
    <w:rPr>
      <w:kern w:val="2"/>
      <w:sz w:val="24"/>
      <w:szCs w:val="24"/>
    </w:rPr>
  </w:style>
  <w:style w:type="paragraph" w:customStyle="1" w:styleId="493">
    <w:name w:val="正文样式"/>
    <w:basedOn w:val="1"/>
    <w:link w:val="492"/>
    <w:qFormat/>
    <w:uiPriority w:val="0"/>
    <w:pPr>
      <w:spacing w:line="480" w:lineRule="exact"/>
      <w:ind w:firstLine="480" w:firstLineChars="200"/>
    </w:pPr>
    <w:rPr>
      <w:rFonts w:ascii="Times New Roman" w:hAnsi="Times New Roman"/>
      <w:sz w:val="24"/>
      <w:szCs w:val="24"/>
    </w:rPr>
  </w:style>
  <w:style w:type="character" w:customStyle="1" w:styleId="494">
    <w:name w:val="正文缩进 Char1"/>
    <w:qFormat/>
    <w:uiPriority w:val="0"/>
    <w:rPr>
      <w:sz w:val="28"/>
    </w:rPr>
  </w:style>
  <w:style w:type="character" w:customStyle="1" w:styleId="495">
    <w:name w:val="列出段落 字符"/>
    <w:qFormat/>
    <w:uiPriority w:val="99"/>
    <w:rPr>
      <w:rFonts w:eastAsia="宋体" w:cs="Times New Roman"/>
      <w:kern w:val="0"/>
      <w:sz w:val="21"/>
      <w:szCs w:val="20"/>
    </w:rPr>
  </w:style>
  <w:style w:type="character" w:customStyle="1" w:styleId="496">
    <w:name w:val="正文文本 2 Char1"/>
    <w:basedOn w:val="58"/>
    <w:semiHidden/>
    <w:qFormat/>
    <w:uiPriority w:val="99"/>
    <w:rPr>
      <w:rFonts w:ascii="Times New Roman" w:hAnsi="Times New Roman"/>
      <w:sz w:val="21"/>
    </w:rPr>
  </w:style>
  <w:style w:type="character" w:customStyle="1" w:styleId="497">
    <w:name w:val="副标题 Char1"/>
    <w:basedOn w:val="58"/>
    <w:qFormat/>
    <w:uiPriority w:val="11"/>
    <w:rPr>
      <w:rFonts w:asciiTheme="majorHAnsi" w:hAnsiTheme="majorHAnsi" w:cstheme="majorBidi"/>
      <w:b/>
      <w:bCs/>
      <w:kern w:val="28"/>
      <w:sz w:val="32"/>
      <w:szCs w:val="32"/>
    </w:rPr>
  </w:style>
  <w:style w:type="character" w:customStyle="1" w:styleId="498">
    <w:name w:val="结束语 Char1"/>
    <w:basedOn w:val="58"/>
    <w:semiHidden/>
    <w:qFormat/>
    <w:uiPriority w:val="99"/>
    <w:rPr>
      <w:rFonts w:ascii="Times New Roman" w:hAnsi="Times New Roman"/>
      <w:sz w:val="21"/>
    </w:rPr>
  </w:style>
  <w:style w:type="character" w:customStyle="1" w:styleId="499">
    <w:name w:val="正文文本缩进 2 Char1"/>
    <w:basedOn w:val="58"/>
    <w:semiHidden/>
    <w:qFormat/>
    <w:uiPriority w:val="99"/>
    <w:rPr>
      <w:rFonts w:ascii="Times New Roman" w:hAnsi="Times New Roman"/>
      <w:sz w:val="21"/>
    </w:rPr>
  </w:style>
  <w:style w:type="character" w:customStyle="1" w:styleId="500">
    <w:name w:val="称呼 Char1"/>
    <w:basedOn w:val="58"/>
    <w:semiHidden/>
    <w:qFormat/>
    <w:uiPriority w:val="99"/>
    <w:rPr>
      <w:rFonts w:ascii="Times New Roman" w:hAnsi="Times New Roman"/>
      <w:sz w:val="21"/>
    </w:rPr>
  </w:style>
  <w:style w:type="character" w:customStyle="1" w:styleId="501">
    <w:name w:val="标题 Char2"/>
    <w:basedOn w:val="58"/>
    <w:qFormat/>
    <w:uiPriority w:val="10"/>
    <w:rPr>
      <w:rFonts w:asciiTheme="majorHAnsi" w:hAnsiTheme="majorHAnsi" w:cstheme="majorBidi"/>
      <w:b/>
      <w:bCs/>
      <w:sz w:val="32"/>
      <w:szCs w:val="32"/>
    </w:rPr>
  </w:style>
  <w:style w:type="character" w:customStyle="1" w:styleId="502">
    <w:name w:val="脚注文本 Char1"/>
    <w:basedOn w:val="58"/>
    <w:semiHidden/>
    <w:qFormat/>
    <w:uiPriority w:val="99"/>
    <w:rPr>
      <w:rFonts w:ascii="Times New Roman" w:hAnsi="Times New Roman"/>
      <w:sz w:val="18"/>
      <w:szCs w:val="18"/>
    </w:rPr>
  </w:style>
  <w:style w:type="character" w:customStyle="1" w:styleId="503">
    <w:name w:val="尾注文本 Char1"/>
    <w:basedOn w:val="58"/>
    <w:semiHidden/>
    <w:qFormat/>
    <w:uiPriority w:val="99"/>
    <w:rPr>
      <w:rFonts w:ascii="Times New Roman" w:hAnsi="Times New Roman"/>
      <w:sz w:val="21"/>
    </w:rPr>
  </w:style>
  <w:style w:type="character" w:customStyle="1" w:styleId="504">
    <w:name w:val="正文文本缩进 3 Char1"/>
    <w:basedOn w:val="58"/>
    <w:semiHidden/>
    <w:qFormat/>
    <w:uiPriority w:val="99"/>
    <w:rPr>
      <w:rFonts w:ascii="Times New Roman" w:hAnsi="Times New Roman"/>
      <w:sz w:val="16"/>
      <w:szCs w:val="16"/>
    </w:rPr>
  </w:style>
  <w:style w:type="character" w:customStyle="1" w:styleId="505">
    <w:name w:val="正文文本 3 Char2"/>
    <w:basedOn w:val="58"/>
    <w:semiHidden/>
    <w:qFormat/>
    <w:uiPriority w:val="99"/>
    <w:rPr>
      <w:rFonts w:ascii="Times New Roman" w:hAnsi="Times New Roman"/>
      <w:sz w:val="16"/>
      <w:szCs w:val="16"/>
    </w:rPr>
  </w:style>
  <w:style w:type="paragraph" w:customStyle="1" w:styleId="506">
    <w:name w:val="xl41"/>
    <w:basedOn w:val="1"/>
    <w:qFormat/>
    <w:uiPriority w:val="0"/>
    <w:pPr>
      <w:widowControl/>
      <w:pBdr>
        <w:top w:val="single" w:color="auto" w:sz="12" w:space="0"/>
        <w:bottom w:val="single" w:color="auto" w:sz="4" w:space="0"/>
      </w:pBdr>
      <w:spacing w:before="100" w:beforeAutospacing="1" w:after="100" w:afterAutospacing="1"/>
      <w:jc w:val="left"/>
    </w:pPr>
    <w:rPr>
      <w:rFonts w:ascii="Helv" w:hAnsi="Helv"/>
      <w:b/>
      <w:bCs/>
      <w:kern w:val="0"/>
      <w:sz w:val="28"/>
      <w:szCs w:val="28"/>
    </w:rPr>
  </w:style>
  <w:style w:type="paragraph" w:customStyle="1" w:styleId="507">
    <w:name w:val="表格"/>
    <w:basedOn w:val="1"/>
    <w:qFormat/>
    <w:uiPriority w:val="0"/>
    <w:pPr>
      <w:spacing w:before="60" w:after="60"/>
      <w:jc w:val="center"/>
    </w:pPr>
    <w:rPr>
      <w:rFonts w:ascii="Times New Roman" w:hAnsi="Times New Roman"/>
      <w:sz w:val="28"/>
      <w:szCs w:val="24"/>
    </w:rPr>
  </w:style>
  <w:style w:type="paragraph" w:customStyle="1" w:styleId="50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509">
    <w:name w:val="1.1"/>
    <w:basedOn w:val="1"/>
    <w:qFormat/>
    <w:uiPriority w:val="0"/>
    <w:pPr>
      <w:spacing w:line="360" w:lineRule="auto"/>
      <w:ind w:firstLine="580" w:firstLineChars="200"/>
    </w:pPr>
    <w:rPr>
      <w:rFonts w:ascii="Times New Roman" w:hAnsi="Times New Roman" w:eastAsia="仿宋_GB2312"/>
      <w:color w:val="000000"/>
      <w:sz w:val="30"/>
      <w:szCs w:val="30"/>
    </w:rPr>
  </w:style>
  <w:style w:type="paragraph" w:customStyle="1" w:styleId="510">
    <w:name w:val="cjk"/>
    <w:basedOn w:val="1"/>
    <w:qFormat/>
    <w:uiPriority w:val="0"/>
    <w:pPr>
      <w:widowControl/>
      <w:spacing w:before="284" w:after="100" w:afterAutospacing="1" w:line="360" w:lineRule="auto"/>
      <w:jc w:val="left"/>
    </w:pPr>
    <w:rPr>
      <w:rFonts w:cs="宋体"/>
      <w:kern w:val="0"/>
      <w:sz w:val="22"/>
      <w:szCs w:val="22"/>
    </w:rPr>
  </w:style>
  <w:style w:type="paragraph" w:customStyle="1" w:styleId="511">
    <w:name w:val="四级条标题"/>
    <w:basedOn w:val="512"/>
    <w:next w:val="4"/>
    <w:qFormat/>
    <w:uiPriority w:val="0"/>
    <w:pPr>
      <w:tabs>
        <w:tab w:val="left" w:pos="360"/>
        <w:tab w:val="left" w:pos="1440"/>
        <w:tab w:val="left" w:pos="2160"/>
      </w:tabs>
      <w:ind w:left="1327" w:hanging="1327"/>
      <w:outlineLvl w:val="5"/>
    </w:pPr>
  </w:style>
  <w:style w:type="paragraph" w:customStyle="1" w:styleId="512">
    <w:name w:val="三级条标题"/>
    <w:basedOn w:val="103"/>
    <w:next w:val="4"/>
    <w:qFormat/>
    <w:uiPriority w:val="0"/>
    <w:pPr>
      <w:outlineLvl w:val="4"/>
    </w:pPr>
    <w:rPr>
      <w:b w:val="0"/>
    </w:rPr>
  </w:style>
  <w:style w:type="paragraph" w:customStyle="1" w:styleId="513">
    <w:name w:val="Default 123  Text1"/>
    <w:basedOn w:val="1"/>
    <w:qFormat/>
    <w:uiPriority w:val="0"/>
    <w:pPr>
      <w:autoSpaceDE w:val="0"/>
      <w:autoSpaceDN w:val="0"/>
      <w:adjustRightInd w:val="0"/>
      <w:jc w:val="left"/>
    </w:pPr>
    <w:rPr>
      <w:rFonts w:hAnsi="Times New Roman"/>
      <w:kern w:val="0"/>
      <w:sz w:val="26"/>
      <w:szCs w:val="26"/>
    </w:rPr>
  </w:style>
  <w:style w:type="paragraph" w:customStyle="1" w:styleId="514">
    <w:name w:val="样式 纯文本 + 黑色 左侧:  0 厘米 悬挂缩进: 7.2 字符"/>
    <w:basedOn w:val="31"/>
    <w:qFormat/>
    <w:uiPriority w:val="0"/>
    <w:pPr>
      <w:ind w:left="720" w:hanging="720"/>
    </w:pPr>
    <w:rPr>
      <w:color w:val="000000"/>
      <w:kern w:val="0"/>
      <w:sz w:val="28"/>
    </w:rPr>
  </w:style>
  <w:style w:type="paragraph" w:customStyle="1" w:styleId="515">
    <w:name w:val="发文落款"/>
    <w:basedOn w:val="516"/>
    <w:qFormat/>
    <w:uiPriority w:val="0"/>
    <w:pPr>
      <w:ind w:left="4094" w:right="607" w:firstLine="0"/>
      <w:jc w:val="center"/>
    </w:pPr>
  </w:style>
  <w:style w:type="paragraph" w:customStyle="1" w:styleId="516">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517">
    <w:name w:val="大题头"/>
    <w:basedOn w:val="1"/>
    <w:qFormat/>
    <w:uiPriority w:val="0"/>
    <w:pPr>
      <w:spacing w:line="360" w:lineRule="auto"/>
      <w:ind w:firstLine="200" w:firstLineChars="200"/>
      <w:jc w:val="center"/>
      <w:outlineLvl w:val="0"/>
    </w:pPr>
    <w:rPr>
      <w:rFonts w:ascii="Times New Roman" w:hAnsi="Times New Roman"/>
      <w:b/>
      <w:bCs/>
      <w:sz w:val="36"/>
      <w:szCs w:val="24"/>
    </w:rPr>
  </w:style>
  <w:style w:type="paragraph" w:customStyle="1" w:styleId="518">
    <w:name w:val="附录二级条标题"/>
    <w:basedOn w:val="519"/>
    <w:next w:val="4"/>
    <w:qFormat/>
    <w:uiPriority w:val="0"/>
    <w:pPr>
      <w:numPr>
        <w:ilvl w:val="4"/>
      </w:numPr>
      <w:tabs>
        <w:tab w:val="left" w:pos="2126"/>
      </w:tabs>
      <w:outlineLvl w:val="3"/>
    </w:pPr>
  </w:style>
  <w:style w:type="paragraph" w:customStyle="1" w:styleId="519">
    <w:name w:val="附录一级条标题"/>
    <w:basedOn w:val="520"/>
    <w:next w:val="4"/>
    <w:qFormat/>
    <w:uiPriority w:val="0"/>
    <w:pPr>
      <w:numPr>
        <w:ilvl w:val="3"/>
      </w:numPr>
      <w:tabs>
        <w:tab w:val="left" w:pos="2126"/>
      </w:tabs>
      <w:autoSpaceDN w:val="0"/>
      <w:spacing w:beforeLines="0" w:afterLines="0"/>
      <w:outlineLvl w:val="2"/>
    </w:pPr>
  </w:style>
  <w:style w:type="paragraph" w:customStyle="1" w:styleId="520">
    <w:name w:val="附录章标题"/>
    <w:next w:val="4"/>
    <w:qFormat/>
    <w:uiPriority w:val="0"/>
    <w:pPr>
      <w:numPr>
        <w:ilvl w:val="2"/>
        <w:numId w:val="4"/>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521">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right"/>
      <w:textAlignment w:val="bottom"/>
    </w:pPr>
    <w:rPr>
      <w:rFonts w:cs="宋体"/>
      <w:kern w:val="0"/>
      <w:sz w:val="20"/>
      <w:szCs w:val="20"/>
    </w:rPr>
  </w:style>
  <w:style w:type="paragraph" w:customStyle="1" w:styleId="522">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23">
    <w:name w:val="Char Char Char Char Char Char1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524">
    <w:name w:val="正文文字"/>
    <w:basedOn w:val="1"/>
    <w:qFormat/>
    <w:uiPriority w:val="0"/>
    <w:pPr>
      <w:spacing w:afterLines="50" w:line="300" w:lineRule="auto"/>
    </w:pPr>
    <w:rPr>
      <w:rFonts w:ascii="Times New Roman" w:hAnsi="Times New Roman" w:cs="宋体"/>
      <w:sz w:val="24"/>
      <w:szCs w:val="24"/>
    </w:rPr>
  </w:style>
  <w:style w:type="paragraph" w:customStyle="1" w:styleId="525">
    <w:name w:val="1.1.1.1"/>
    <w:qFormat/>
    <w:uiPriority w:val="0"/>
    <w:pPr>
      <w:adjustRightInd w:val="0"/>
      <w:spacing w:before="60" w:after="60" w:line="480" w:lineRule="exact"/>
      <w:ind w:left="1200" w:hanging="1200"/>
      <w:jc w:val="both"/>
    </w:pPr>
    <w:rPr>
      <w:rFonts w:ascii="Times New Roman" w:hAnsi="Times New Roman" w:eastAsia="宋体" w:cs="Times New Roman"/>
      <w:b/>
      <w:sz w:val="24"/>
      <w:lang w:val="en-US" w:eastAsia="zh-CN" w:bidi="ar-SA"/>
    </w:rPr>
  </w:style>
  <w:style w:type="paragraph" w:customStyle="1" w:styleId="526">
    <w:name w:val="puce_2"/>
    <w:basedOn w:val="1"/>
    <w:qFormat/>
    <w:uiPriority w:val="0"/>
    <w:pPr>
      <w:spacing w:before="20" w:after="20"/>
      <w:ind w:left="900" w:hanging="360"/>
      <w:jc w:val="left"/>
    </w:pPr>
    <w:rPr>
      <w:rFonts w:ascii="FuturaA Md BT" w:hAnsi="FuturaA Md BT"/>
      <w:kern w:val="0"/>
      <w:sz w:val="22"/>
      <w:szCs w:val="20"/>
      <w:lang w:eastAsia="en-US"/>
    </w:rPr>
  </w:style>
  <w:style w:type="paragraph" w:customStyle="1" w:styleId="527">
    <w:name w:val="Char Char Char Char Char Char Char Char Char Char Char Char Char Char Char Char1"/>
    <w:basedOn w:val="1"/>
    <w:semiHidden/>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528">
    <w:name w:val="样式 11 磅 行距: 1.5 倍行距"/>
    <w:basedOn w:val="1"/>
    <w:next w:val="3"/>
    <w:qFormat/>
    <w:uiPriority w:val="0"/>
    <w:pPr>
      <w:spacing w:line="360" w:lineRule="auto"/>
    </w:pPr>
    <w:rPr>
      <w:rFonts w:ascii="Times New Roman" w:hAnsi="Times New Roman" w:cs="宋体"/>
      <w:sz w:val="22"/>
      <w:szCs w:val="20"/>
    </w:rPr>
  </w:style>
  <w:style w:type="paragraph" w:customStyle="1" w:styleId="529">
    <w:name w:val="样式2"/>
    <w:basedOn w:val="37"/>
    <w:qFormat/>
    <w:uiPriority w:val="0"/>
    <w:pPr>
      <w:pBdr>
        <w:top w:val="single" w:color="auto" w:sz="4" w:space="1"/>
      </w:pBdr>
    </w:pPr>
    <w:rPr>
      <w:rFonts w:ascii="Times New Roman" w:hAnsi="Times New Roman"/>
      <w:kern w:val="0"/>
      <w:szCs w:val="20"/>
    </w:rPr>
  </w:style>
  <w:style w:type="paragraph" w:customStyle="1" w:styleId="530">
    <w:name w:val="xl1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4"/>
      <w:szCs w:val="24"/>
    </w:rPr>
  </w:style>
  <w:style w:type="paragraph" w:customStyle="1" w:styleId="531">
    <w:name w:val="标准段落"/>
    <w:basedOn w:val="1"/>
    <w:qFormat/>
    <w:uiPriority w:val="0"/>
    <w:pPr>
      <w:adjustRightInd w:val="0"/>
      <w:ind w:firstLine="480" w:firstLineChars="200"/>
      <w:textAlignment w:val="baseline"/>
    </w:pPr>
    <w:rPr>
      <w:rFonts w:ascii="Times New Roman" w:hAnsi="Times New Roman"/>
      <w:sz w:val="24"/>
      <w:szCs w:val="20"/>
    </w:rPr>
  </w:style>
  <w:style w:type="paragraph" w:customStyle="1" w:styleId="532">
    <w:name w:val="样式 正文首行缩进 + 首行缩进:  2 字符"/>
    <w:basedOn w:val="1"/>
    <w:next w:val="1"/>
    <w:qFormat/>
    <w:uiPriority w:val="0"/>
    <w:pPr>
      <w:widowControl/>
      <w:autoSpaceDE w:val="0"/>
      <w:autoSpaceDN w:val="0"/>
      <w:adjustRightInd w:val="0"/>
      <w:spacing w:line="360" w:lineRule="auto"/>
    </w:pPr>
    <w:rPr>
      <w:rFonts w:ascii="Times New Roman" w:hAnsi="Times New Roman" w:cs="宋体"/>
      <w:kern w:val="0"/>
      <w:sz w:val="24"/>
      <w:szCs w:val="20"/>
    </w:rPr>
  </w:style>
  <w:style w:type="paragraph" w:customStyle="1" w:styleId="533">
    <w:name w:val="题头1"/>
    <w:basedOn w:val="1"/>
    <w:next w:val="1"/>
    <w:qFormat/>
    <w:uiPriority w:val="0"/>
    <w:pPr>
      <w:numPr>
        <w:ilvl w:val="1"/>
        <w:numId w:val="10"/>
      </w:numPr>
      <w:tabs>
        <w:tab w:val="left" w:pos="660"/>
      </w:tabs>
      <w:spacing w:line="300" w:lineRule="auto"/>
      <w:ind w:firstLine="200" w:firstLineChars="200"/>
    </w:pPr>
    <w:rPr>
      <w:rFonts w:ascii="Times New Roman" w:hAnsi="Times New Roman"/>
      <w:sz w:val="28"/>
      <w:szCs w:val="24"/>
    </w:rPr>
  </w:style>
  <w:style w:type="paragraph" w:customStyle="1" w:styleId="534">
    <w:name w:val="标题 31"/>
    <w:basedOn w:val="1"/>
    <w:qFormat/>
    <w:uiPriority w:val="0"/>
    <w:pPr>
      <w:widowControl/>
      <w:tabs>
        <w:tab w:val="left" w:pos="720"/>
      </w:tabs>
      <w:autoSpaceDE w:val="0"/>
      <w:autoSpaceDN w:val="0"/>
      <w:ind w:left="720" w:hanging="720"/>
      <w:jc w:val="left"/>
    </w:pPr>
    <w:rPr>
      <w:rFonts w:ascii="Times New Roman" w:hAnsi="Times New Roman"/>
      <w:kern w:val="24"/>
      <w:sz w:val="20"/>
      <w:szCs w:val="20"/>
    </w:rPr>
  </w:style>
  <w:style w:type="paragraph" w:customStyle="1" w:styleId="535">
    <w:name w:val="tyn4"/>
    <w:basedOn w:val="6"/>
    <w:qFormat/>
    <w:uiPriority w:val="0"/>
    <w:pPr>
      <w:tabs>
        <w:tab w:val="left" w:pos="360"/>
        <w:tab w:val="left" w:pos="851"/>
        <w:tab w:val="clear" w:pos="432"/>
      </w:tabs>
      <w:spacing w:before="120" w:after="120" w:line="360" w:lineRule="auto"/>
      <w:ind w:left="851" w:hanging="851" w:hangingChars="200"/>
    </w:pPr>
    <w:rPr>
      <w:rFonts w:ascii="Times New Roman" w:hAnsi="Times New Roman"/>
      <w:b w:val="0"/>
      <w:color w:val="000000"/>
      <w:kern w:val="0"/>
      <w:sz w:val="24"/>
    </w:rPr>
  </w:style>
  <w:style w:type="paragraph" w:customStyle="1" w:styleId="536">
    <w:name w:val="p1"/>
    <w:basedOn w:val="1"/>
    <w:qFormat/>
    <w:uiPriority w:val="0"/>
    <w:pPr>
      <w:widowControl/>
      <w:autoSpaceDE w:val="0"/>
      <w:autoSpaceDN w:val="0"/>
      <w:ind w:left="1191"/>
      <w:textAlignment w:val="bottom"/>
    </w:pPr>
    <w:rPr>
      <w:rFonts w:ascii="Times New Roman" w:hAnsi="Times New Roman"/>
      <w:color w:val="000000"/>
      <w:sz w:val="26"/>
      <w:szCs w:val="24"/>
    </w:rPr>
  </w:style>
  <w:style w:type="paragraph" w:customStyle="1" w:styleId="5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538">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539">
    <w:name w:val="Char1"/>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540">
    <w:name w:val="题头一"/>
    <w:basedOn w:val="1"/>
    <w:next w:val="1"/>
    <w:qFormat/>
    <w:uiPriority w:val="0"/>
    <w:pPr>
      <w:tabs>
        <w:tab w:val="left" w:pos="300"/>
        <w:tab w:val="left" w:pos="2409"/>
      </w:tabs>
      <w:spacing w:line="360" w:lineRule="auto"/>
      <w:ind w:left="2410" w:firstLine="200" w:firstLineChars="200"/>
      <w:outlineLvl w:val="1"/>
    </w:pPr>
    <w:rPr>
      <w:rFonts w:ascii="Times New Roman" w:hAnsi="Times New Roman"/>
      <w:b/>
      <w:bCs/>
      <w:sz w:val="28"/>
      <w:szCs w:val="24"/>
    </w:rPr>
  </w:style>
  <w:style w:type="paragraph" w:customStyle="1" w:styleId="541">
    <w:name w:val="xl44"/>
    <w:basedOn w:val="1"/>
    <w:qFormat/>
    <w:uiPriority w:val="0"/>
    <w:pPr>
      <w:widowControl/>
      <w:pBdr>
        <w:top w:val="single" w:color="auto" w:sz="12" w:space="0"/>
        <w:left w:val="single" w:color="auto" w:sz="4"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42">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43">
    <w:name w:val="公文抬头"/>
    <w:basedOn w:val="15"/>
    <w:qFormat/>
    <w:uiPriority w:val="0"/>
    <w:pPr>
      <w:ind w:firstLine="0"/>
    </w:pPr>
    <w:rPr>
      <w:rFonts w:ascii="仿宋_GB2312" w:hAnsi="Times New Roman" w:eastAsia="仿宋_GB2312"/>
      <w:kern w:val="0"/>
      <w:sz w:val="30"/>
      <w:szCs w:val="24"/>
    </w:rPr>
  </w:style>
  <w:style w:type="paragraph" w:customStyle="1" w:styleId="544">
    <w:name w:val="Pa3"/>
    <w:basedOn w:val="1"/>
    <w:next w:val="1"/>
    <w:qFormat/>
    <w:uiPriority w:val="0"/>
    <w:pPr>
      <w:autoSpaceDE w:val="0"/>
      <w:autoSpaceDN w:val="0"/>
      <w:adjustRightInd w:val="0"/>
      <w:spacing w:line="241" w:lineRule="atLeast"/>
      <w:jc w:val="left"/>
    </w:pPr>
    <w:rPr>
      <w:rFonts w:ascii="FZZD Extra JW" w:hAnsi="Calibri" w:eastAsia="FZZD Extra JW"/>
      <w:kern w:val="0"/>
      <w:sz w:val="24"/>
      <w:szCs w:val="24"/>
    </w:rPr>
  </w:style>
  <w:style w:type="paragraph" w:customStyle="1" w:styleId="545">
    <w:name w:val="text:n"/>
    <w:qFormat/>
    <w:uiPriority w:val="0"/>
    <w:pPr>
      <w:numPr>
        <w:ilvl w:val="0"/>
        <w:numId w:val="11"/>
      </w:numPr>
      <w:spacing w:before="227"/>
    </w:pPr>
    <w:rPr>
      <w:rFonts w:ascii="Helvetica" w:hAnsi="Helvetica" w:eastAsia="宋体" w:cs="Times New Roman"/>
      <w:sz w:val="22"/>
      <w:lang w:val="en-US" w:eastAsia="en-US" w:bidi="ar-SA"/>
    </w:rPr>
  </w:style>
  <w:style w:type="paragraph" w:customStyle="1" w:styleId="546">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cs="宋体"/>
      <w:b/>
      <w:bCs/>
      <w:kern w:val="0"/>
      <w:sz w:val="22"/>
      <w:szCs w:val="22"/>
    </w:rPr>
  </w:style>
  <w:style w:type="paragraph" w:customStyle="1" w:styleId="547">
    <w:name w:val="A"/>
    <w:basedOn w:val="1"/>
    <w:qFormat/>
    <w:uiPriority w:val="0"/>
    <w:pPr>
      <w:adjustRightInd w:val="0"/>
      <w:spacing w:line="480" w:lineRule="atLeast"/>
      <w:jc w:val="center"/>
      <w:textAlignment w:val="baseline"/>
    </w:pPr>
    <w:rPr>
      <w:rFonts w:hAnsi="Times New Roman"/>
      <w:kern w:val="0"/>
      <w:sz w:val="32"/>
      <w:szCs w:val="20"/>
    </w:rPr>
  </w:style>
  <w:style w:type="paragraph" w:customStyle="1" w:styleId="548">
    <w:name w:val="xl48"/>
    <w:basedOn w:val="1"/>
    <w:qFormat/>
    <w:uiPriority w:val="0"/>
    <w:pPr>
      <w:widowControl/>
      <w:pBdr>
        <w:top w:val="single" w:color="auto" w:sz="8"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49">
    <w:name w:val="xl54"/>
    <w:basedOn w:val="1"/>
    <w:qFormat/>
    <w:uiPriority w:val="0"/>
    <w:pPr>
      <w:widowControl/>
      <w:pBdr>
        <w:bottom w:val="single" w:color="auto" w:sz="8" w:space="0"/>
      </w:pBdr>
      <w:spacing w:before="100" w:beforeAutospacing="1" w:after="100" w:afterAutospacing="1"/>
      <w:jc w:val="left"/>
    </w:pPr>
    <w:rPr>
      <w:rFonts w:ascii="Helv" w:hAnsi="Helv"/>
      <w:b/>
      <w:bCs/>
      <w:kern w:val="0"/>
      <w:sz w:val="28"/>
      <w:szCs w:val="28"/>
    </w:rPr>
  </w:style>
  <w:style w:type="paragraph" w:customStyle="1" w:styleId="550">
    <w:name w:val="附录五级条标题"/>
    <w:basedOn w:val="551"/>
    <w:next w:val="4"/>
    <w:qFormat/>
    <w:uiPriority w:val="0"/>
    <w:pPr>
      <w:tabs>
        <w:tab w:val="left" w:pos="2126"/>
        <w:tab w:val="left" w:pos="5528"/>
      </w:tabs>
      <w:outlineLvl w:val="6"/>
    </w:pPr>
  </w:style>
  <w:style w:type="paragraph" w:customStyle="1" w:styleId="551">
    <w:name w:val="附录四级条标题"/>
    <w:basedOn w:val="552"/>
    <w:next w:val="4"/>
    <w:qFormat/>
    <w:uiPriority w:val="0"/>
    <w:pPr>
      <w:tabs>
        <w:tab w:val="left" w:pos="2126"/>
        <w:tab w:val="left" w:pos="5528"/>
      </w:tabs>
      <w:ind w:left="5102"/>
      <w:outlineLvl w:val="5"/>
    </w:pPr>
  </w:style>
  <w:style w:type="paragraph" w:customStyle="1" w:styleId="552">
    <w:name w:val="附录三级条标题"/>
    <w:basedOn w:val="518"/>
    <w:next w:val="4"/>
    <w:qFormat/>
    <w:uiPriority w:val="0"/>
    <w:pPr>
      <w:numPr>
        <w:ilvl w:val="0"/>
        <w:numId w:val="0"/>
      </w:numPr>
      <w:ind w:left="4252"/>
      <w:outlineLvl w:val="4"/>
    </w:pPr>
  </w:style>
  <w:style w:type="paragraph" w:customStyle="1" w:styleId="553">
    <w:name w:val="puce_1"/>
    <w:basedOn w:val="1"/>
    <w:qFormat/>
    <w:uiPriority w:val="0"/>
    <w:pPr>
      <w:widowControl/>
      <w:tabs>
        <w:tab w:val="left" w:pos="426"/>
        <w:tab w:val="left" w:pos="840"/>
      </w:tabs>
      <w:spacing w:before="40" w:after="40"/>
      <w:ind w:left="840" w:hanging="360"/>
      <w:jc w:val="left"/>
    </w:pPr>
    <w:rPr>
      <w:rFonts w:ascii="FuturaA Md BT" w:hAnsi="FuturaA Md BT"/>
      <w:kern w:val="0"/>
      <w:sz w:val="22"/>
      <w:szCs w:val="20"/>
      <w:lang w:eastAsia="en-US"/>
    </w:rPr>
  </w:style>
  <w:style w:type="paragraph" w:customStyle="1" w:styleId="554">
    <w:name w:val="font23"/>
    <w:basedOn w:val="1"/>
    <w:qFormat/>
    <w:uiPriority w:val="0"/>
    <w:pPr>
      <w:widowControl/>
      <w:spacing w:before="100" w:beforeAutospacing="1" w:after="100" w:afterAutospacing="1"/>
      <w:jc w:val="left"/>
    </w:pPr>
    <w:rPr>
      <w:rFonts w:cs="宋体"/>
      <w:kern w:val="0"/>
      <w:sz w:val="22"/>
      <w:szCs w:val="22"/>
    </w:rPr>
  </w:style>
  <w:style w:type="paragraph" w:customStyle="1" w:styleId="555">
    <w:name w:val="版本记录标题文字"/>
    <w:basedOn w:val="1"/>
    <w:semiHidden/>
    <w:qFormat/>
    <w:uiPriority w:val="0"/>
    <w:pPr>
      <w:spacing w:line="360" w:lineRule="auto"/>
    </w:pPr>
    <w:rPr>
      <w:rFonts w:ascii="Times New Roman" w:hAnsi="Times New Roman"/>
      <w:sz w:val="24"/>
      <w:szCs w:val="24"/>
    </w:rPr>
  </w:style>
  <w:style w:type="paragraph" w:customStyle="1" w:styleId="556">
    <w:name w:val="样式 正文缩进正文（首行缩进两字）四号特点标题4表正文正文非缩进缩进ALT+Z段1正文不缩进特点 Char...1"/>
    <w:basedOn w:val="15"/>
    <w:qFormat/>
    <w:uiPriority w:val="0"/>
    <w:pPr>
      <w:spacing w:line="360" w:lineRule="auto"/>
      <w:ind w:firstLine="0"/>
    </w:pPr>
    <w:rPr>
      <w:rFonts w:cs="宋体"/>
      <w:kern w:val="0"/>
      <w:sz w:val="24"/>
      <w:szCs w:val="20"/>
    </w:rPr>
  </w:style>
  <w:style w:type="paragraph" w:customStyle="1" w:styleId="557">
    <w:name w:val="版本记录表格内文字"/>
    <w:basedOn w:val="1"/>
    <w:semiHidden/>
    <w:qFormat/>
    <w:uiPriority w:val="0"/>
    <w:pPr>
      <w:spacing w:line="360" w:lineRule="auto"/>
      <w:jc w:val="center"/>
    </w:pPr>
    <w:rPr>
      <w:rFonts w:ascii="Times New Roman" w:hAnsi="Times New Roman"/>
      <w:sz w:val="24"/>
      <w:szCs w:val="24"/>
    </w:rPr>
  </w:style>
  <w:style w:type="paragraph" w:customStyle="1" w:styleId="558">
    <w:name w:val="Char Char Char Char"/>
    <w:basedOn w:val="1"/>
    <w:qFormat/>
    <w:uiPriority w:val="0"/>
    <w:rPr>
      <w:rFonts w:ascii="Times New Roman" w:hAnsi="Times New Roman"/>
      <w:szCs w:val="24"/>
    </w:rPr>
  </w:style>
  <w:style w:type="paragraph" w:customStyle="1" w:styleId="55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Arial Unicode MS"/>
      <w:b/>
      <w:bCs/>
      <w:kern w:val="0"/>
      <w:sz w:val="24"/>
      <w:szCs w:val="24"/>
    </w:rPr>
  </w:style>
  <w:style w:type="paragraph" w:customStyle="1" w:styleId="560">
    <w:name w:val="xl51"/>
    <w:basedOn w:val="1"/>
    <w:qFormat/>
    <w:uiPriority w:val="0"/>
    <w:pPr>
      <w:widowControl/>
      <w:pBdr>
        <w:left w:val="single" w:color="auto" w:sz="12" w:space="0"/>
      </w:pBdr>
      <w:spacing w:before="100" w:beforeAutospacing="1" w:after="100" w:afterAutospacing="1"/>
      <w:jc w:val="left"/>
      <w:textAlignment w:val="top"/>
    </w:pPr>
    <w:rPr>
      <w:rFonts w:ascii="Helv" w:hAnsi="Helv"/>
      <w:b/>
      <w:bCs/>
      <w:kern w:val="0"/>
      <w:sz w:val="28"/>
      <w:szCs w:val="28"/>
    </w:rPr>
  </w:style>
  <w:style w:type="paragraph" w:customStyle="1" w:styleId="56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562">
    <w:name w:val="xl126"/>
    <w:basedOn w:val="1"/>
    <w:qFormat/>
    <w:uiPriority w:val="0"/>
    <w:pPr>
      <w:widowControl/>
      <w:spacing w:before="100" w:beforeAutospacing="1" w:after="100" w:afterAutospacing="1"/>
      <w:jc w:val="center"/>
    </w:pPr>
    <w:rPr>
      <w:rFonts w:cs="宋体"/>
      <w:b/>
      <w:bCs/>
      <w:kern w:val="0"/>
      <w:sz w:val="36"/>
      <w:szCs w:val="36"/>
    </w:rPr>
  </w:style>
  <w:style w:type="paragraph" w:customStyle="1" w:styleId="56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64">
    <w:name w:val="xl50"/>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65">
    <w:name w:val="目录文字"/>
    <w:basedOn w:val="1"/>
    <w:qFormat/>
    <w:uiPriority w:val="0"/>
    <w:pPr>
      <w:widowControl/>
      <w:spacing w:line="480" w:lineRule="auto"/>
      <w:jc w:val="left"/>
    </w:pPr>
    <w:rPr>
      <w:kern w:val="0"/>
      <w:sz w:val="24"/>
      <w:szCs w:val="20"/>
    </w:rPr>
  </w:style>
  <w:style w:type="paragraph" w:customStyle="1" w:styleId="566">
    <w:name w:val="table"/>
    <w:basedOn w:val="1"/>
    <w:qFormat/>
    <w:uiPriority w:val="0"/>
    <w:pPr>
      <w:widowControl/>
      <w:overflowPunct w:val="0"/>
      <w:autoSpaceDE w:val="0"/>
      <w:autoSpaceDN w:val="0"/>
      <w:adjustRightInd w:val="0"/>
      <w:spacing w:before="60" w:after="60"/>
      <w:jc w:val="center"/>
      <w:textAlignment w:val="baseline"/>
    </w:pPr>
    <w:rPr>
      <w:rFonts w:ascii="仿宋体" w:hAnsi="Times New Roman" w:eastAsia="仿宋体"/>
      <w:kern w:val="0"/>
      <w:sz w:val="24"/>
      <w:szCs w:val="20"/>
    </w:rPr>
  </w:style>
  <w:style w:type="paragraph" w:customStyle="1" w:styleId="567">
    <w:name w:val="纯文本1"/>
    <w:basedOn w:val="1"/>
    <w:qFormat/>
    <w:uiPriority w:val="0"/>
    <w:pPr>
      <w:autoSpaceDE w:val="0"/>
      <w:autoSpaceDN w:val="0"/>
      <w:adjustRightInd w:val="0"/>
    </w:pPr>
    <w:rPr>
      <w:rFonts w:hint="eastAsia" w:hAnsi="Times New Roman"/>
      <w:sz w:val="24"/>
      <w:szCs w:val="20"/>
    </w:rPr>
  </w:style>
  <w:style w:type="paragraph" w:customStyle="1" w:styleId="568">
    <w:name w:val="正文文字 1"/>
    <w:basedOn w:val="1"/>
    <w:qFormat/>
    <w:uiPriority w:val="0"/>
    <w:pPr>
      <w:widowControl/>
      <w:snapToGrid w:val="0"/>
      <w:spacing w:before="80" w:after="80" w:line="360" w:lineRule="auto"/>
      <w:ind w:left="1134"/>
    </w:pPr>
    <w:rPr>
      <w:rFonts w:ascii="Times New Roman" w:hAnsi="Times New Roman"/>
      <w:szCs w:val="20"/>
    </w:rPr>
  </w:style>
  <w:style w:type="paragraph" w:customStyle="1" w:styleId="569">
    <w:name w:val="my标题3"/>
    <w:basedOn w:val="1"/>
    <w:qFormat/>
    <w:uiPriority w:val="0"/>
    <w:pPr>
      <w:tabs>
        <w:tab w:val="left" w:pos="720"/>
      </w:tabs>
      <w:autoSpaceDE w:val="0"/>
      <w:autoSpaceDN w:val="0"/>
      <w:adjustRightInd w:val="0"/>
      <w:snapToGrid w:val="0"/>
      <w:spacing w:line="360" w:lineRule="auto"/>
      <w:ind w:left="720" w:hanging="720"/>
    </w:pPr>
    <w:rPr>
      <w:snapToGrid w:val="0"/>
      <w:color w:val="000000"/>
      <w:kern w:val="24"/>
      <w:sz w:val="24"/>
      <w:szCs w:val="20"/>
    </w:rPr>
  </w:style>
  <w:style w:type="paragraph" w:customStyle="1" w:styleId="570">
    <w:name w:val="Char Char Char Char Char Char Char Char Char Char1"/>
    <w:basedOn w:val="1"/>
    <w:qFormat/>
    <w:uiPriority w:val="0"/>
    <w:rPr>
      <w:rFonts w:ascii="Times New Roman" w:hAnsi="Times New Roman"/>
      <w:szCs w:val="20"/>
    </w:rPr>
  </w:style>
  <w:style w:type="paragraph" w:customStyle="1" w:styleId="571">
    <w:name w:val="xl56"/>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72">
    <w:name w:val="srk2"/>
    <w:basedOn w:val="1"/>
    <w:qFormat/>
    <w:uiPriority w:val="0"/>
    <w:pPr>
      <w:widowControl/>
      <w:pBdr>
        <w:top w:val="single" w:color="C2A67E" w:sz="6" w:space="0"/>
        <w:left w:val="single" w:color="C2A67E" w:sz="6" w:space="0"/>
        <w:bottom w:val="single" w:color="C2A67E" w:sz="6" w:space="0"/>
        <w:right w:val="single" w:color="C2A67E" w:sz="6" w:space="0"/>
      </w:pBdr>
      <w:shd w:val="clear" w:color="auto" w:fill="FAF2E7"/>
      <w:spacing w:before="100" w:beforeAutospacing="1" w:after="100" w:afterAutospacing="1"/>
      <w:jc w:val="left"/>
    </w:pPr>
    <w:rPr>
      <w:rFonts w:ascii="Times New Roman" w:hAnsi="Times New Roman"/>
      <w:color w:val="333333"/>
      <w:kern w:val="0"/>
      <w:sz w:val="18"/>
      <w:szCs w:val="18"/>
    </w:rPr>
  </w:style>
  <w:style w:type="paragraph" w:customStyle="1" w:styleId="573">
    <w:name w:val="标题 71"/>
    <w:basedOn w:val="1"/>
    <w:qFormat/>
    <w:uiPriority w:val="0"/>
    <w:pPr>
      <w:widowControl/>
      <w:tabs>
        <w:tab w:val="left" w:pos="1296"/>
      </w:tabs>
      <w:autoSpaceDE w:val="0"/>
      <w:autoSpaceDN w:val="0"/>
      <w:ind w:left="1296" w:hanging="1296"/>
      <w:jc w:val="left"/>
    </w:pPr>
    <w:rPr>
      <w:rFonts w:ascii="Times New Roman" w:hAnsi="Times New Roman"/>
      <w:kern w:val="24"/>
      <w:sz w:val="20"/>
      <w:szCs w:val="20"/>
    </w:rPr>
  </w:style>
  <w:style w:type="paragraph" w:customStyle="1" w:styleId="574">
    <w:name w:val="xl46"/>
    <w:basedOn w:val="1"/>
    <w:qFormat/>
    <w:uiPriority w:val="0"/>
    <w:pPr>
      <w:widowControl/>
      <w:pBdr>
        <w:top w:val="single" w:color="auto" w:sz="8" w:space="0"/>
        <w:left w:val="single" w:color="auto" w:sz="12" w:space="0"/>
      </w:pBdr>
      <w:spacing w:before="100" w:beforeAutospacing="1" w:after="100" w:afterAutospacing="1"/>
      <w:jc w:val="left"/>
    </w:pPr>
    <w:rPr>
      <w:rFonts w:ascii="Helv" w:hAnsi="Helv"/>
      <w:b/>
      <w:bCs/>
      <w:kern w:val="0"/>
      <w:sz w:val="28"/>
      <w:szCs w:val="28"/>
    </w:rPr>
  </w:style>
  <w:style w:type="paragraph" w:customStyle="1" w:styleId="575">
    <w:name w:val="标题 81"/>
    <w:basedOn w:val="1"/>
    <w:qFormat/>
    <w:uiPriority w:val="0"/>
    <w:pPr>
      <w:widowControl/>
      <w:tabs>
        <w:tab w:val="left" w:pos="1440"/>
      </w:tabs>
      <w:autoSpaceDE w:val="0"/>
      <w:autoSpaceDN w:val="0"/>
      <w:ind w:left="1440" w:hanging="1440"/>
      <w:jc w:val="left"/>
    </w:pPr>
    <w:rPr>
      <w:rFonts w:ascii="Times New Roman" w:hAnsi="Times New Roman"/>
      <w:kern w:val="24"/>
      <w:sz w:val="20"/>
      <w:szCs w:val="20"/>
    </w:rPr>
  </w:style>
  <w:style w:type="paragraph" w:customStyle="1" w:styleId="576">
    <w:name w:val="Char Char Char Char Char Char1 Char Char Char Char"/>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577">
    <w:name w:val="ST20-2"/>
    <w:basedOn w:val="1"/>
    <w:qFormat/>
    <w:uiPriority w:val="0"/>
    <w:pPr>
      <w:numPr>
        <w:ilvl w:val="0"/>
        <w:numId w:val="12"/>
      </w:numPr>
      <w:tabs>
        <w:tab w:val="left" w:pos="567"/>
      </w:tabs>
      <w:adjustRightInd w:val="0"/>
      <w:snapToGrid w:val="0"/>
      <w:spacing w:after="120" w:line="300" w:lineRule="auto"/>
      <w:ind w:left="1247"/>
    </w:pPr>
    <w:rPr>
      <w:rFonts w:hAnsi="Arial"/>
      <w:sz w:val="24"/>
      <w:szCs w:val="24"/>
    </w:rPr>
  </w:style>
  <w:style w:type="paragraph" w:customStyle="1" w:styleId="57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cs="宋体"/>
      <w:kern w:val="0"/>
      <w:sz w:val="20"/>
      <w:szCs w:val="20"/>
    </w:rPr>
  </w:style>
  <w:style w:type="paragraph" w:customStyle="1" w:styleId="579">
    <w:name w:val="图标"/>
    <w:basedOn w:val="1"/>
    <w:next w:val="1"/>
    <w:qFormat/>
    <w:uiPriority w:val="0"/>
    <w:pPr>
      <w:adjustRightInd w:val="0"/>
      <w:spacing w:after="360" w:line="360" w:lineRule="atLeast"/>
      <w:jc w:val="center"/>
      <w:textAlignment w:val="baseline"/>
    </w:pPr>
    <w:rPr>
      <w:rFonts w:ascii="黑体" w:hAnsi="Times New Roman" w:eastAsia="黑体"/>
      <w:kern w:val="0"/>
      <w:sz w:val="24"/>
      <w:szCs w:val="20"/>
    </w:rPr>
  </w:style>
  <w:style w:type="paragraph" w:customStyle="1" w:styleId="580">
    <w:name w:val="需求书2"/>
    <w:basedOn w:val="1"/>
    <w:qFormat/>
    <w:uiPriority w:val="0"/>
    <w:pPr>
      <w:adjustRightInd w:val="0"/>
      <w:snapToGrid w:val="0"/>
      <w:spacing w:line="300" w:lineRule="auto"/>
      <w:ind w:firstLine="336" w:firstLineChars="160"/>
    </w:pPr>
    <w:rPr>
      <w:rFonts w:ascii="黑体" w:eastAsia="黑体"/>
      <w:kern w:val="0"/>
      <w:szCs w:val="24"/>
    </w:rPr>
  </w:style>
  <w:style w:type="paragraph" w:customStyle="1" w:styleId="581">
    <w:name w:val="纯文本2"/>
    <w:basedOn w:val="1"/>
    <w:qFormat/>
    <w:uiPriority w:val="0"/>
    <w:pPr>
      <w:adjustRightInd w:val="0"/>
      <w:textAlignment w:val="baseline"/>
    </w:pPr>
    <w:rPr>
      <w:rFonts w:hAnsi="Times New Roman"/>
      <w:kern w:val="0"/>
      <w:sz w:val="24"/>
      <w:szCs w:val="20"/>
    </w:rPr>
  </w:style>
  <w:style w:type="paragraph" w:customStyle="1" w:styleId="582">
    <w:name w:val="Char Char Char Char Char Char Char1"/>
    <w:basedOn w:val="1"/>
    <w:qFormat/>
    <w:uiPriority w:val="0"/>
    <w:pPr>
      <w:spacing w:line="360" w:lineRule="auto"/>
    </w:pPr>
    <w:rPr>
      <w:rFonts w:ascii="Tahoma" w:hAnsi="Tahoma"/>
      <w:sz w:val="24"/>
      <w:szCs w:val="20"/>
    </w:rPr>
  </w:style>
  <w:style w:type="paragraph" w:customStyle="1" w:styleId="583">
    <w:name w:val="样式 标题 2 + (西文) 宋体 (中文) MS Mincho"/>
    <w:basedOn w:val="4"/>
    <w:qFormat/>
    <w:uiPriority w:val="0"/>
    <w:pPr>
      <w:keepNext w:val="0"/>
      <w:keepLines w:val="0"/>
      <w:numPr>
        <w:ilvl w:val="1"/>
        <w:numId w:val="2"/>
      </w:numPr>
      <w:tabs>
        <w:tab w:val="left" w:pos="630"/>
      </w:tabs>
      <w:adjustRightInd w:val="0"/>
      <w:snapToGrid w:val="0"/>
      <w:spacing w:line="240" w:lineRule="auto"/>
    </w:pPr>
    <w:rPr>
      <w:rFonts w:ascii="宋体" w:hAnsi="宋体"/>
      <w:sz w:val="21"/>
      <w:szCs w:val="20"/>
      <w:lang w:eastAsia="ja-JP"/>
    </w:rPr>
  </w:style>
  <w:style w:type="paragraph" w:customStyle="1" w:styleId="584">
    <w:name w:val="默认段落字体 Para Char Char Char Char Char Char Char Char Char1 Char Char Char Char Char Char Char Char Char Char"/>
    <w:basedOn w:val="18"/>
    <w:qFormat/>
    <w:uiPriority w:val="0"/>
    <w:pPr>
      <w:spacing w:line="360" w:lineRule="auto"/>
    </w:pPr>
    <w:rPr>
      <w:rFonts w:ascii="Tahoma" w:hAnsi="Tahoma"/>
      <w:lang w:val="en-US"/>
    </w:rPr>
  </w:style>
  <w:style w:type="paragraph" w:customStyle="1" w:styleId="585">
    <w:name w:val="正文(首行缩进)"/>
    <w:qFormat/>
    <w:uiPriority w:val="0"/>
    <w:pPr>
      <w:spacing w:line="360" w:lineRule="auto"/>
      <w:ind w:firstLine="200" w:firstLineChars="200"/>
      <w:jc w:val="both"/>
    </w:pPr>
    <w:rPr>
      <w:rFonts w:ascii="Times New Roman" w:hAnsi="Times New Roman" w:eastAsia="仿宋_GB2312" w:cs="Times New Roman"/>
      <w:spacing w:val="2"/>
      <w:kern w:val="24"/>
      <w:sz w:val="24"/>
      <w:lang w:val="en-US" w:eastAsia="zh-CN" w:bidi="ar-SA"/>
    </w:rPr>
  </w:style>
  <w:style w:type="paragraph" w:customStyle="1" w:styleId="586">
    <w:name w:val="font0"/>
    <w:basedOn w:val="1"/>
    <w:qFormat/>
    <w:uiPriority w:val="0"/>
    <w:pPr>
      <w:widowControl/>
      <w:spacing w:before="100" w:beforeAutospacing="1" w:after="100" w:afterAutospacing="1"/>
      <w:jc w:val="left"/>
    </w:pPr>
    <w:rPr>
      <w:rFonts w:cs="宋体"/>
      <w:color w:val="000000"/>
      <w:kern w:val="0"/>
      <w:sz w:val="22"/>
      <w:szCs w:val="22"/>
    </w:rPr>
  </w:style>
  <w:style w:type="paragraph" w:customStyle="1" w:styleId="58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88">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cs="宋体"/>
      <w:b/>
      <w:bCs/>
      <w:kern w:val="0"/>
      <w:sz w:val="24"/>
      <w:szCs w:val="24"/>
    </w:rPr>
  </w:style>
  <w:style w:type="paragraph" w:customStyle="1" w:styleId="589">
    <w:name w:val="默认段落字体 Para Char"/>
    <w:basedOn w:val="1"/>
    <w:qFormat/>
    <w:uiPriority w:val="0"/>
    <w:pPr>
      <w:spacing w:line="360" w:lineRule="auto"/>
    </w:pPr>
    <w:rPr>
      <w:rFonts w:ascii="Tahoma" w:hAnsi="Tahoma"/>
      <w:sz w:val="24"/>
      <w:szCs w:val="20"/>
    </w:rPr>
  </w:style>
  <w:style w:type="paragraph" w:customStyle="1" w:styleId="590">
    <w:name w:val="unnamed2"/>
    <w:basedOn w:val="1"/>
    <w:qFormat/>
    <w:uiPriority w:val="0"/>
    <w:pPr>
      <w:widowControl/>
      <w:spacing w:before="100" w:beforeAutospacing="1" w:after="100" w:afterAutospacing="1"/>
      <w:jc w:val="left"/>
    </w:pPr>
    <w:rPr>
      <w:kern w:val="0"/>
      <w:sz w:val="24"/>
      <w:szCs w:val="24"/>
    </w:rPr>
  </w:style>
  <w:style w:type="paragraph" w:customStyle="1" w:styleId="591">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592">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593">
    <w:name w:val="表正文"/>
    <w:basedOn w:val="1"/>
    <w:qFormat/>
    <w:uiPriority w:val="0"/>
    <w:pPr>
      <w:autoSpaceDE w:val="0"/>
      <w:autoSpaceDN w:val="0"/>
      <w:adjustRightInd w:val="0"/>
      <w:jc w:val="center"/>
    </w:pPr>
    <w:rPr>
      <w:rFonts w:ascii="Times New Roman" w:hAnsi="Times New Roman"/>
      <w:color w:val="000000"/>
      <w:sz w:val="16"/>
      <w:szCs w:val="20"/>
    </w:rPr>
  </w:style>
  <w:style w:type="paragraph" w:customStyle="1" w:styleId="594">
    <w:name w:val="xl129"/>
    <w:basedOn w:val="1"/>
    <w:qFormat/>
    <w:uiPriority w:val="0"/>
    <w:pPr>
      <w:widowControl/>
      <w:shd w:val="clear" w:color="000000" w:fill="FFFF00"/>
      <w:spacing w:before="100" w:beforeAutospacing="1" w:after="100" w:afterAutospacing="1"/>
      <w:jc w:val="left"/>
      <w:textAlignment w:val="bottom"/>
    </w:pPr>
    <w:rPr>
      <w:rFonts w:cs="宋体"/>
      <w:kern w:val="0"/>
      <w:sz w:val="20"/>
      <w:szCs w:val="20"/>
    </w:rPr>
  </w:style>
  <w:style w:type="paragraph" w:customStyle="1" w:styleId="595">
    <w:name w:val="日期1"/>
    <w:basedOn w:val="1"/>
    <w:next w:val="1"/>
    <w:qFormat/>
    <w:uiPriority w:val="0"/>
    <w:pPr>
      <w:adjustRightInd w:val="0"/>
      <w:spacing w:line="360" w:lineRule="atLeast"/>
      <w:textAlignment w:val="baseline"/>
    </w:pPr>
    <w:rPr>
      <w:rFonts w:hAnsi="Times New Roman" w:eastAsia="Wingdings"/>
      <w:kern w:val="0"/>
      <w:sz w:val="24"/>
      <w:szCs w:val="20"/>
    </w:rPr>
  </w:style>
  <w:style w:type="paragraph" w:customStyle="1" w:styleId="59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olor w:val="000000"/>
      <w:kern w:val="0"/>
      <w:sz w:val="20"/>
      <w:szCs w:val="20"/>
    </w:rPr>
  </w:style>
  <w:style w:type="paragraph" w:customStyle="1" w:styleId="597">
    <w:name w:val="2级列项"/>
    <w:basedOn w:val="598"/>
    <w:qFormat/>
    <w:uiPriority w:val="0"/>
    <w:pPr>
      <w:tabs>
        <w:tab w:val="left" w:pos="839"/>
      </w:tabs>
    </w:pPr>
  </w:style>
  <w:style w:type="paragraph" w:customStyle="1" w:styleId="598">
    <w:name w:val="1级列项"/>
    <w:basedOn w:val="451"/>
    <w:qFormat/>
    <w:uiPriority w:val="0"/>
    <w:pPr>
      <w:tabs>
        <w:tab w:val="left" w:pos="839"/>
      </w:tabs>
      <w:spacing w:line="480" w:lineRule="atLeast"/>
      <w:ind w:firstLine="420" w:firstLineChars="0"/>
    </w:pPr>
    <w:rPr>
      <w:rFonts w:ascii="Calibri" w:hAnsi="Calibri"/>
    </w:rPr>
  </w:style>
  <w:style w:type="paragraph" w:customStyle="1" w:styleId="599">
    <w:name w:val="xl39"/>
    <w:basedOn w:val="1"/>
    <w:qFormat/>
    <w:uiPriority w:val="0"/>
    <w:pPr>
      <w:widowControl/>
      <w:spacing w:before="100" w:beforeAutospacing="1" w:after="100" w:afterAutospacing="1"/>
      <w:jc w:val="left"/>
    </w:pPr>
    <w:rPr>
      <w:rFonts w:ascii="Helv" w:hAnsi="Helv"/>
      <w:b/>
      <w:bCs/>
      <w:kern w:val="0"/>
      <w:sz w:val="28"/>
      <w:szCs w:val="28"/>
    </w:rPr>
  </w:style>
  <w:style w:type="paragraph" w:customStyle="1" w:styleId="600">
    <w:name w:val="正文内容"/>
    <w:basedOn w:val="1"/>
    <w:qFormat/>
    <w:uiPriority w:val="0"/>
    <w:pPr>
      <w:spacing w:beforeLines="50" w:afterLines="50" w:line="360" w:lineRule="auto"/>
      <w:ind w:firstLine="480" w:firstLineChars="200"/>
    </w:pPr>
    <w:rPr>
      <w:rFonts w:ascii="Times New Roman" w:hAnsi="Times New Roman"/>
      <w:sz w:val="24"/>
      <w:szCs w:val="24"/>
    </w:rPr>
  </w:style>
  <w:style w:type="paragraph" w:customStyle="1" w:styleId="601">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hAnsi="Times New Roman" w:eastAsia="黑体"/>
      <w:spacing w:val="20"/>
      <w:w w:val="135"/>
      <w:kern w:val="0"/>
      <w:sz w:val="36"/>
      <w:szCs w:val="20"/>
    </w:rPr>
  </w:style>
  <w:style w:type="paragraph" w:customStyle="1" w:styleId="602">
    <w:name w:val="样式 行距: 1.5 倍行距1"/>
    <w:basedOn w:val="1"/>
    <w:qFormat/>
    <w:uiPriority w:val="0"/>
    <w:pPr>
      <w:spacing w:line="360" w:lineRule="auto"/>
      <w:ind w:firstLine="480" w:firstLineChars="200"/>
    </w:pPr>
    <w:rPr>
      <w:rFonts w:ascii="Calibri" w:hAnsi="Calibri" w:cs="宋体"/>
      <w:sz w:val="24"/>
      <w:szCs w:val="20"/>
    </w:rPr>
  </w:style>
  <w:style w:type="paragraph" w:customStyle="1" w:styleId="603">
    <w:name w:val="样式 标题4 + 段前: 0 磅 段后: 0 磅"/>
    <w:basedOn w:val="15"/>
    <w:qFormat/>
    <w:uiPriority w:val="0"/>
    <w:pPr>
      <w:keepNext/>
      <w:keepLines/>
      <w:autoSpaceDE w:val="0"/>
      <w:autoSpaceDN w:val="0"/>
      <w:adjustRightInd w:val="0"/>
      <w:spacing w:line="300" w:lineRule="auto"/>
      <w:ind w:firstLine="0"/>
      <w:jc w:val="left"/>
      <w:outlineLvl w:val="3"/>
    </w:pPr>
    <w:rPr>
      <w:rFonts w:hAnsi="Arial" w:cs="宋体"/>
      <w:color w:val="000000"/>
      <w:kern w:val="0"/>
      <w:sz w:val="24"/>
      <w:szCs w:val="20"/>
      <w:u w:val="single"/>
      <w:lang w:val="zh-CN"/>
    </w:rPr>
  </w:style>
  <w:style w:type="paragraph" w:customStyle="1" w:styleId="604">
    <w:name w:val="样式 标题 1标题2章节标题b1H1章标题 1标题 1 CharCompany Title标题 1 1-*+..."/>
    <w:basedOn w:val="3"/>
    <w:qFormat/>
    <w:uiPriority w:val="0"/>
    <w:pPr>
      <w:keepLines w:val="0"/>
      <w:widowControl/>
      <w:numPr>
        <w:ilvl w:val="0"/>
        <w:numId w:val="13"/>
      </w:numPr>
      <w:tabs>
        <w:tab w:val="left" w:pos="851"/>
        <w:tab w:val="clear" w:pos="845"/>
      </w:tabs>
      <w:adjustRightInd w:val="0"/>
      <w:snapToGrid w:val="0"/>
      <w:spacing w:before="240" w:after="240" w:line="360" w:lineRule="auto"/>
    </w:pPr>
    <w:rPr>
      <w:rFonts w:ascii="Arial" w:hAnsi="Arial" w:cs="宋体"/>
      <w:b w:val="0"/>
      <w:bCs w:val="0"/>
      <w:kern w:val="0"/>
      <w:sz w:val="30"/>
      <w:szCs w:val="20"/>
    </w:rPr>
  </w:style>
  <w:style w:type="paragraph" w:customStyle="1" w:styleId="605">
    <w:name w:val="样式 纯文本 + 黑色"/>
    <w:basedOn w:val="31"/>
    <w:qFormat/>
    <w:uiPriority w:val="0"/>
    <w:pPr>
      <w:ind w:left="960" w:leftChars="343" w:firstLine="210" w:firstLineChars="100"/>
    </w:pPr>
    <w:rPr>
      <w:color w:val="000000"/>
      <w:kern w:val="0"/>
      <w:sz w:val="28"/>
    </w:rPr>
  </w:style>
  <w:style w:type="paragraph" w:customStyle="1" w:styleId="606">
    <w:name w:val="样式6"/>
    <w:basedOn w:val="3"/>
    <w:qFormat/>
    <w:uiPriority w:val="0"/>
    <w:pPr>
      <w:keepLines w:val="0"/>
      <w:tabs>
        <w:tab w:val="left" w:pos="851"/>
      </w:tabs>
      <w:adjustRightInd w:val="0"/>
      <w:snapToGrid w:val="0"/>
      <w:spacing w:beforeLines="200" w:afterLines="200" w:line="360" w:lineRule="auto"/>
      <w:ind w:left="425" w:hanging="425"/>
      <w:jc w:val="center"/>
    </w:pPr>
    <w:rPr>
      <w:rFonts w:ascii="Times New Roman" w:hAnsi="Times New Roman" w:eastAsia="黑体"/>
      <w:b w:val="0"/>
      <w:bCs w:val="0"/>
      <w:caps/>
      <w:color w:val="FF0000"/>
      <w:sz w:val="30"/>
      <w:szCs w:val="24"/>
    </w:rPr>
  </w:style>
  <w:style w:type="paragraph" w:customStyle="1" w:styleId="60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szCs w:val="24"/>
    </w:rPr>
  </w:style>
  <w:style w:type="paragraph" w:customStyle="1" w:styleId="608">
    <w:name w:val="样式 标题 6 + 行距: 1.5 倍行距"/>
    <w:basedOn w:val="8"/>
    <w:qFormat/>
    <w:uiPriority w:val="0"/>
    <w:pPr>
      <w:numPr>
        <w:numId w:val="1"/>
      </w:numPr>
      <w:tabs>
        <w:tab w:val="clear" w:pos="4677"/>
      </w:tabs>
      <w:adjustRightInd w:val="0"/>
      <w:spacing w:before="0" w:after="0" w:line="360" w:lineRule="auto"/>
      <w:ind w:left="0" w:firstLine="0"/>
      <w:jc w:val="left"/>
      <w:textAlignment w:val="baseline"/>
    </w:pPr>
    <w:rPr>
      <w:rFonts w:ascii="Times New Roman" w:hAnsi="Times New Roman"/>
      <w:kern w:val="0"/>
      <w:szCs w:val="28"/>
    </w:rPr>
  </w:style>
  <w:style w:type="paragraph" w:customStyle="1" w:styleId="609">
    <w:name w:val="样式 小四 首行缩进:  2 字符"/>
    <w:basedOn w:val="1"/>
    <w:qFormat/>
    <w:uiPriority w:val="0"/>
    <w:pPr>
      <w:spacing w:line="360" w:lineRule="auto"/>
      <w:ind w:firstLine="200" w:firstLineChars="200"/>
    </w:pPr>
    <w:rPr>
      <w:kern w:val="0"/>
      <w:sz w:val="24"/>
      <w:szCs w:val="20"/>
    </w:rPr>
  </w:style>
  <w:style w:type="paragraph" w:customStyle="1" w:styleId="610">
    <w:name w:val="样式 标题 1卷标题H1章标题 1 1TITRE1L1 Heading 1h11st levelh111st...2"/>
    <w:basedOn w:val="3"/>
    <w:qFormat/>
    <w:uiPriority w:val="0"/>
    <w:pPr>
      <w:tabs>
        <w:tab w:val="left" w:pos="360"/>
        <w:tab w:val="left" w:pos="851"/>
      </w:tabs>
      <w:autoSpaceDE w:val="0"/>
      <w:autoSpaceDN w:val="0"/>
      <w:adjustRightInd w:val="0"/>
      <w:snapToGrid w:val="0"/>
      <w:spacing w:line="360" w:lineRule="auto"/>
      <w:ind w:left="360" w:hanging="360" w:hangingChars="200"/>
      <w:jc w:val="center"/>
    </w:pPr>
    <w:rPr>
      <w:rFonts w:ascii="宋体" w:hAnsi="宋体"/>
      <w:color w:val="000000"/>
      <w:sz w:val="30"/>
      <w:szCs w:val="20"/>
    </w:rPr>
  </w:style>
  <w:style w:type="paragraph" w:customStyle="1" w:styleId="611">
    <w:name w:val="文字"/>
    <w:basedOn w:val="1"/>
    <w:qFormat/>
    <w:uiPriority w:val="0"/>
    <w:pPr>
      <w:tabs>
        <w:tab w:val="left" w:pos="2740"/>
        <w:tab w:val="left" w:pos="8520"/>
      </w:tabs>
      <w:spacing w:line="312" w:lineRule="auto"/>
      <w:ind w:right="-210" w:firstLine="556"/>
    </w:pPr>
    <w:rPr>
      <w:rFonts w:ascii="楷体_GB2312" w:hAnsi="Times New Roman" w:eastAsia="楷体_GB2312"/>
      <w:sz w:val="28"/>
      <w:szCs w:val="20"/>
    </w:rPr>
  </w:style>
  <w:style w:type="paragraph" w:customStyle="1" w:styleId="612">
    <w:name w:val="样式 左侧:  0 厘米 悬挂缩进: 2 字符 行距: 1.5 倍行距"/>
    <w:basedOn w:val="1"/>
    <w:qFormat/>
    <w:uiPriority w:val="0"/>
    <w:pPr>
      <w:tabs>
        <w:tab w:val="left" w:pos="780"/>
      </w:tabs>
      <w:spacing w:line="360" w:lineRule="auto"/>
      <w:ind w:left="420" w:leftChars="200" w:hanging="420" w:hangingChars="200"/>
    </w:pPr>
    <w:rPr>
      <w:rFonts w:ascii="Calibri" w:hAnsi="Calibri" w:cs="宋体"/>
      <w:sz w:val="24"/>
      <w:szCs w:val="20"/>
    </w:rPr>
  </w:style>
  <w:style w:type="paragraph" w:customStyle="1" w:styleId="613">
    <w:name w:val="Table header"/>
    <w:basedOn w:val="96"/>
    <w:qFormat/>
    <w:uiPriority w:val="0"/>
    <w:pPr>
      <w:widowControl w:val="0"/>
      <w:tabs>
        <w:tab w:val="right" w:pos="3060"/>
      </w:tabs>
      <w:snapToGrid/>
      <w:spacing w:before="60" w:after="60"/>
      <w:jc w:val="both"/>
    </w:pPr>
    <w:rPr>
      <w:rFonts w:ascii="Verdana" w:hAnsi="Verdana" w:cs="Times New Roman"/>
      <w:bCs/>
      <w:sz w:val="16"/>
      <w:lang w:bidi="he-IL"/>
    </w:rPr>
  </w:style>
  <w:style w:type="paragraph" w:customStyle="1" w:styleId="614">
    <w:name w:val="文本正文"/>
    <w:basedOn w:val="1"/>
    <w:qFormat/>
    <w:uiPriority w:val="0"/>
    <w:pPr>
      <w:widowControl/>
      <w:adjustRightInd w:val="0"/>
      <w:spacing w:before="120" w:line="360" w:lineRule="auto"/>
      <w:ind w:left="426" w:firstLine="425" w:firstLineChars="177"/>
      <w:textAlignment w:val="baseline"/>
    </w:pPr>
    <w:rPr>
      <w:rFonts w:cs="宋体"/>
      <w:sz w:val="24"/>
      <w:szCs w:val="20"/>
    </w:rPr>
  </w:style>
  <w:style w:type="paragraph" w:customStyle="1" w:styleId="615">
    <w:name w:val="标题 1H1Heading 0Fab-1PIM 1h1Level 1 Topic HeadingHeadin..."/>
    <w:basedOn w:val="3"/>
    <w:next w:val="616"/>
    <w:qFormat/>
    <w:uiPriority w:val="0"/>
    <w:pPr>
      <w:keepLines w:val="0"/>
      <w:widowControl/>
      <w:tabs>
        <w:tab w:val="left" w:pos="360"/>
        <w:tab w:val="left" w:pos="851"/>
      </w:tabs>
      <w:adjustRightInd w:val="0"/>
      <w:snapToGrid w:val="0"/>
      <w:spacing w:before="240" w:after="160" w:line="360" w:lineRule="auto"/>
      <w:ind w:left="360" w:hanging="360" w:hangingChars="200"/>
      <w:jc w:val="left"/>
    </w:pPr>
    <w:rPr>
      <w:rFonts w:ascii="Palatino Linotype" w:hAnsi="Palatino Linotype" w:cs="宋体"/>
      <w:szCs w:val="20"/>
    </w:rPr>
  </w:style>
  <w:style w:type="paragraph" w:customStyle="1" w:styleId="616">
    <w:name w:val="样式 正文缩进正文（首行缩进两字）四号特点标题4表正文正文非缩进缩进ALT+Z段1正文不缩进特点 Char..."/>
    <w:basedOn w:val="15"/>
    <w:qFormat/>
    <w:uiPriority w:val="0"/>
    <w:pPr>
      <w:spacing w:line="360" w:lineRule="auto"/>
      <w:ind w:firstLine="480" w:firstLineChars="200"/>
    </w:pPr>
    <w:rPr>
      <w:rFonts w:cs="宋体"/>
      <w:kern w:val="0"/>
      <w:sz w:val="24"/>
      <w:szCs w:val="20"/>
    </w:rPr>
  </w:style>
  <w:style w:type="paragraph" w:customStyle="1" w:styleId="617">
    <w:name w:val="样式 标题 2节标题 1.1b2H2½Ú节1.1标题 2标题 1.11.1标题22例如：1.1 内容Tit..."/>
    <w:basedOn w:val="1"/>
    <w:qFormat/>
    <w:uiPriority w:val="0"/>
    <w:pPr>
      <w:numPr>
        <w:ilvl w:val="1"/>
        <w:numId w:val="14"/>
      </w:numPr>
    </w:pPr>
    <w:rPr>
      <w:rFonts w:ascii="Times New Roman" w:hAnsi="Times New Roman"/>
      <w:szCs w:val="24"/>
    </w:rPr>
  </w:style>
  <w:style w:type="paragraph" w:customStyle="1" w:styleId="618">
    <w:name w:val="正文3"/>
    <w:qFormat/>
    <w:uiPriority w:val="0"/>
    <w:pPr>
      <w:tabs>
        <w:tab w:val="left" w:pos="1834"/>
      </w:tabs>
      <w:spacing w:line="360" w:lineRule="auto"/>
      <w:ind w:left="1758" w:hanging="284"/>
    </w:pPr>
    <w:rPr>
      <w:rFonts w:ascii="Times New Roman" w:hAnsi="Times New Roman" w:eastAsia="宋体" w:cs="Times New Roman"/>
      <w:sz w:val="24"/>
      <w:lang w:val="en-US" w:eastAsia="zh-CN" w:bidi="ar-SA"/>
    </w:rPr>
  </w:style>
  <w:style w:type="paragraph" w:styleId="619">
    <w:name w:val="No Spacing"/>
    <w:qFormat/>
    <w:uiPriority w:val="0"/>
    <w:pPr>
      <w:widowControl w:val="0"/>
      <w:autoSpaceDE w:val="0"/>
      <w:autoSpaceDN w:val="0"/>
      <w:adjustRightInd w:val="0"/>
      <w:jc w:val="both"/>
      <w:outlineLvl w:val="0"/>
    </w:pPr>
    <w:rPr>
      <w:rFonts w:ascii="Times New Roman" w:hAnsi="Times New Roman" w:eastAsia="宋体" w:cs="Times New Roman"/>
      <w:kern w:val="2"/>
      <w:sz w:val="21"/>
      <w:szCs w:val="21"/>
      <w:lang w:val="zh-CN" w:eastAsia="zh-CN" w:bidi="ar-SA"/>
    </w:rPr>
  </w:style>
  <w:style w:type="paragraph" w:customStyle="1" w:styleId="62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621">
    <w:name w:val="标题 3h3H3level_3PIM 3Level 3 HeadHeading 3 - oldsect1.2..."/>
    <w:basedOn w:val="5"/>
    <w:next w:val="616"/>
    <w:qFormat/>
    <w:uiPriority w:val="0"/>
    <w:pPr>
      <w:numPr>
        <w:ilvl w:val="0"/>
        <w:numId w:val="0"/>
      </w:numPr>
      <w:tabs>
        <w:tab w:val="left" w:pos="840"/>
        <w:tab w:val="left" w:pos="1080"/>
        <w:tab w:val="clear" w:pos="432"/>
      </w:tabs>
      <w:spacing w:before="240" w:after="160" w:line="360" w:lineRule="auto"/>
      <w:ind w:left="1080" w:hanging="720"/>
      <w:textAlignment w:val="baseline"/>
    </w:pPr>
    <w:rPr>
      <w:rFonts w:ascii="Palatino Linotype" w:hAnsi="Palatino Linotype" w:eastAsia="宋体" w:cs="宋体"/>
      <w:sz w:val="28"/>
      <w:szCs w:val="20"/>
    </w:rPr>
  </w:style>
  <w:style w:type="paragraph" w:customStyle="1" w:styleId="62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Arial Unicode MS"/>
      <w:color w:val="000000"/>
      <w:kern w:val="0"/>
      <w:sz w:val="20"/>
      <w:szCs w:val="20"/>
    </w:rPr>
  </w:style>
  <w:style w:type="paragraph" w:customStyle="1" w:styleId="623">
    <w:name w:val="xl49"/>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62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625">
    <w:name w:val="封面落款"/>
    <w:basedOn w:val="31"/>
    <w:qFormat/>
    <w:uiPriority w:val="0"/>
    <w:pPr>
      <w:spacing w:line="360" w:lineRule="auto"/>
      <w:jc w:val="center"/>
    </w:pPr>
    <w:rPr>
      <w:rFonts w:ascii="黑体"/>
      <w:b/>
      <w:color w:val="000000"/>
      <w:kern w:val="0"/>
      <w:sz w:val="44"/>
    </w:rPr>
  </w:style>
  <w:style w:type="paragraph" w:customStyle="1" w:styleId="626">
    <w:name w:val="p2"/>
    <w:basedOn w:val="1"/>
    <w:qFormat/>
    <w:uiPriority w:val="0"/>
    <w:pPr>
      <w:widowControl/>
      <w:autoSpaceDE w:val="0"/>
      <w:autoSpaceDN w:val="0"/>
      <w:ind w:left="2098" w:hanging="510"/>
      <w:textAlignment w:val="bottom"/>
    </w:pPr>
    <w:rPr>
      <w:rFonts w:ascii="Times New Roman" w:hAnsi="Times New Roman"/>
      <w:color w:val="000000"/>
      <w:sz w:val="26"/>
      <w:szCs w:val="24"/>
    </w:rPr>
  </w:style>
  <w:style w:type="paragraph" w:customStyle="1" w:styleId="627">
    <w:name w:val="标题 51"/>
    <w:basedOn w:val="1"/>
    <w:qFormat/>
    <w:uiPriority w:val="0"/>
    <w:pPr>
      <w:widowControl/>
      <w:tabs>
        <w:tab w:val="left" w:pos="1008"/>
      </w:tabs>
      <w:autoSpaceDE w:val="0"/>
      <w:autoSpaceDN w:val="0"/>
      <w:ind w:left="1008" w:hanging="1008"/>
      <w:jc w:val="left"/>
    </w:pPr>
    <w:rPr>
      <w:rFonts w:ascii="Times New Roman" w:hAnsi="Times New Roman"/>
      <w:kern w:val="24"/>
      <w:sz w:val="20"/>
      <w:szCs w:val="20"/>
    </w:rPr>
  </w:style>
  <w:style w:type="paragraph" w:customStyle="1" w:styleId="628">
    <w:name w:val="BodyText"/>
    <w:basedOn w:val="1"/>
    <w:qFormat/>
    <w:uiPriority w:val="0"/>
    <w:pPr>
      <w:widowControl/>
      <w:autoSpaceDE w:val="0"/>
      <w:autoSpaceDN w:val="0"/>
      <w:spacing w:before="120" w:after="120" w:line="360" w:lineRule="auto"/>
      <w:ind w:firstLine="540"/>
    </w:pPr>
    <w:rPr>
      <w:rFonts w:hAnsi="Times New Roman"/>
      <w:sz w:val="28"/>
      <w:szCs w:val="20"/>
    </w:rPr>
  </w:style>
  <w:style w:type="paragraph" w:customStyle="1" w:styleId="629">
    <w:name w:val="非居中表格"/>
    <w:basedOn w:val="507"/>
    <w:qFormat/>
    <w:uiPriority w:val="0"/>
    <w:pPr>
      <w:adjustRightInd w:val="0"/>
      <w:textAlignment w:val="baseline"/>
    </w:pPr>
    <w:rPr>
      <w:rFonts w:ascii="宋体"/>
      <w:kern w:val="0"/>
      <w:sz w:val="24"/>
      <w:szCs w:val="20"/>
    </w:rPr>
  </w:style>
  <w:style w:type="paragraph" w:customStyle="1" w:styleId="630">
    <w:name w:val="CENTER 1"/>
    <w:basedOn w:val="1"/>
    <w:qFormat/>
    <w:uiPriority w:val="0"/>
    <w:pPr>
      <w:keepNext/>
      <w:widowControl/>
      <w:overflowPunct w:val="0"/>
      <w:autoSpaceDE w:val="0"/>
      <w:autoSpaceDN w:val="0"/>
      <w:adjustRightInd w:val="0"/>
      <w:spacing w:after="240"/>
      <w:jc w:val="center"/>
      <w:textAlignment w:val="baseline"/>
    </w:pPr>
    <w:rPr>
      <w:rFonts w:ascii="Times New Roman" w:hAnsi="Times New Roman"/>
      <w:caps/>
      <w:kern w:val="0"/>
      <w:sz w:val="24"/>
      <w:szCs w:val="24"/>
    </w:rPr>
  </w:style>
  <w:style w:type="paragraph" w:customStyle="1" w:styleId="631">
    <w:name w:val="ART"/>
    <w:basedOn w:val="1"/>
    <w:qFormat/>
    <w:uiPriority w:val="0"/>
    <w:pPr>
      <w:tabs>
        <w:tab w:val="left" w:pos="648"/>
      </w:tabs>
      <w:autoSpaceDE w:val="0"/>
      <w:autoSpaceDN w:val="0"/>
      <w:adjustRightInd w:val="0"/>
      <w:spacing w:before="200"/>
      <w:ind w:left="648" w:hanging="648"/>
    </w:pPr>
    <w:rPr>
      <w:rFonts w:ascii="GillSans" w:hAnsi="GillSans"/>
      <w:b/>
      <w:bCs/>
      <w:caps/>
      <w:kern w:val="0"/>
    </w:rPr>
  </w:style>
  <w:style w:type="paragraph" w:customStyle="1" w:styleId="632">
    <w:name w:val="正文排版 Char Char Char"/>
    <w:basedOn w:val="1"/>
    <w:qFormat/>
    <w:uiPriority w:val="0"/>
    <w:pPr>
      <w:spacing w:before="240" w:line="240" w:lineRule="atLeast"/>
      <w:ind w:firstLine="200" w:firstLineChars="200"/>
    </w:pPr>
    <w:rPr>
      <w:rFonts w:ascii="FuturaA Bk BT" w:hAnsi="FuturaA Bk BT"/>
    </w:rPr>
  </w:style>
  <w:style w:type="paragraph" w:customStyle="1" w:styleId="633">
    <w:name w:val="封面文档编号"/>
    <w:basedOn w:val="451"/>
    <w:semiHidden/>
    <w:qFormat/>
    <w:uiPriority w:val="0"/>
    <w:pPr>
      <w:spacing w:line="640" w:lineRule="exact"/>
      <w:ind w:firstLine="0" w:firstLineChars="0"/>
      <w:jc w:val="center"/>
    </w:pPr>
    <w:rPr>
      <w:rFonts w:ascii="黑体" w:hAnsi="Calibri" w:eastAsia="黑体"/>
      <w:b/>
      <w:sz w:val="32"/>
      <w:szCs w:val="32"/>
    </w:rPr>
  </w:style>
  <w:style w:type="paragraph" w:customStyle="1" w:styleId="634">
    <w:name w:val="Table body"/>
    <w:basedOn w:val="1"/>
    <w:qFormat/>
    <w:uiPriority w:val="0"/>
    <w:pPr>
      <w:widowControl/>
      <w:spacing w:before="40" w:after="40"/>
      <w:jc w:val="left"/>
    </w:pPr>
    <w:rPr>
      <w:rFonts w:ascii="Arial" w:hAnsi="Arial"/>
      <w:kern w:val="0"/>
      <w:sz w:val="18"/>
      <w:szCs w:val="18"/>
      <w:lang w:eastAsia="en-US" w:bidi="he-IL"/>
    </w:rPr>
  </w:style>
  <w:style w:type="paragraph" w:customStyle="1" w:styleId="635">
    <w:name w:val="样式 纯文本 + 左侧:  0 厘米 悬挂缩进: 7.2 字符"/>
    <w:basedOn w:val="31"/>
    <w:qFormat/>
    <w:uiPriority w:val="0"/>
    <w:pPr>
      <w:ind w:left="720" w:hanging="720"/>
    </w:pPr>
    <w:rPr>
      <w:kern w:val="0"/>
      <w:sz w:val="28"/>
    </w:rPr>
  </w:style>
  <w:style w:type="paragraph" w:customStyle="1" w:styleId="636">
    <w:name w:val="“目录”"/>
    <w:basedOn w:val="451"/>
    <w:semiHidden/>
    <w:qFormat/>
    <w:uiPriority w:val="0"/>
    <w:pPr>
      <w:spacing w:line="480" w:lineRule="atLeast"/>
      <w:ind w:firstLine="0" w:firstLineChars="0"/>
      <w:jc w:val="center"/>
    </w:pPr>
    <w:rPr>
      <w:rFonts w:ascii="Calibri" w:hAnsi="Calibri"/>
      <w:b/>
      <w:sz w:val="44"/>
    </w:rPr>
  </w:style>
  <w:style w:type="paragraph" w:customStyle="1" w:styleId="637">
    <w:name w:val="样式 标题 4 + 左侧:  0 厘米 悬挂缩进: 8.64 字符 段前: 0 磅 段后: 0 磅 行距: 最小值 12..."/>
    <w:basedOn w:val="6"/>
    <w:qFormat/>
    <w:uiPriority w:val="0"/>
    <w:pPr>
      <w:tabs>
        <w:tab w:val="left" w:pos="360"/>
        <w:tab w:val="clear" w:pos="432"/>
      </w:tabs>
      <w:spacing w:line="240" w:lineRule="atLeast"/>
      <w:ind w:left="-25" w:hanging="360" w:hangingChars="200"/>
    </w:pPr>
    <w:rPr>
      <w:b w:val="0"/>
      <w:color w:val="000000"/>
      <w:kern w:val="0"/>
      <w:sz w:val="24"/>
      <w:szCs w:val="20"/>
    </w:rPr>
  </w:style>
  <w:style w:type="paragraph" w:customStyle="1" w:styleId="638">
    <w:name w:val="标题 4H4Fab-4T5PIM 4h4Ref Heading 1rh1Heading sqlsect ..."/>
    <w:basedOn w:val="6"/>
    <w:next w:val="616"/>
    <w:qFormat/>
    <w:uiPriority w:val="0"/>
    <w:pPr>
      <w:numPr>
        <w:ilvl w:val="0"/>
        <w:numId w:val="0"/>
      </w:numPr>
      <w:tabs>
        <w:tab w:val="left" w:pos="864"/>
        <w:tab w:val="left" w:pos="1134"/>
        <w:tab w:val="left" w:pos="1701"/>
        <w:tab w:val="left" w:pos="2268"/>
        <w:tab w:val="clear" w:pos="432"/>
      </w:tabs>
      <w:spacing w:before="160" w:after="160" w:line="360" w:lineRule="auto"/>
      <w:ind w:left="864" w:hanging="864"/>
      <w:textAlignment w:val="baseline"/>
    </w:pPr>
    <w:rPr>
      <w:rFonts w:ascii="Palatino Linotype" w:hAnsi="Palatino Linotype" w:cs="宋体"/>
      <w:b w:val="0"/>
      <w:color w:val="000000"/>
      <w:kern w:val="0"/>
      <w:sz w:val="24"/>
      <w:szCs w:val="20"/>
    </w:rPr>
  </w:style>
  <w:style w:type="paragraph" w:customStyle="1" w:styleId="639">
    <w:name w:val="xl43"/>
    <w:basedOn w:val="1"/>
    <w:qFormat/>
    <w:uiPriority w:val="0"/>
    <w:pPr>
      <w:widowControl/>
      <w:pBdr>
        <w:top w:val="single" w:color="auto" w:sz="12" w:space="0"/>
        <w:left w:val="single" w:color="auto" w:sz="8"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64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641">
    <w:name w:val="样式 标题 2 + 宋体"/>
    <w:basedOn w:val="4"/>
    <w:qFormat/>
    <w:uiPriority w:val="0"/>
    <w:pPr>
      <w:adjustRightInd w:val="0"/>
      <w:snapToGrid w:val="0"/>
      <w:spacing w:before="100" w:beforeAutospacing="1" w:after="100" w:afterAutospacing="1" w:line="412" w:lineRule="auto"/>
      <w:ind w:left="180" w:hanging="575"/>
    </w:pPr>
    <w:rPr>
      <w:rFonts w:ascii="宋体" w:hAnsi="宋体" w:cs="宋体"/>
      <w:color w:val="000000"/>
      <w:sz w:val="30"/>
      <w:szCs w:val="28"/>
    </w:rPr>
  </w:style>
  <w:style w:type="paragraph" w:customStyle="1" w:styleId="642">
    <w:name w:val="样式 标题 1标题2章节标题b1H1章标题 1标题 1 Charb1 Char标题 1 1-*+h11st..."/>
    <w:basedOn w:val="3"/>
    <w:qFormat/>
    <w:uiPriority w:val="0"/>
    <w:pPr>
      <w:keepLines w:val="0"/>
      <w:widowControl/>
      <w:tabs>
        <w:tab w:val="left" w:pos="360"/>
        <w:tab w:val="left" w:pos="851"/>
      </w:tabs>
      <w:adjustRightInd w:val="0"/>
      <w:snapToGrid w:val="0"/>
      <w:spacing w:line="240" w:lineRule="auto"/>
      <w:ind w:left="771" w:hanging="771" w:hangingChars="321"/>
      <w:jc w:val="left"/>
    </w:pPr>
    <w:rPr>
      <w:rFonts w:ascii="宋体" w:hAnsi="宋体" w:cs="宋体"/>
      <w:b w:val="0"/>
      <w:color w:val="000000"/>
      <w:kern w:val="0"/>
      <w:sz w:val="24"/>
      <w:szCs w:val="20"/>
    </w:rPr>
  </w:style>
  <w:style w:type="paragraph" w:customStyle="1" w:styleId="643">
    <w:name w:val="前言、引言标题"/>
    <w:next w:val="1"/>
    <w:qFormat/>
    <w:uiPriority w:val="0"/>
    <w:pPr>
      <w:shd w:val="clear" w:color="auto" w:fill="FFFFFF"/>
      <w:tabs>
        <w:tab w:val="left" w:pos="420"/>
      </w:tabs>
      <w:spacing w:before="640" w:after="560"/>
      <w:ind w:left="420" w:hanging="420"/>
      <w:jc w:val="center"/>
      <w:outlineLvl w:val="0"/>
    </w:pPr>
    <w:rPr>
      <w:rFonts w:ascii="黑体" w:hAnsi="Times New Roman" w:eastAsia="黑体" w:cs="Times New Roman"/>
      <w:sz w:val="32"/>
      <w:lang w:val="en-US" w:eastAsia="zh-CN" w:bidi="ar-SA"/>
    </w:rPr>
  </w:style>
  <w:style w:type="paragraph" w:customStyle="1" w:styleId="644">
    <w:name w:val="样式 首行缩进:  0.74 厘米 行距: 1.5 倍行距"/>
    <w:basedOn w:val="1"/>
    <w:qFormat/>
    <w:uiPriority w:val="0"/>
    <w:pPr>
      <w:spacing w:line="360" w:lineRule="auto"/>
      <w:ind w:firstLine="420"/>
    </w:pPr>
    <w:rPr>
      <w:rFonts w:ascii="Calibri" w:hAnsi="Calibri" w:cs="宋体"/>
      <w:sz w:val="24"/>
      <w:szCs w:val="20"/>
    </w:rPr>
  </w:style>
  <w:style w:type="paragraph" w:customStyle="1" w:styleId="645">
    <w:name w:val="普通 (Web)"/>
    <w:basedOn w:val="1"/>
    <w:qFormat/>
    <w:uiPriority w:val="0"/>
    <w:pPr>
      <w:widowControl/>
      <w:spacing w:before="100" w:beforeAutospacing="1" w:after="100" w:afterAutospacing="1" w:line="360" w:lineRule="auto"/>
      <w:ind w:firstLine="200" w:firstLineChars="200"/>
      <w:jc w:val="left"/>
    </w:pPr>
    <w:rPr>
      <w:kern w:val="0"/>
      <w:sz w:val="24"/>
      <w:szCs w:val="24"/>
    </w:rPr>
  </w:style>
  <w:style w:type="paragraph" w:customStyle="1" w:styleId="646">
    <w:name w:val="Char Char Char Char Char Char Char1 Char Char Char Char Char Char Char Char Char Char Char Char"/>
    <w:basedOn w:val="1"/>
    <w:qFormat/>
    <w:uiPriority w:val="0"/>
    <w:pPr>
      <w:widowControl/>
      <w:adjustRightInd w:val="0"/>
      <w:spacing w:before="100" w:beforeAutospacing="1" w:after="100" w:afterAutospacing="1" w:line="330" w:lineRule="atLeast"/>
      <w:ind w:left="360"/>
      <w:jc w:val="left"/>
      <w:textAlignment w:val="baseline"/>
    </w:pPr>
    <w:rPr>
      <w:rFonts w:ascii="ˎ̥" w:hAnsi="ˎ̥" w:cs="宋体"/>
      <w:color w:val="51585D"/>
      <w:kern w:val="0"/>
      <w:szCs w:val="18"/>
    </w:rPr>
  </w:style>
  <w:style w:type="paragraph" w:customStyle="1" w:styleId="647">
    <w:name w:val="普通(Web)1"/>
    <w:basedOn w:val="1"/>
    <w:qFormat/>
    <w:uiPriority w:val="0"/>
    <w:pPr>
      <w:widowControl/>
      <w:spacing w:before="284" w:line="360" w:lineRule="auto"/>
      <w:jc w:val="left"/>
    </w:pPr>
    <w:rPr>
      <w:rFonts w:cs="宋体"/>
      <w:kern w:val="0"/>
      <w:sz w:val="24"/>
      <w:szCs w:val="24"/>
    </w:rPr>
  </w:style>
  <w:style w:type="paragraph" w:customStyle="1" w:styleId="648">
    <w:name w:val="Default"/>
    <w:qFormat/>
    <w:uiPriority w:val="0"/>
    <w:pPr>
      <w:widowControl w:val="0"/>
      <w:autoSpaceDE w:val="0"/>
      <w:autoSpaceDN w:val="0"/>
      <w:adjustRightInd w:val="0"/>
    </w:pPr>
    <w:rPr>
      <w:rFonts w:ascii="Futura Std" w:hAnsi="Times New Roman" w:eastAsia="Futura Std" w:cs="Times New Roman"/>
      <w:color w:val="000000"/>
      <w:sz w:val="24"/>
      <w:szCs w:val="24"/>
      <w:lang w:val="en-US" w:eastAsia="zh-CN" w:bidi="ar-SA"/>
    </w:rPr>
  </w:style>
  <w:style w:type="paragraph" w:customStyle="1" w:styleId="649">
    <w:name w:val="样式 右侧:  0 厘米 左  0 字符 首行缩进:  0 字符"/>
    <w:basedOn w:val="1"/>
    <w:qFormat/>
    <w:uiPriority w:val="0"/>
    <w:pPr>
      <w:topLinePunct/>
      <w:adjustRightInd w:val="0"/>
      <w:snapToGrid w:val="0"/>
      <w:spacing w:line="360" w:lineRule="auto"/>
      <w:textAlignment w:val="center"/>
    </w:pPr>
    <w:rPr>
      <w:rFonts w:ascii="Times New Roman" w:hAnsi="Times New Roman" w:cs="宋体"/>
      <w:sz w:val="24"/>
      <w:szCs w:val="20"/>
    </w:rPr>
  </w:style>
  <w:style w:type="paragraph" w:customStyle="1" w:styleId="650">
    <w:name w:val="样式 左侧:  0 厘米 首行缩进:  0 厘米"/>
    <w:basedOn w:val="1"/>
    <w:qFormat/>
    <w:uiPriority w:val="0"/>
    <w:pPr>
      <w:spacing w:line="360" w:lineRule="auto"/>
    </w:pPr>
    <w:rPr>
      <w:rFonts w:ascii="Arial" w:hAnsi="Arial" w:eastAsia="仿宋_GB2312"/>
      <w:sz w:val="28"/>
      <w:szCs w:val="24"/>
    </w:rPr>
  </w:style>
  <w:style w:type="paragraph" w:customStyle="1" w:styleId="651">
    <w:name w:val="菲页(卷)"/>
    <w:basedOn w:val="3"/>
    <w:next w:val="652"/>
    <w:qFormat/>
    <w:uiPriority w:val="0"/>
    <w:pPr>
      <w:keepLines w:val="0"/>
      <w:widowControl/>
      <w:tabs>
        <w:tab w:val="left" w:pos="360"/>
        <w:tab w:val="left" w:pos="825"/>
        <w:tab w:val="left" w:pos="851"/>
      </w:tabs>
      <w:adjustRightInd w:val="0"/>
      <w:snapToGrid w:val="0"/>
      <w:spacing w:line="240" w:lineRule="auto"/>
      <w:ind w:left="825" w:hanging="825" w:hangingChars="200"/>
      <w:jc w:val="center"/>
      <w:outlineLvl w:val="1"/>
    </w:pPr>
    <w:rPr>
      <w:rFonts w:ascii="黑体" w:hAnsi="Times New Roman" w:eastAsia="黑体"/>
      <w:b w:val="0"/>
      <w:bCs w:val="0"/>
      <w:kern w:val="0"/>
      <w:sz w:val="52"/>
      <w:szCs w:val="20"/>
    </w:rPr>
  </w:style>
  <w:style w:type="paragraph" w:customStyle="1" w:styleId="652">
    <w:name w:val="正文4"/>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53">
    <w:name w:val="封面日期地点文字"/>
    <w:basedOn w:val="451"/>
    <w:semiHidden/>
    <w:qFormat/>
    <w:uiPriority w:val="0"/>
    <w:pPr>
      <w:spacing w:line="360" w:lineRule="exact"/>
      <w:ind w:firstLine="0" w:firstLineChars="0"/>
      <w:jc w:val="center"/>
    </w:pPr>
    <w:rPr>
      <w:rFonts w:ascii="Calibri" w:hAnsi="Calibri"/>
      <w:sz w:val="32"/>
      <w:szCs w:val="32"/>
    </w:rPr>
  </w:style>
  <w:style w:type="paragraph" w:customStyle="1" w:styleId="654">
    <w:name w:val="Char1 Char Char Char Char Char Char Char Char Char"/>
    <w:basedOn w:val="1"/>
    <w:qFormat/>
    <w:uiPriority w:val="0"/>
    <w:pPr>
      <w:adjustRightInd w:val="0"/>
    </w:pPr>
    <w:rPr>
      <w:rFonts w:ascii="Times New Roman" w:hAnsi="Times New Roman"/>
      <w:kern w:val="0"/>
      <w:sz w:val="24"/>
      <w:szCs w:val="20"/>
    </w:rPr>
  </w:style>
  <w:style w:type="paragraph" w:customStyle="1" w:styleId="655">
    <w:name w:val="Char Char Char Char Char Char Char Char Char1 Char Char Char Char Char Char Char"/>
    <w:basedOn w:val="18"/>
    <w:qFormat/>
    <w:uiPriority w:val="0"/>
    <w:rPr>
      <w:rFonts w:ascii="Tahoma" w:hAnsi="Tahoma"/>
      <w:lang w:val="en-US"/>
    </w:rPr>
  </w:style>
  <w:style w:type="paragraph" w:customStyle="1" w:styleId="656">
    <w:name w:val="Code_Text"/>
    <w:qFormat/>
    <w:uiPriority w:val="0"/>
    <w:pPr>
      <w:spacing w:before="20" w:after="20"/>
      <w:ind w:left="57"/>
    </w:pPr>
    <w:rPr>
      <w:rFonts w:ascii="Arial" w:hAnsi="Arial" w:eastAsia="宋体" w:cs="Times New Roman"/>
      <w:color w:val="000000"/>
      <w:lang w:val="fr-FR" w:eastAsia="fr-FR" w:bidi="he-IL"/>
    </w:rPr>
  </w:style>
  <w:style w:type="paragraph" w:customStyle="1" w:styleId="657">
    <w:name w:val="_Style 449"/>
    <w:basedOn w:val="1"/>
    <w:next w:val="1"/>
    <w:qFormat/>
    <w:uiPriority w:val="60"/>
    <w:rPr>
      <w:rFonts w:ascii="Times New Roman" w:hAnsi="Times New Roman"/>
      <w:color w:val="943634"/>
      <w:szCs w:val="24"/>
    </w:rPr>
  </w:style>
  <w:style w:type="paragraph" w:customStyle="1" w:styleId="658">
    <w:name w:val="正文编号内容"/>
    <w:basedOn w:val="54"/>
    <w:next w:val="54"/>
    <w:qFormat/>
    <w:uiPriority w:val="0"/>
    <w:pPr>
      <w:widowControl/>
      <w:tabs>
        <w:tab w:val="left" w:pos="780"/>
      </w:tabs>
      <w:suppressAutoHyphens/>
      <w:spacing w:before="0" w:after="0" w:line="240" w:lineRule="auto"/>
      <w:ind w:left="780" w:firstLine="0"/>
    </w:pPr>
    <w:rPr>
      <w:rFonts w:ascii="黑体" w:hAnsi="华文细黑"/>
      <w:kern w:val="0"/>
      <w:szCs w:val="20"/>
    </w:rPr>
  </w:style>
  <w:style w:type="paragraph" w:customStyle="1" w:styleId="659">
    <w:name w:val="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660">
    <w:name w:val="标题 41"/>
    <w:basedOn w:val="1"/>
    <w:qFormat/>
    <w:uiPriority w:val="0"/>
    <w:pPr>
      <w:widowControl/>
      <w:tabs>
        <w:tab w:val="left" w:pos="864"/>
      </w:tabs>
      <w:autoSpaceDE w:val="0"/>
      <w:autoSpaceDN w:val="0"/>
      <w:ind w:left="864" w:hanging="864"/>
      <w:jc w:val="left"/>
    </w:pPr>
    <w:rPr>
      <w:rFonts w:ascii="Times New Roman" w:hAnsi="Times New Roman"/>
      <w:kern w:val="24"/>
      <w:sz w:val="20"/>
      <w:szCs w:val="20"/>
    </w:rPr>
  </w:style>
  <w:style w:type="paragraph" w:customStyle="1" w:styleId="661">
    <w:name w:val="样式 1 + 首行缩进:  2 字符 段前: 0.5 行 段后: 0.5 行"/>
    <w:basedOn w:val="3"/>
    <w:qFormat/>
    <w:uiPriority w:val="0"/>
    <w:pPr>
      <w:keepNext w:val="0"/>
      <w:keepLines w:val="0"/>
      <w:tabs>
        <w:tab w:val="left" w:pos="360"/>
        <w:tab w:val="left" w:pos="851"/>
        <w:tab w:val="left" w:pos="1014"/>
      </w:tabs>
      <w:adjustRightInd w:val="0"/>
      <w:snapToGrid w:val="0"/>
      <w:spacing w:beforeLines="50" w:afterLines="50" w:line="360" w:lineRule="auto"/>
      <w:ind w:left="1014" w:firstLine="200" w:firstLineChars="200"/>
      <w:outlineLvl w:val="9"/>
    </w:pPr>
    <w:rPr>
      <w:rFonts w:ascii="Times New Roman" w:hAnsi="Times New Roman" w:eastAsia="仿宋_GB2312" w:cs="黑体"/>
      <w:color w:val="000000"/>
      <w:kern w:val="2"/>
      <w:sz w:val="30"/>
      <w:szCs w:val="20"/>
    </w:rPr>
  </w:style>
  <w:style w:type="paragraph" w:customStyle="1" w:styleId="662">
    <w:name w:val="标题 61"/>
    <w:basedOn w:val="1"/>
    <w:qFormat/>
    <w:uiPriority w:val="0"/>
    <w:pPr>
      <w:widowControl/>
      <w:tabs>
        <w:tab w:val="left" w:pos="1152"/>
      </w:tabs>
      <w:autoSpaceDE w:val="0"/>
      <w:autoSpaceDN w:val="0"/>
      <w:ind w:left="1152" w:hanging="1152"/>
      <w:jc w:val="left"/>
    </w:pPr>
    <w:rPr>
      <w:rFonts w:ascii="Times New Roman" w:hAnsi="Times New Roman"/>
      <w:kern w:val="24"/>
      <w:sz w:val="20"/>
      <w:szCs w:val="20"/>
    </w:rPr>
  </w:style>
  <w:style w:type="paragraph" w:customStyle="1" w:styleId="663">
    <w:name w:val="a14"/>
    <w:basedOn w:val="1"/>
    <w:qFormat/>
    <w:uiPriority w:val="0"/>
    <w:pPr>
      <w:widowControl/>
      <w:spacing w:before="100" w:beforeAutospacing="1" w:after="100" w:afterAutospacing="1" w:line="262" w:lineRule="atLeast"/>
      <w:ind w:firstLine="327"/>
      <w:jc w:val="left"/>
    </w:pPr>
    <w:rPr>
      <w:rFonts w:cs="楷体_GB2312"/>
      <w:kern w:val="0"/>
      <w:sz w:val="18"/>
      <w:szCs w:val="18"/>
    </w:rPr>
  </w:style>
  <w:style w:type="paragraph" w:customStyle="1" w:styleId="664">
    <w:name w:val="偶数页篇眉"/>
    <w:basedOn w:val="38"/>
    <w:qFormat/>
    <w:uiPriority w:val="0"/>
    <w:pPr>
      <w:keepLines/>
      <w:pBdr>
        <w:bottom w:val="none" w:color="auto" w:sz="0" w:space="0"/>
      </w:pBdr>
      <w:tabs>
        <w:tab w:val="right" w:pos="0"/>
        <w:tab w:val="center" w:pos="7200"/>
        <w:tab w:val="right" w:pos="14400"/>
        <w:tab w:val="clear" w:pos="4153"/>
        <w:tab w:val="clear" w:pos="8306"/>
      </w:tabs>
      <w:snapToGrid/>
      <w:jc w:val="right"/>
    </w:pPr>
    <w:rPr>
      <w:rFonts w:ascii="Times New Roman" w:hAnsi="Times New Roman"/>
      <w:spacing w:val="80"/>
      <w:sz w:val="21"/>
      <w:szCs w:val="24"/>
    </w:rPr>
  </w:style>
  <w:style w:type="paragraph" w:customStyle="1" w:styleId="665">
    <w:name w:val="图表名"/>
    <w:basedOn w:val="1"/>
    <w:qFormat/>
    <w:uiPriority w:val="0"/>
    <w:pPr>
      <w:spacing w:beforeLines="50" w:afterLines="50" w:line="360" w:lineRule="auto"/>
      <w:jc w:val="center"/>
    </w:pPr>
    <w:rPr>
      <w:b/>
      <w:bCs/>
      <w:kern w:val="0"/>
      <w:sz w:val="24"/>
      <w:szCs w:val="24"/>
    </w:rPr>
  </w:style>
  <w:style w:type="paragraph" w:customStyle="1" w:styleId="666">
    <w:name w:val="xl52"/>
    <w:basedOn w:val="1"/>
    <w:qFormat/>
    <w:uiPriority w:val="0"/>
    <w:pPr>
      <w:widowControl/>
      <w:pBdr>
        <w:right w:val="single" w:color="auto" w:sz="4" w:space="0"/>
      </w:pBdr>
      <w:spacing w:before="100" w:beforeAutospacing="1" w:after="100" w:afterAutospacing="1"/>
      <w:jc w:val="center"/>
    </w:pPr>
    <w:rPr>
      <w:rFonts w:ascii="Helv" w:hAnsi="Helv"/>
      <w:b/>
      <w:bCs/>
      <w:kern w:val="0"/>
      <w:sz w:val="28"/>
      <w:szCs w:val="28"/>
    </w:rPr>
  </w:style>
  <w:style w:type="paragraph" w:customStyle="1" w:styleId="667">
    <w:name w:val="样式 标题 3条标题1.1.1Í·头标题 3 Char条标题1.1.1 Char Char Char Char Cha..."/>
    <w:basedOn w:val="1"/>
    <w:qFormat/>
    <w:uiPriority w:val="0"/>
    <w:pPr>
      <w:numPr>
        <w:ilvl w:val="2"/>
        <w:numId w:val="15"/>
      </w:numPr>
    </w:pPr>
    <w:rPr>
      <w:rFonts w:ascii="Times New Roman" w:hAnsi="Times New Roman"/>
      <w:szCs w:val="24"/>
    </w:rPr>
  </w:style>
  <w:style w:type="paragraph" w:customStyle="1" w:styleId="668">
    <w:name w:val="公文标题"/>
    <w:basedOn w:val="5"/>
    <w:qFormat/>
    <w:uiPriority w:val="0"/>
    <w:pPr>
      <w:numPr>
        <w:numId w:val="2"/>
      </w:numPr>
      <w:tabs>
        <w:tab w:val="clear" w:pos="432"/>
      </w:tabs>
      <w:ind w:left="1469" w:right="1542"/>
      <w:jc w:val="center"/>
    </w:pPr>
    <w:rPr>
      <w:rFonts w:eastAsia="宋体"/>
      <w:sz w:val="44"/>
      <w:szCs w:val="28"/>
    </w:rPr>
  </w:style>
  <w:style w:type="paragraph" w:customStyle="1" w:styleId="669">
    <w:name w:val="菲页2"/>
    <w:basedOn w:val="5"/>
    <w:qFormat/>
    <w:uiPriority w:val="0"/>
    <w:pPr>
      <w:widowControl/>
      <w:numPr>
        <w:ilvl w:val="0"/>
        <w:numId w:val="0"/>
      </w:numPr>
      <w:tabs>
        <w:tab w:val="left" w:pos="825"/>
        <w:tab w:val="clear" w:pos="432"/>
      </w:tabs>
      <w:spacing w:before="120" w:after="120" w:line="360" w:lineRule="auto"/>
      <w:ind w:left="825" w:hanging="825"/>
      <w:jc w:val="center"/>
    </w:pPr>
    <w:rPr>
      <w:rFonts w:ascii="黑体"/>
      <w:sz w:val="44"/>
      <w:szCs w:val="20"/>
    </w:rPr>
  </w:style>
  <w:style w:type="paragraph" w:customStyle="1" w:styleId="670">
    <w:name w:val="样式4"/>
    <w:basedOn w:val="38"/>
    <w:qFormat/>
    <w:uiPriority w:val="0"/>
    <w:pPr>
      <w:pBdr>
        <w:bottom w:val="thinThickSmallGap" w:color="auto" w:sz="24" w:space="1"/>
      </w:pBdr>
      <w:ind w:right="90"/>
    </w:pPr>
    <w:rPr>
      <w:rFonts w:ascii="Times New Roman" w:hAnsi="Times New Roman"/>
      <w:szCs w:val="20"/>
    </w:rPr>
  </w:style>
  <w:style w:type="paragraph" w:customStyle="1" w:styleId="671">
    <w:name w:val="Char2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672">
    <w:name w:val="Char Char Char1 Char Char Char Char Char Char Char Char Char Char1"/>
    <w:basedOn w:val="1"/>
    <w:qFormat/>
    <w:uiPriority w:val="0"/>
    <w:rPr>
      <w:rFonts w:ascii="Times New Roman" w:hAnsi="Times New Roman"/>
      <w:sz w:val="24"/>
      <w:szCs w:val="24"/>
    </w:rPr>
  </w:style>
  <w:style w:type="paragraph" w:customStyle="1" w:styleId="673">
    <w:name w:val="小标题 1"/>
    <w:basedOn w:val="1"/>
    <w:qFormat/>
    <w:uiPriority w:val="0"/>
    <w:pPr>
      <w:autoSpaceDE w:val="0"/>
      <w:autoSpaceDN w:val="0"/>
      <w:adjustRightInd w:val="0"/>
      <w:spacing w:line="360" w:lineRule="atLeast"/>
    </w:pPr>
    <w:rPr>
      <w:rFonts w:ascii="文鼎粗黑" w:hAnsi="Times New Roman" w:eastAsia="文鼎粗黑"/>
      <w:kern w:val="0"/>
      <w:sz w:val="22"/>
      <w:szCs w:val="20"/>
    </w:rPr>
  </w:style>
  <w:style w:type="paragraph" w:customStyle="1" w:styleId="674">
    <w:name w:val="Standardtext"/>
    <w:qFormat/>
    <w:uiPriority w:val="0"/>
    <w:pPr>
      <w:spacing w:before="72"/>
      <w:ind w:left="1985" w:right="708"/>
      <w:jc w:val="both"/>
    </w:pPr>
    <w:rPr>
      <w:rFonts w:ascii="Univers (WN)" w:hAnsi="Univers (WN)" w:eastAsia="宋体" w:cs="Times New Roman"/>
      <w:lang w:val="de-DE" w:eastAsia="zh-TW" w:bidi="ar-SA"/>
    </w:rPr>
  </w:style>
  <w:style w:type="paragraph" w:customStyle="1" w:styleId="675">
    <w:name w:val="保留正文"/>
    <w:basedOn w:val="2"/>
    <w:qFormat/>
    <w:uiPriority w:val="0"/>
    <w:pPr>
      <w:keepNext/>
      <w:spacing w:before="0" w:after="160" w:line="240" w:lineRule="auto"/>
      <w:ind w:firstLine="0"/>
    </w:pPr>
    <w:rPr>
      <w:rFonts w:ascii="Times New Roman" w:hAnsi="Times New Roman"/>
      <w:kern w:val="0"/>
      <w:sz w:val="20"/>
      <w:szCs w:val="24"/>
    </w:rPr>
  </w:style>
  <w:style w:type="paragraph" w:customStyle="1" w:styleId="676">
    <w:name w:val="样式 方案正文 + 首行缩进:  2.2 字符"/>
    <w:basedOn w:val="677"/>
    <w:qFormat/>
    <w:uiPriority w:val="0"/>
    <w:pPr>
      <w:ind w:firstLine="220" w:firstLineChars="220"/>
    </w:pPr>
    <w:rPr>
      <w:rFonts w:cs="宋体"/>
      <w:kern w:val="0"/>
    </w:rPr>
  </w:style>
  <w:style w:type="paragraph" w:customStyle="1" w:styleId="677">
    <w:name w:val="方案正文"/>
    <w:basedOn w:val="1"/>
    <w:qFormat/>
    <w:uiPriority w:val="0"/>
    <w:pPr>
      <w:spacing w:line="360" w:lineRule="auto"/>
      <w:ind w:firstLine="171" w:firstLineChars="171"/>
      <w:jc w:val="left"/>
    </w:pPr>
    <w:rPr>
      <w:rFonts w:ascii="Arial" w:hAnsi="Arial"/>
      <w:sz w:val="24"/>
      <w:szCs w:val="20"/>
    </w:rPr>
  </w:style>
  <w:style w:type="paragraph" w:customStyle="1" w:styleId="678">
    <w:name w:val="样式 题注"/>
    <w:basedOn w:val="16"/>
    <w:qFormat/>
    <w:uiPriority w:val="0"/>
    <w:pPr>
      <w:jc w:val="both"/>
    </w:pPr>
    <w:rPr>
      <w:rFonts w:cs="Arial"/>
    </w:rPr>
  </w:style>
  <w:style w:type="paragraph" w:customStyle="1" w:styleId="679">
    <w:name w:val="Char Char Char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680">
    <w:name w:val="Paragraph3"/>
    <w:basedOn w:val="1"/>
    <w:qFormat/>
    <w:uiPriority w:val="0"/>
    <w:pPr>
      <w:tabs>
        <w:tab w:val="left" w:pos="840"/>
      </w:tabs>
      <w:overflowPunct w:val="0"/>
      <w:autoSpaceDE w:val="0"/>
      <w:autoSpaceDN w:val="0"/>
      <w:adjustRightInd w:val="0"/>
      <w:spacing w:before="20"/>
      <w:ind w:left="840" w:hanging="360"/>
      <w:textAlignment w:val="baseline"/>
    </w:pPr>
    <w:rPr>
      <w:rFonts w:ascii="Arial" w:hAnsi="Arial"/>
      <w:kern w:val="0"/>
      <w:sz w:val="24"/>
      <w:szCs w:val="20"/>
    </w:rPr>
  </w:style>
  <w:style w:type="paragraph" w:customStyle="1" w:styleId="681">
    <w:name w:val="±íÌâ"/>
    <w:basedOn w:val="1"/>
    <w:qFormat/>
    <w:uiPriority w:val="0"/>
    <w:pPr>
      <w:keepNext/>
      <w:widowControl/>
      <w:overflowPunct w:val="0"/>
      <w:autoSpaceDE w:val="0"/>
      <w:autoSpaceDN w:val="0"/>
      <w:adjustRightInd w:val="0"/>
      <w:spacing w:before="80" w:after="80" w:line="360" w:lineRule="auto"/>
      <w:ind w:left="1417"/>
      <w:jc w:val="center"/>
      <w:textAlignment w:val="baseline"/>
    </w:pPr>
    <w:rPr>
      <w:rFonts w:ascii="Arial" w:hAnsi="Arial"/>
      <w:kern w:val="0"/>
      <w:sz w:val="18"/>
      <w:szCs w:val="20"/>
    </w:rPr>
  </w:style>
  <w:style w:type="paragraph" w:customStyle="1" w:styleId="682">
    <w:name w:val="xl55"/>
    <w:basedOn w:val="1"/>
    <w:qFormat/>
    <w:uiPriority w:val="0"/>
    <w:pPr>
      <w:widowControl/>
      <w:pBdr>
        <w:bottom w:val="single" w:color="auto" w:sz="8"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683">
    <w:name w:val="ÕýÎÄ 1"/>
    <w:basedOn w:val="1"/>
    <w:qFormat/>
    <w:uiPriority w:val="0"/>
    <w:pPr>
      <w:widowControl/>
      <w:overflowPunct w:val="0"/>
      <w:autoSpaceDE w:val="0"/>
      <w:autoSpaceDN w:val="0"/>
      <w:adjustRightInd w:val="0"/>
      <w:spacing w:before="80" w:after="80" w:line="360" w:lineRule="auto"/>
      <w:ind w:left="1417"/>
      <w:textAlignment w:val="baseline"/>
    </w:pPr>
    <w:rPr>
      <w:rFonts w:ascii="Times New Roman" w:hAnsi="Times New Roman"/>
      <w:kern w:val="0"/>
      <w:szCs w:val="20"/>
    </w:rPr>
  </w:style>
  <w:style w:type="paragraph" w:customStyle="1" w:styleId="684">
    <w:name w:val="反馈表"/>
    <w:basedOn w:val="1"/>
    <w:qFormat/>
    <w:uiPriority w:val="0"/>
    <w:pPr>
      <w:widowControl/>
      <w:snapToGrid w:val="0"/>
      <w:spacing w:line="360" w:lineRule="auto"/>
    </w:pPr>
    <w:rPr>
      <w:rFonts w:ascii="黑体" w:hAnsi="Times New Roman" w:eastAsia="黑体"/>
      <w:szCs w:val="20"/>
    </w:rPr>
  </w:style>
  <w:style w:type="paragraph" w:customStyle="1" w:styleId="6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eastAsia="Arial Unicode MS"/>
      <w:color w:val="000000"/>
      <w:kern w:val="0"/>
      <w:sz w:val="20"/>
      <w:szCs w:val="20"/>
    </w:rPr>
  </w:style>
  <w:style w:type="paragraph" w:customStyle="1" w:styleId="686">
    <w:name w:val="封面二级标题文字"/>
    <w:basedOn w:val="451"/>
    <w:semiHidden/>
    <w:qFormat/>
    <w:uiPriority w:val="0"/>
    <w:pPr>
      <w:spacing w:line="480" w:lineRule="atLeast"/>
      <w:ind w:firstLine="0" w:firstLineChars="0"/>
      <w:jc w:val="center"/>
    </w:pPr>
    <w:rPr>
      <w:rFonts w:ascii="黑体" w:hAnsi="Calibri" w:eastAsia="黑体"/>
      <w:b/>
      <w:sz w:val="44"/>
      <w:szCs w:val="44"/>
    </w:rPr>
  </w:style>
  <w:style w:type="paragraph" w:customStyle="1" w:styleId="687">
    <w:name w:val="xl47"/>
    <w:basedOn w:val="1"/>
    <w:qFormat/>
    <w:uiPriority w:val="0"/>
    <w:pPr>
      <w:widowControl/>
      <w:pBdr>
        <w:top w:val="single" w:color="auto" w:sz="8" w:space="0"/>
      </w:pBdr>
      <w:spacing w:before="100" w:beforeAutospacing="1" w:after="100" w:afterAutospacing="1"/>
      <w:jc w:val="left"/>
    </w:pPr>
    <w:rPr>
      <w:rFonts w:ascii="Helv" w:hAnsi="Helv"/>
      <w:b/>
      <w:bCs/>
      <w:kern w:val="0"/>
      <w:sz w:val="28"/>
      <w:szCs w:val="28"/>
    </w:rPr>
  </w:style>
  <w:style w:type="paragraph" w:customStyle="1" w:styleId="688">
    <w:name w:val="封面"/>
    <w:basedOn w:val="48"/>
    <w:qFormat/>
    <w:uiPriority w:val="0"/>
    <w:pPr>
      <w:spacing w:after="0" w:line="360" w:lineRule="auto"/>
      <w:jc w:val="center"/>
    </w:pPr>
    <w:rPr>
      <w:rFonts w:ascii="方正姚体" w:eastAsia="方正姚体"/>
      <w:b/>
      <w:sz w:val="52"/>
      <w:szCs w:val="20"/>
    </w:rPr>
  </w:style>
  <w:style w:type="paragraph" w:customStyle="1" w:styleId="689">
    <w:name w:val="样式 标题 2节标题 1.1b2H2½Ú节1.1标题 2标题 1.11.1标题22例如：1.1 内容Tit...1"/>
    <w:basedOn w:val="4"/>
    <w:qFormat/>
    <w:uiPriority w:val="0"/>
    <w:pPr>
      <w:keepLines w:val="0"/>
      <w:widowControl/>
      <w:tabs>
        <w:tab w:val="left" w:pos="839"/>
      </w:tabs>
      <w:adjustRightInd w:val="0"/>
      <w:snapToGrid w:val="0"/>
      <w:spacing w:line="360" w:lineRule="auto"/>
      <w:ind w:firstLine="420"/>
    </w:pPr>
    <w:rPr>
      <w:rFonts w:ascii="Times New Roman" w:hAnsi="Times New Roman" w:cs="宋体"/>
      <w:color w:val="000000"/>
      <w:sz w:val="24"/>
      <w:szCs w:val="20"/>
    </w:rPr>
  </w:style>
  <w:style w:type="paragraph" w:customStyle="1" w:styleId="690">
    <w:name w:val="参考文献、索引标题"/>
    <w:basedOn w:val="1"/>
    <w:next w:val="1"/>
    <w:qFormat/>
    <w:uiPriority w:val="0"/>
    <w:pPr>
      <w:widowControl/>
      <w:shd w:val="clear" w:color="FFFFFF" w:fill="FFFFFF"/>
      <w:spacing w:before="640" w:after="200"/>
      <w:jc w:val="center"/>
      <w:outlineLvl w:val="0"/>
    </w:pPr>
    <w:rPr>
      <w:rFonts w:ascii="黑体" w:hAnsi="Times New Roman" w:eastAsia="黑体"/>
      <w:kern w:val="0"/>
      <w:szCs w:val="20"/>
    </w:rPr>
  </w:style>
  <w:style w:type="paragraph" w:customStyle="1" w:styleId="691">
    <w:name w:val="black1"/>
    <w:basedOn w:val="1"/>
    <w:qFormat/>
    <w:uiPriority w:val="0"/>
    <w:pPr>
      <w:widowControl/>
      <w:spacing w:before="100" w:beforeAutospacing="1" w:after="100" w:afterAutospacing="1" w:line="280" w:lineRule="atLeast"/>
      <w:jc w:val="left"/>
    </w:pPr>
    <w:rPr>
      <w:rFonts w:ascii="Times New Roman" w:hAnsi="Times New Roman"/>
      <w:color w:val="000000"/>
      <w:kern w:val="0"/>
      <w:sz w:val="18"/>
      <w:szCs w:val="18"/>
    </w:rPr>
  </w:style>
  <w:style w:type="paragraph" w:customStyle="1" w:styleId="692">
    <w:name w:val="标题 3 XM"/>
    <w:basedOn w:val="5"/>
    <w:qFormat/>
    <w:uiPriority w:val="0"/>
    <w:pPr>
      <w:numPr>
        <w:ilvl w:val="0"/>
        <w:numId w:val="0"/>
      </w:numPr>
      <w:tabs>
        <w:tab w:val="clear" w:pos="432"/>
      </w:tabs>
      <w:autoSpaceDE w:val="0"/>
      <w:autoSpaceDN w:val="0"/>
      <w:spacing w:line="415" w:lineRule="auto"/>
      <w:ind w:left="720" w:hanging="720"/>
      <w:jc w:val="left"/>
    </w:pPr>
    <w:rPr>
      <w:rFonts w:eastAsia="宋体"/>
      <w:sz w:val="28"/>
      <w:szCs w:val="24"/>
    </w:rPr>
  </w:style>
  <w:style w:type="paragraph" w:customStyle="1" w:styleId="693">
    <w:name w:val="菲页1"/>
    <w:basedOn w:val="4"/>
    <w:qFormat/>
    <w:uiPriority w:val="0"/>
    <w:pPr>
      <w:widowControl/>
      <w:adjustRightInd w:val="0"/>
      <w:snapToGrid w:val="0"/>
      <w:spacing w:line="360" w:lineRule="auto"/>
      <w:ind w:left="575" w:hanging="575"/>
      <w:jc w:val="center"/>
    </w:pPr>
    <w:rPr>
      <w:rFonts w:ascii="黑体" w:hAnsi="宋体"/>
      <w:sz w:val="52"/>
      <w:szCs w:val="20"/>
    </w:rPr>
  </w:style>
  <w:style w:type="paragraph" w:customStyle="1" w:styleId="694">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rFonts w:cs="宋体"/>
      <w:kern w:val="0"/>
      <w:sz w:val="22"/>
      <w:szCs w:val="22"/>
    </w:rPr>
  </w:style>
  <w:style w:type="paragraph" w:customStyle="1" w:styleId="695">
    <w:name w:val="正文缩进3"/>
    <w:basedOn w:val="1"/>
    <w:next w:val="15"/>
    <w:qFormat/>
    <w:uiPriority w:val="0"/>
    <w:pPr>
      <w:widowControl/>
      <w:numPr>
        <w:ilvl w:val="0"/>
        <w:numId w:val="16"/>
      </w:numPr>
      <w:tabs>
        <w:tab w:val="left" w:pos="360"/>
      </w:tabs>
      <w:spacing w:before="120"/>
      <w:ind w:left="0" w:firstLine="454"/>
      <w:jc w:val="left"/>
    </w:pPr>
    <w:rPr>
      <w:rFonts w:hAnsi="Times New Roman"/>
      <w:b/>
      <w:kern w:val="0"/>
      <w:sz w:val="24"/>
      <w:szCs w:val="20"/>
    </w:rPr>
  </w:style>
  <w:style w:type="paragraph" w:customStyle="1" w:styleId="696">
    <w:name w:val="Name"/>
    <w:qFormat/>
    <w:uiPriority w:val="0"/>
    <w:pPr>
      <w:spacing w:after="80"/>
    </w:pPr>
    <w:rPr>
      <w:rFonts w:ascii="Arial" w:hAnsi="Arial" w:eastAsia="宋体" w:cs="Times New Roman"/>
      <w:b/>
      <w:bCs/>
      <w:sz w:val="24"/>
      <w:szCs w:val="24"/>
      <w:lang w:val="en-US" w:eastAsia="en-US" w:bidi="he-IL"/>
    </w:rPr>
  </w:style>
  <w:style w:type="paragraph" w:customStyle="1" w:styleId="697">
    <w:name w:val="设计正文"/>
    <w:basedOn w:val="1"/>
    <w:qFormat/>
    <w:uiPriority w:val="0"/>
    <w:pPr>
      <w:spacing w:line="300" w:lineRule="auto"/>
      <w:ind w:firstLine="480" w:firstLineChars="200"/>
    </w:pPr>
    <w:rPr>
      <w:rFonts w:ascii="仿宋_GB2312" w:hAnsi="Times New Roman" w:eastAsia="仿宋_GB2312" w:cs="宋体"/>
      <w:sz w:val="24"/>
      <w:szCs w:val="20"/>
    </w:rPr>
  </w:style>
  <w:style w:type="paragraph" w:customStyle="1" w:styleId="698">
    <w:name w:val="Char1 Char Char Char Char Char Char Char Char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69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Helv" w:hAnsi="Helv"/>
      <w:b/>
      <w:bCs/>
      <w:kern w:val="0"/>
      <w:sz w:val="28"/>
      <w:szCs w:val="28"/>
    </w:rPr>
  </w:style>
  <w:style w:type="paragraph" w:customStyle="1" w:styleId="700">
    <w:name w:val="样式 样式 样式 标题 1h1H1Title1Normal + Font: HelveticaBoldSpace Before ..."/>
    <w:basedOn w:val="1"/>
    <w:qFormat/>
    <w:uiPriority w:val="0"/>
    <w:pPr>
      <w:tabs>
        <w:tab w:val="left" w:pos="360"/>
      </w:tabs>
      <w:spacing w:beforeLines="50" w:afterLines="50" w:line="360" w:lineRule="auto"/>
      <w:outlineLvl w:val="0"/>
    </w:pPr>
    <w:rPr>
      <w:rFonts w:ascii="黑体" w:hAnsi="Arial" w:eastAsia="黑体" w:cs="宋体"/>
      <w:b/>
      <w:sz w:val="30"/>
      <w:szCs w:val="30"/>
    </w:rPr>
  </w:style>
  <w:style w:type="paragraph" w:customStyle="1" w:styleId="701">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702">
    <w:name w:val="Char3"/>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703">
    <w:name w:val="Char Char Char Char1"/>
    <w:basedOn w:val="1"/>
    <w:qFormat/>
    <w:uiPriority w:val="0"/>
    <w:pPr>
      <w:spacing w:line="360" w:lineRule="auto"/>
    </w:pPr>
    <w:rPr>
      <w:rFonts w:ascii="Tahoma" w:hAnsi="Tahoma"/>
      <w:color w:val="000000"/>
      <w:sz w:val="24"/>
      <w:szCs w:val="20"/>
    </w:rPr>
  </w:style>
  <w:style w:type="paragraph" w:customStyle="1" w:styleId="704">
    <w:name w:val="样式 标题 2H2h22nd levelTitre2l22Header 2节标题一级节名Level 2 He..."/>
    <w:basedOn w:val="4"/>
    <w:qFormat/>
    <w:uiPriority w:val="0"/>
    <w:pPr>
      <w:tabs>
        <w:tab w:val="left" w:pos="576"/>
      </w:tabs>
      <w:adjustRightInd w:val="0"/>
      <w:snapToGrid w:val="0"/>
      <w:spacing w:before="120" w:after="120" w:line="360" w:lineRule="auto"/>
      <w:ind w:left="576" w:hanging="576"/>
    </w:pPr>
    <w:rPr>
      <w:rFonts w:ascii="宋体" w:hAnsi="宋体" w:cs="宋体"/>
      <w:szCs w:val="20"/>
    </w:rPr>
  </w:style>
  <w:style w:type="paragraph" w:customStyle="1" w:styleId="705">
    <w:name w:val="xl61"/>
    <w:basedOn w:val="1"/>
    <w:qFormat/>
    <w:uiPriority w:val="0"/>
    <w:pPr>
      <w:widowControl/>
      <w:pBdr>
        <w:left w:val="single" w:color="auto" w:sz="12" w:space="0"/>
      </w:pBdr>
      <w:spacing w:before="100" w:beforeAutospacing="1" w:after="100" w:afterAutospacing="1"/>
      <w:jc w:val="left"/>
    </w:pPr>
    <w:rPr>
      <w:rFonts w:ascii="Helv" w:hAnsi="Helv"/>
      <w:b/>
      <w:bCs/>
      <w:kern w:val="0"/>
      <w:sz w:val="28"/>
      <w:szCs w:val="28"/>
    </w:rPr>
  </w:style>
  <w:style w:type="paragraph" w:customStyle="1" w:styleId="706">
    <w:name w:val="表格文字样式"/>
    <w:basedOn w:val="451"/>
    <w:qFormat/>
    <w:uiPriority w:val="0"/>
    <w:pPr>
      <w:spacing w:line="480" w:lineRule="atLeast"/>
      <w:ind w:firstLine="0" w:firstLineChars="0"/>
    </w:pPr>
    <w:rPr>
      <w:rFonts w:ascii="Calibri" w:hAnsi="Calibri"/>
      <w:sz w:val="21"/>
      <w:szCs w:val="21"/>
    </w:rPr>
  </w:style>
  <w:style w:type="paragraph" w:customStyle="1" w:styleId="707">
    <w:name w:val="Text"/>
    <w:qFormat/>
    <w:uiPriority w:val="0"/>
    <w:pPr>
      <w:spacing w:line="294" w:lineRule="atLeast"/>
    </w:pPr>
    <w:rPr>
      <w:rFonts w:ascii="Arial" w:hAnsi="Arial" w:eastAsia="宋体" w:cs="Times New Roman"/>
      <w:snapToGrid w:val="0"/>
      <w:color w:val="000000"/>
      <w:sz w:val="22"/>
      <w:lang w:val="de-DE" w:eastAsia="de-DE" w:bidi="ar-SA"/>
    </w:rPr>
  </w:style>
  <w:style w:type="paragraph" w:customStyle="1" w:styleId="708">
    <w:name w:val="Char Char Char Char Char Char Char Char Char Char Char1"/>
    <w:basedOn w:val="1"/>
    <w:qFormat/>
    <w:uiPriority w:val="0"/>
    <w:pPr>
      <w:widowControl/>
      <w:tabs>
        <w:tab w:val="left" w:pos="780"/>
      </w:tabs>
      <w:spacing w:after="160" w:line="240" w:lineRule="exact"/>
      <w:jc w:val="left"/>
    </w:pPr>
    <w:rPr>
      <w:rFonts w:ascii="Verdana" w:hAnsi="Verdana"/>
      <w:kern w:val="0"/>
      <w:sz w:val="20"/>
      <w:szCs w:val="20"/>
      <w:lang w:eastAsia="en-US"/>
    </w:rPr>
  </w:style>
  <w:style w:type="paragraph" w:customStyle="1" w:styleId="709">
    <w:name w:val="正方框图"/>
    <w:basedOn w:val="1"/>
    <w:qFormat/>
    <w:uiPriority w:val="0"/>
    <w:pPr>
      <w:snapToGrid w:val="0"/>
      <w:jc w:val="center"/>
    </w:pPr>
    <w:rPr>
      <w:rFonts w:ascii="Times New Roman" w:hAnsi="Times New Roman"/>
      <w:sz w:val="24"/>
      <w:szCs w:val="20"/>
    </w:rPr>
  </w:style>
  <w:style w:type="paragraph" w:customStyle="1" w:styleId="710">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711">
    <w:name w:val="章名"/>
    <w:basedOn w:val="1"/>
    <w:qFormat/>
    <w:uiPriority w:val="0"/>
    <w:pPr>
      <w:spacing w:line="360" w:lineRule="auto"/>
      <w:ind w:right="-115" w:rightChars="-55"/>
      <w:jc w:val="center"/>
    </w:pPr>
    <w:rPr>
      <w:rFonts w:ascii="黑体" w:eastAsia="黑体"/>
      <w:b/>
      <w:sz w:val="36"/>
      <w:szCs w:val="36"/>
    </w:rPr>
  </w:style>
  <w:style w:type="paragraph" w:customStyle="1" w:styleId="712">
    <w:name w:val="*Body Text"/>
    <w:qFormat/>
    <w:uiPriority w:val="0"/>
    <w:pPr>
      <w:spacing w:after="120"/>
    </w:pPr>
    <w:rPr>
      <w:rFonts w:ascii="Arial" w:hAnsi="Arial" w:eastAsia="宋体" w:cs="Times New Roman"/>
      <w:color w:val="000000"/>
      <w:sz w:val="22"/>
      <w:lang w:val="en-US" w:eastAsia="en-US" w:bidi="ar-SA"/>
    </w:rPr>
  </w:style>
  <w:style w:type="paragraph" w:customStyle="1" w:styleId="713">
    <w:name w:val="Char2"/>
    <w:basedOn w:val="1"/>
    <w:qFormat/>
    <w:uiPriority w:val="0"/>
    <w:pPr>
      <w:spacing w:line="360" w:lineRule="auto"/>
      <w:ind w:firstLine="200" w:firstLineChars="200"/>
    </w:pPr>
    <w:rPr>
      <w:rFonts w:ascii="Tahoma" w:hAnsi="Tahoma"/>
      <w:sz w:val="24"/>
      <w:szCs w:val="20"/>
    </w:rPr>
  </w:style>
  <w:style w:type="paragraph" w:customStyle="1" w:styleId="714">
    <w:name w:val="样式 标题 5 + 小四 行距: 1.5 倍行距"/>
    <w:basedOn w:val="7"/>
    <w:qFormat/>
    <w:uiPriority w:val="0"/>
    <w:pPr>
      <w:numPr>
        <w:numId w:val="17"/>
      </w:numPr>
      <w:tabs>
        <w:tab w:val="left" w:pos="360"/>
        <w:tab w:val="clear" w:pos="3827"/>
      </w:tabs>
      <w:adjustRightInd w:val="0"/>
      <w:spacing w:line="360" w:lineRule="auto"/>
      <w:ind w:left="0" w:firstLine="0"/>
      <w:textAlignment w:val="baseline"/>
    </w:pPr>
    <w:rPr>
      <w:rFonts w:ascii="Times New Roman" w:hAnsi="Times New Roman" w:eastAsia="黑体"/>
      <w:b w:val="0"/>
      <w:color w:val="000000"/>
      <w:kern w:val="0"/>
      <w:sz w:val="24"/>
      <w:u w:val="single"/>
    </w:rPr>
  </w:style>
  <w:style w:type="paragraph" w:customStyle="1" w:styleId="715">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paragraph" w:customStyle="1" w:styleId="716">
    <w:name w:val="图名/表名/表头样式"/>
    <w:basedOn w:val="451"/>
    <w:qFormat/>
    <w:uiPriority w:val="0"/>
    <w:pPr>
      <w:spacing w:line="480" w:lineRule="atLeast"/>
      <w:ind w:firstLine="0" w:firstLineChars="0"/>
      <w:jc w:val="center"/>
    </w:pPr>
    <w:rPr>
      <w:rFonts w:ascii="Calibri" w:hAnsi="Calibri"/>
      <w:b/>
      <w:sz w:val="21"/>
      <w:szCs w:val="21"/>
    </w:rPr>
  </w:style>
  <w:style w:type="paragraph" w:customStyle="1" w:styleId="717">
    <w:name w:val="默认段落字体 Para Char Char Char Char Char Char1 Char"/>
    <w:basedOn w:val="1"/>
    <w:qFormat/>
    <w:uiPriority w:val="0"/>
    <w:pPr>
      <w:spacing w:line="360" w:lineRule="auto"/>
      <w:ind w:firstLine="630" w:firstLineChars="200"/>
    </w:pPr>
    <w:rPr>
      <w:rFonts w:ascii="Tahoma" w:hAnsi="Tahoma" w:eastAsia="仿宋_GB2312"/>
      <w:sz w:val="28"/>
      <w:szCs w:val="20"/>
    </w:rPr>
  </w:style>
  <w:style w:type="paragraph" w:customStyle="1" w:styleId="718">
    <w:name w:val="提示符"/>
    <w:basedOn w:val="1"/>
    <w:qFormat/>
    <w:uiPriority w:val="0"/>
    <w:pPr>
      <w:tabs>
        <w:tab w:val="left" w:pos="907"/>
      </w:tabs>
      <w:spacing w:line="360" w:lineRule="auto"/>
      <w:ind w:left="907" w:hanging="510"/>
    </w:pPr>
    <w:rPr>
      <w:rFonts w:ascii="Times New Roman" w:hAnsi="Times New Roman" w:eastAsia="仿宋_GB2312"/>
      <w:sz w:val="32"/>
      <w:szCs w:val="24"/>
    </w:rPr>
  </w:style>
  <w:style w:type="paragraph" w:customStyle="1" w:styleId="719">
    <w:name w:val="项符&gt;"/>
    <w:basedOn w:val="1"/>
    <w:qFormat/>
    <w:uiPriority w:val="0"/>
    <w:pPr>
      <w:spacing w:line="360" w:lineRule="auto"/>
    </w:pPr>
    <w:rPr>
      <w:rFonts w:hint="eastAsia"/>
      <w:sz w:val="24"/>
      <w:szCs w:val="30"/>
    </w:rPr>
  </w:style>
  <w:style w:type="paragraph" w:customStyle="1" w:styleId="720">
    <w:name w:val="插图"/>
    <w:basedOn w:val="1"/>
    <w:next w:val="579"/>
    <w:qFormat/>
    <w:uiPriority w:val="0"/>
    <w:pPr>
      <w:keepNext/>
      <w:adjustRightInd w:val="0"/>
      <w:spacing w:after="360" w:line="360" w:lineRule="atLeast"/>
      <w:jc w:val="center"/>
      <w:textAlignment w:val="baseline"/>
    </w:pPr>
    <w:rPr>
      <w:rFonts w:hAnsi="Times New Roman"/>
      <w:kern w:val="0"/>
      <w:sz w:val="28"/>
      <w:szCs w:val="20"/>
    </w:rPr>
  </w:style>
  <w:style w:type="paragraph" w:customStyle="1" w:styleId="721">
    <w:name w:val="news"/>
    <w:basedOn w:val="1"/>
    <w:qFormat/>
    <w:uiPriority w:val="0"/>
    <w:pPr>
      <w:widowControl/>
      <w:spacing w:before="100" w:beforeAutospacing="1" w:after="100" w:afterAutospacing="1" w:line="360" w:lineRule="auto"/>
      <w:jc w:val="left"/>
    </w:pPr>
    <w:rPr>
      <w:rFonts w:ascii="ˎ̥" w:hAnsi="ˎ̥" w:cs="宋体"/>
      <w:kern w:val="0"/>
      <w:sz w:val="18"/>
      <w:szCs w:val="18"/>
    </w:rPr>
  </w:style>
  <w:style w:type="paragraph" w:customStyle="1" w:styleId="722">
    <w:name w:val="样式 阿强 + 首行缩进:  0.74 厘米"/>
    <w:basedOn w:val="1"/>
    <w:qFormat/>
    <w:uiPriority w:val="0"/>
    <w:pPr>
      <w:spacing w:line="360" w:lineRule="auto"/>
      <w:ind w:firstLine="420"/>
    </w:pPr>
    <w:rPr>
      <w:rFonts w:ascii="Times New Roman" w:hAnsi="Times New Roman" w:cs="宋体"/>
      <w:sz w:val="24"/>
      <w:szCs w:val="20"/>
    </w:rPr>
  </w:style>
  <w:style w:type="paragraph" w:customStyle="1" w:styleId="723">
    <w:name w:val="TOC 标题2"/>
    <w:basedOn w:val="3"/>
    <w:next w:val="1"/>
    <w:qFormat/>
    <w:uiPriority w:val="39"/>
    <w:pPr>
      <w:tabs>
        <w:tab w:val="left" w:pos="360"/>
        <w:tab w:val="left" w:pos="851"/>
      </w:tabs>
      <w:autoSpaceDE w:val="0"/>
      <w:autoSpaceDN w:val="0"/>
      <w:adjustRightInd w:val="0"/>
      <w:snapToGrid w:val="0"/>
      <w:spacing w:line="360" w:lineRule="auto"/>
      <w:ind w:left="360" w:hanging="360" w:hangingChars="200"/>
      <w:jc w:val="left"/>
      <w:outlineLvl w:val="9"/>
    </w:pPr>
    <w:rPr>
      <w:rFonts w:ascii="宋体" w:hAnsi="Times New Roman"/>
      <w:sz w:val="30"/>
      <w:szCs w:val="30"/>
    </w:rPr>
  </w:style>
  <w:style w:type="paragraph" w:customStyle="1" w:styleId="724">
    <w:name w:val="样式"/>
    <w:basedOn w:val="15"/>
    <w:qFormat/>
    <w:uiPriority w:val="0"/>
    <w:pPr>
      <w:ind w:firstLine="0"/>
      <w:jc w:val="center"/>
    </w:pPr>
    <w:rPr>
      <w:rFonts w:ascii="Times New Roman" w:hAnsi="Times New Roman"/>
      <w:kern w:val="0"/>
      <w:sz w:val="18"/>
      <w:szCs w:val="24"/>
    </w:rPr>
  </w:style>
  <w:style w:type="paragraph" w:customStyle="1" w:styleId="725">
    <w:name w:val="正文文字缩进－1"/>
    <w:basedOn w:val="25"/>
    <w:qFormat/>
    <w:uiPriority w:val="0"/>
    <w:pPr>
      <w:adjustRightInd w:val="0"/>
      <w:spacing w:after="0" w:line="300" w:lineRule="auto"/>
      <w:ind w:left="0" w:firstLine="200" w:firstLineChars="200"/>
    </w:pPr>
    <w:rPr>
      <w:rFonts w:ascii="Times New Roman" w:hAnsi="Times New Roman"/>
      <w:kern w:val="0"/>
      <w:sz w:val="28"/>
      <w:szCs w:val="20"/>
      <w:lang w:val="en-US"/>
    </w:rPr>
  </w:style>
  <w:style w:type="paragraph" w:customStyle="1" w:styleId="726">
    <w:name w:val="Bullet P1&amp;2"/>
    <w:basedOn w:val="1"/>
    <w:qFormat/>
    <w:uiPriority w:val="0"/>
    <w:pPr>
      <w:widowControl/>
      <w:spacing w:before="20" w:after="20" w:line="360" w:lineRule="auto"/>
      <w:ind w:right="85" w:firstLine="480"/>
      <w:jc w:val="left"/>
    </w:pPr>
    <w:rPr>
      <w:kern w:val="0"/>
      <w:sz w:val="24"/>
      <w:szCs w:val="24"/>
    </w:rPr>
  </w:style>
  <w:style w:type="paragraph" w:customStyle="1" w:styleId="727">
    <w:name w:val="Char1 Char Char Char Char Char Char Char Char"/>
    <w:basedOn w:val="1"/>
    <w:qFormat/>
    <w:uiPriority w:val="0"/>
    <w:pPr>
      <w:adjustRightInd w:val="0"/>
      <w:spacing w:line="360" w:lineRule="auto"/>
    </w:pPr>
    <w:rPr>
      <w:rFonts w:ascii="Times New Roman" w:hAnsi="Times New Roman"/>
      <w:kern w:val="0"/>
      <w:sz w:val="24"/>
      <w:szCs w:val="20"/>
    </w:rPr>
  </w:style>
  <w:style w:type="paragraph" w:customStyle="1" w:styleId="728">
    <w:name w:val="puce_2_losange"/>
    <w:basedOn w:val="1"/>
    <w:qFormat/>
    <w:uiPriority w:val="0"/>
    <w:pPr>
      <w:widowControl/>
      <w:spacing w:before="40" w:after="40"/>
      <w:ind w:left="960" w:hanging="420"/>
      <w:jc w:val="left"/>
    </w:pPr>
    <w:rPr>
      <w:rFonts w:ascii="FuturaA Md BT" w:hAnsi="FuturaA Md BT"/>
      <w:kern w:val="0"/>
      <w:sz w:val="22"/>
      <w:szCs w:val="20"/>
      <w:lang w:eastAsia="en-US"/>
    </w:rPr>
  </w:style>
  <w:style w:type="paragraph" w:customStyle="1" w:styleId="729">
    <w:name w:val="xl125"/>
    <w:basedOn w:val="1"/>
    <w:qFormat/>
    <w:uiPriority w:val="0"/>
    <w:pPr>
      <w:widowControl/>
      <w:spacing w:before="100" w:beforeAutospacing="1" w:after="100" w:afterAutospacing="1"/>
      <w:jc w:val="center"/>
      <w:textAlignment w:val="bottom"/>
    </w:pPr>
    <w:rPr>
      <w:rFonts w:cs="宋体"/>
      <w:kern w:val="0"/>
      <w:sz w:val="20"/>
      <w:szCs w:val="20"/>
    </w:rPr>
  </w:style>
  <w:style w:type="paragraph" w:customStyle="1" w:styleId="730">
    <w:name w:val="正文（无缩进）"/>
    <w:semiHidden/>
    <w:qFormat/>
    <w:uiPriority w:val="0"/>
    <w:pPr>
      <w:jc w:val="center"/>
    </w:pPr>
    <w:rPr>
      <w:rFonts w:ascii="Times New Roman" w:hAnsi="Times New Roman" w:eastAsia="仿宋_GB2312" w:cs="Times New Roman"/>
      <w:color w:val="000000"/>
      <w:kern w:val="24"/>
      <w:sz w:val="24"/>
      <w:lang w:val="en-US" w:eastAsia="zh-CN" w:bidi="ar-SA"/>
    </w:rPr>
  </w:style>
  <w:style w:type="paragraph" w:customStyle="1" w:styleId="73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732">
    <w:name w:val="标题5"/>
    <w:basedOn w:val="7"/>
    <w:next w:val="7"/>
    <w:qFormat/>
    <w:uiPriority w:val="0"/>
    <w:pPr>
      <w:numPr>
        <w:numId w:val="0"/>
      </w:numPr>
      <w:tabs>
        <w:tab w:val="left" w:pos="0"/>
        <w:tab w:val="left" w:pos="1008"/>
        <w:tab w:val="clear" w:pos="3827"/>
      </w:tabs>
      <w:spacing w:before="280" w:after="290" w:line="376" w:lineRule="auto"/>
      <w:ind w:left="1008" w:hanging="1008"/>
      <w:jc w:val="both"/>
    </w:pPr>
    <w:rPr>
      <w:rFonts w:ascii="Times New Roman" w:hAnsi="Times New Roman"/>
      <w:kern w:val="0"/>
      <w:sz w:val="28"/>
    </w:rPr>
  </w:style>
  <w:style w:type="paragraph" w:customStyle="1" w:styleId="733">
    <w:name w:val="Char Char Char Char Char Char Char Char Char Char Char Char Char Char Char Char Char Char Char"/>
    <w:basedOn w:val="1"/>
    <w:qFormat/>
    <w:uiPriority w:val="0"/>
    <w:pPr>
      <w:widowControl/>
      <w:spacing w:beforeLines="50" w:afterLines="50" w:line="360" w:lineRule="auto"/>
      <w:ind w:firstLine="200" w:firstLineChars="200"/>
      <w:jc w:val="left"/>
    </w:pPr>
    <w:rPr>
      <w:rFonts w:ascii="Verdana" w:hAnsi="Verdana"/>
      <w:kern w:val="0"/>
      <w:sz w:val="24"/>
      <w:szCs w:val="20"/>
      <w:lang w:eastAsia="en-US"/>
    </w:rPr>
  </w:style>
  <w:style w:type="paragraph" w:customStyle="1" w:styleId="7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Arial Unicode MS"/>
      <w:kern w:val="0"/>
      <w:sz w:val="20"/>
      <w:szCs w:val="20"/>
    </w:rPr>
  </w:style>
  <w:style w:type="paragraph" w:customStyle="1" w:styleId="735">
    <w:name w:val="xl42"/>
    <w:basedOn w:val="1"/>
    <w:qFormat/>
    <w:uiPriority w:val="0"/>
    <w:pPr>
      <w:widowControl/>
      <w:pBdr>
        <w:top w:val="single" w:color="auto" w:sz="12" w:space="0"/>
        <w:bottom w:val="single" w:color="auto" w:sz="4" w:space="0"/>
        <w:right w:val="single" w:color="auto" w:sz="4" w:space="0"/>
      </w:pBdr>
      <w:spacing w:before="100" w:beforeAutospacing="1" w:after="100" w:afterAutospacing="1"/>
      <w:jc w:val="center"/>
    </w:pPr>
    <w:rPr>
      <w:rFonts w:ascii="Helv" w:hAnsi="Helv"/>
      <w:b/>
      <w:bCs/>
      <w:kern w:val="0"/>
      <w:sz w:val="28"/>
      <w:szCs w:val="28"/>
    </w:rPr>
  </w:style>
  <w:style w:type="paragraph" w:customStyle="1" w:styleId="736">
    <w:name w:val="Style1"/>
    <w:basedOn w:val="1"/>
    <w:qFormat/>
    <w:uiPriority w:val="0"/>
    <w:pPr>
      <w:widowControl/>
      <w:tabs>
        <w:tab w:val="left" w:pos="-720"/>
      </w:tabs>
      <w:spacing w:after="120"/>
    </w:pPr>
    <w:rPr>
      <w:rFonts w:ascii="Times New Roman" w:hAnsi="Times New Roman"/>
      <w:spacing w:val="-3"/>
      <w:kern w:val="0"/>
      <w:sz w:val="24"/>
      <w:szCs w:val="20"/>
      <w:lang w:val="en-AU" w:eastAsia="en-US"/>
    </w:rPr>
  </w:style>
  <w:style w:type="paragraph" w:customStyle="1" w:styleId="737">
    <w:name w:val="样式 标题 1 + 宋体 小四 行距: 最小值 12 磅"/>
    <w:basedOn w:val="1"/>
    <w:qFormat/>
    <w:uiPriority w:val="0"/>
    <w:pPr>
      <w:tabs>
        <w:tab w:val="left" w:pos="360"/>
      </w:tabs>
    </w:pPr>
    <w:rPr>
      <w:rFonts w:ascii="Times New Roman" w:hAnsi="Times New Roman"/>
      <w:sz w:val="28"/>
      <w:szCs w:val="20"/>
    </w:rPr>
  </w:style>
  <w:style w:type="paragraph" w:customStyle="1" w:styleId="738">
    <w:name w:val="xl40"/>
    <w:basedOn w:val="1"/>
    <w:qFormat/>
    <w:uiPriority w:val="0"/>
    <w:pPr>
      <w:widowControl/>
      <w:pBdr>
        <w:top w:val="single" w:color="auto" w:sz="12" w:space="0"/>
        <w:left w:val="single" w:color="auto" w:sz="12" w:space="0"/>
        <w:bottom w:val="single" w:color="auto" w:sz="4" w:space="0"/>
      </w:pBdr>
      <w:spacing w:before="100" w:beforeAutospacing="1" w:after="100" w:afterAutospacing="1"/>
      <w:jc w:val="left"/>
    </w:pPr>
    <w:rPr>
      <w:rFonts w:ascii="Helv" w:hAnsi="Helv"/>
      <w:b/>
      <w:bCs/>
      <w:kern w:val="0"/>
      <w:sz w:val="28"/>
      <w:szCs w:val="28"/>
    </w:rPr>
  </w:style>
  <w:style w:type="paragraph" w:customStyle="1" w:styleId="739">
    <w:name w:val="p"/>
    <w:basedOn w:val="1"/>
    <w:qFormat/>
    <w:uiPriority w:val="0"/>
    <w:pPr>
      <w:widowControl/>
      <w:autoSpaceDE w:val="0"/>
      <w:autoSpaceDN w:val="0"/>
      <w:ind w:left="1588" w:hanging="397"/>
      <w:textAlignment w:val="bottom"/>
    </w:pPr>
    <w:rPr>
      <w:rFonts w:ascii="Times New Roman" w:hAnsi="Times New Roman"/>
      <w:color w:val="000000"/>
      <w:sz w:val="26"/>
      <w:szCs w:val="24"/>
    </w:rPr>
  </w:style>
  <w:style w:type="paragraph" w:customStyle="1" w:styleId="740">
    <w:name w:val="样式 正文首行缩进 + 宋体 小四 段前: 3 磅 段后: 3 磅 行距: 多倍行距 1.25 字行"/>
    <w:basedOn w:val="54"/>
    <w:qFormat/>
    <w:uiPriority w:val="0"/>
    <w:pPr>
      <w:spacing w:before="60" w:after="60"/>
      <w:ind w:firstLine="480" w:firstLineChars="200"/>
    </w:pPr>
    <w:rPr>
      <w:kern w:val="0"/>
      <w:szCs w:val="24"/>
    </w:rPr>
  </w:style>
  <w:style w:type="paragraph" w:customStyle="1" w:styleId="741">
    <w:name w:val="样式 样式 样式 标题 2Title2h2Heading 2 HiddenHeading 2 CCBSheading 2第一章 ..."/>
    <w:basedOn w:val="1"/>
    <w:qFormat/>
    <w:uiPriority w:val="0"/>
    <w:pPr>
      <w:keepNext/>
      <w:keepLines/>
      <w:tabs>
        <w:tab w:val="left" w:pos="360"/>
      </w:tabs>
      <w:snapToGrid w:val="0"/>
      <w:spacing w:beforeLines="50" w:afterLines="50" w:line="360" w:lineRule="auto"/>
      <w:jc w:val="left"/>
      <w:outlineLvl w:val="1"/>
    </w:pPr>
    <w:rPr>
      <w:rFonts w:ascii="Arial" w:hAnsi="Arial" w:cs="宋体"/>
      <w:b/>
      <w:bCs/>
      <w:sz w:val="28"/>
      <w:szCs w:val="28"/>
    </w:rPr>
  </w:style>
  <w:style w:type="paragraph" w:customStyle="1" w:styleId="742">
    <w:name w:val="样式3"/>
    <w:basedOn w:val="38"/>
    <w:qFormat/>
    <w:uiPriority w:val="0"/>
    <w:pPr>
      <w:pBdr>
        <w:bottom w:val="single" w:color="auto" w:sz="4" w:space="1"/>
      </w:pBdr>
      <w:ind w:right="90"/>
    </w:pPr>
    <w:rPr>
      <w:rFonts w:ascii="Times New Roman" w:hAnsi="Times New Roman"/>
      <w:szCs w:val="20"/>
    </w:rPr>
  </w:style>
  <w:style w:type="paragraph" w:customStyle="1" w:styleId="74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kern w:val="0"/>
      <w:sz w:val="20"/>
      <w:szCs w:val="20"/>
    </w:rPr>
  </w:style>
  <w:style w:type="paragraph" w:customStyle="1" w:styleId="744">
    <w:name w:val="Title Cover"/>
    <w:basedOn w:val="1"/>
    <w:next w:val="1"/>
    <w:qFormat/>
    <w:uiPriority w:val="0"/>
    <w:pPr>
      <w:keepNext/>
      <w:keepLines/>
      <w:tabs>
        <w:tab w:val="left" w:pos="630"/>
      </w:tabs>
      <w:snapToGrid w:val="0"/>
      <w:spacing w:before="1800" w:line="240" w:lineRule="atLeast"/>
      <w:ind w:left="735" w:leftChars="350" w:firstLine="420" w:firstLineChars="200"/>
    </w:pPr>
    <w:rPr>
      <w:rFonts w:ascii="Arial" w:hAnsi="Arial" w:cs="Arial"/>
      <w:b/>
      <w:bCs/>
      <w:spacing w:val="-48"/>
      <w:kern w:val="28"/>
      <w:sz w:val="72"/>
      <w:szCs w:val="20"/>
    </w:rPr>
  </w:style>
  <w:style w:type="paragraph" w:customStyle="1" w:styleId="745">
    <w:name w:val="样式 标题 3条标题1.1.1Í·头标题 3 Char条标题1.1.1 Char Char Char Char Cha...1"/>
    <w:basedOn w:val="5"/>
    <w:qFormat/>
    <w:uiPriority w:val="0"/>
    <w:pPr>
      <w:keepLines w:val="0"/>
      <w:widowControl/>
      <w:numPr>
        <w:numId w:val="13"/>
      </w:numPr>
      <w:tabs>
        <w:tab w:val="left" w:pos="1140"/>
        <w:tab w:val="clear" w:pos="432"/>
      </w:tabs>
      <w:spacing w:line="300" w:lineRule="atLeast"/>
      <w:jc w:val="left"/>
    </w:pPr>
    <w:rPr>
      <w:rFonts w:eastAsia="宋体" w:cs="宋体"/>
      <w:sz w:val="20"/>
      <w:szCs w:val="20"/>
    </w:rPr>
  </w:style>
  <w:style w:type="paragraph" w:customStyle="1" w:styleId="746">
    <w:name w:val="样式 标题 4款标题1.1.1.1H4Howden Cover Page Date标题 4 Charh4PIM 4..."/>
    <w:basedOn w:val="1"/>
    <w:qFormat/>
    <w:uiPriority w:val="0"/>
    <w:pPr>
      <w:numPr>
        <w:ilvl w:val="3"/>
        <w:numId w:val="13"/>
      </w:numPr>
    </w:pPr>
    <w:rPr>
      <w:rFonts w:ascii="Times New Roman" w:hAnsi="Times New Roman"/>
      <w:szCs w:val="24"/>
    </w:rPr>
  </w:style>
  <w:style w:type="paragraph" w:customStyle="1" w:styleId="747">
    <w:name w:val="A1"/>
    <w:qFormat/>
    <w:uiPriority w:val="0"/>
    <w:pPr>
      <w:spacing w:before="120"/>
      <w:jc w:val="both"/>
    </w:pPr>
    <w:rPr>
      <w:rFonts w:ascii="Arial" w:hAnsi="Arial" w:eastAsia="宋体" w:cs="Times New Roman"/>
      <w:sz w:val="22"/>
      <w:lang w:val="de-DE" w:eastAsia="de-DE" w:bidi="ar-SA"/>
    </w:rPr>
  </w:style>
  <w:style w:type="paragraph" w:customStyle="1" w:styleId="748">
    <w:name w:val="样式5"/>
    <w:basedOn w:val="37"/>
    <w:qFormat/>
    <w:uiPriority w:val="0"/>
    <w:pPr>
      <w:pBdr>
        <w:top w:val="thickThinSmallGap" w:color="auto" w:sz="24" w:space="1"/>
      </w:pBdr>
      <w:jc w:val="center"/>
    </w:pPr>
    <w:rPr>
      <w:rFonts w:ascii="Times New Roman" w:hAnsi="Times New Roman"/>
      <w:kern w:val="0"/>
      <w:szCs w:val="20"/>
    </w:rPr>
  </w:style>
  <w:style w:type="paragraph" w:customStyle="1" w:styleId="749">
    <w:name w:val="dir"/>
    <w:basedOn w:val="1"/>
    <w:qFormat/>
    <w:uiPriority w:val="0"/>
    <w:pPr>
      <w:widowControl/>
      <w:spacing w:before="100" w:beforeAutospacing="1" w:after="100" w:afterAutospacing="1"/>
      <w:jc w:val="left"/>
    </w:pPr>
    <w:rPr>
      <w:rFonts w:cs="宋体"/>
      <w:kern w:val="0"/>
      <w:sz w:val="24"/>
      <w:szCs w:val="24"/>
    </w:rPr>
  </w:style>
  <w:style w:type="paragraph" w:customStyle="1" w:styleId="750">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751">
    <w:name w:val="Plain Text1"/>
    <w:basedOn w:val="1"/>
    <w:qFormat/>
    <w:uiPriority w:val="0"/>
    <w:pPr>
      <w:overflowPunct w:val="0"/>
      <w:autoSpaceDE w:val="0"/>
      <w:autoSpaceDN w:val="0"/>
      <w:adjustRightInd w:val="0"/>
      <w:textAlignment w:val="baseline"/>
    </w:pPr>
    <w:rPr>
      <w:rFonts w:hAnsi="Times New Roman"/>
      <w:kern w:val="0"/>
      <w:sz w:val="28"/>
      <w:szCs w:val="20"/>
    </w:rPr>
  </w:style>
  <w:style w:type="paragraph" w:customStyle="1" w:styleId="752">
    <w:name w:val="正文排版"/>
    <w:basedOn w:val="1"/>
    <w:qFormat/>
    <w:uiPriority w:val="0"/>
    <w:pPr>
      <w:numPr>
        <w:ilvl w:val="0"/>
        <w:numId w:val="18"/>
      </w:numPr>
      <w:spacing w:before="240" w:line="240" w:lineRule="atLeast"/>
      <w:ind w:left="0" w:firstLine="200" w:firstLineChars="200"/>
    </w:pPr>
    <w:rPr>
      <w:rFonts w:ascii="FuturaA Bk BT" w:hAnsi="FuturaA Bk BT"/>
    </w:rPr>
  </w:style>
  <w:style w:type="paragraph" w:customStyle="1" w:styleId="753">
    <w:name w:val="项目符号"/>
    <w:basedOn w:val="1"/>
    <w:qFormat/>
    <w:uiPriority w:val="0"/>
    <w:pPr>
      <w:tabs>
        <w:tab w:val="left" w:pos="840"/>
      </w:tabs>
      <w:spacing w:line="360" w:lineRule="auto"/>
      <w:ind w:firstLine="420"/>
    </w:pPr>
    <w:rPr>
      <w:rFonts w:ascii="Times New Roman" w:hAnsi="Times New Roman"/>
      <w:sz w:val="24"/>
      <w:szCs w:val="24"/>
    </w:rPr>
  </w:style>
  <w:style w:type="paragraph" w:customStyle="1" w:styleId="754">
    <w:name w:val="附录标识"/>
    <w:basedOn w:val="1"/>
    <w:next w:val="4"/>
    <w:qFormat/>
    <w:uiPriority w:val="0"/>
    <w:pPr>
      <w:widowControl/>
      <w:numPr>
        <w:ilvl w:val="0"/>
        <w:numId w:val="19"/>
      </w:numPr>
      <w:shd w:val="clear" w:color="FFFFFF" w:fill="FFFFFF"/>
      <w:spacing w:before="640" w:after="200"/>
      <w:jc w:val="center"/>
      <w:outlineLvl w:val="0"/>
    </w:pPr>
    <w:rPr>
      <w:rFonts w:ascii="黑体" w:hAnsi="Times New Roman" w:eastAsia="黑体"/>
      <w:b/>
      <w:kern w:val="0"/>
      <w:szCs w:val="20"/>
    </w:rPr>
  </w:style>
  <w:style w:type="paragraph" w:customStyle="1" w:styleId="755">
    <w:name w:val="插入式样"/>
    <w:basedOn w:val="1"/>
    <w:qFormat/>
    <w:uiPriority w:val="0"/>
    <w:pPr>
      <w:spacing w:line="360" w:lineRule="auto"/>
      <w:ind w:firstLine="480" w:firstLineChars="200"/>
      <w:jc w:val="left"/>
    </w:pPr>
    <w:rPr>
      <w:bCs/>
      <w:sz w:val="24"/>
      <w:szCs w:val="24"/>
    </w:rPr>
  </w:style>
  <w:style w:type="paragraph" w:customStyle="1" w:styleId="756">
    <w:name w:val="文档正文"/>
    <w:basedOn w:val="1"/>
    <w:qFormat/>
    <w:uiPriority w:val="0"/>
    <w:pPr>
      <w:adjustRightInd w:val="0"/>
      <w:spacing w:line="480" w:lineRule="atLeast"/>
      <w:ind w:firstLine="567"/>
      <w:textAlignment w:val="baseline"/>
    </w:pPr>
    <w:rPr>
      <w:rFonts w:ascii="长城仿宋" w:hAnsi="Times New Roman"/>
      <w:kern w:val="0"/>
      <w:sz w:val="24"/>
      <w:szCs w:val="20"/>
    </w:rPr>
  </w:style>
  <w:style w:type="paragraph" w:customStyle="1" w:styleId="757">
    <w:name w:val="缺省文本:1"/>
    <w:basedOn w:val="1"/>
    <w:qFormat/>
    <w:uiPriority w:val="0"/>
    <w:pPr>
      <w:autoSpaceDE w:val="0"/>
      <w:autoSpaceDN w:val="0"/>
      <w:adjustRightInd w:val="0"/>
      <w:spacing w:line="400" w:lineRule="exact"/>
      <w:ind w:firstLine="539"/>
    </w:pPr>
    <w:rPr>
      <w:rFonts w:ascii="Times New Roman" w:hAnsi="Times New Roman"/>
      <w:kern w:val="0"/>
      <w:sz w:val="24"/>
      <w:szCs w:val="24"/>
    </w:rPr>
  </w:style>
  <w:style w:type="paragraph" w:customStyle="1" w:styleId="7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759">
    <w:name w:val="括号正文"/>
    <w:basedOn w:val="1"/>
    <w:qFormat/>
    <w:uiPriority w:val="0"/>
    <w:pPr>
      <w:tabs>
        <w:tab w:val="left" w:pos="840"/>
      </w:tabs>
      <w:ind w:left="840" w:hanging="420"/>
    </w:pPr>
    <w:rPr>
      <w:rFonts w:ascii="Times New Roman" w:hAnsi="Times New Roman"/>
      <w:kern w:val="0"/>
    </w:rPr>
  </w:style>
  <w:style w:type="paragraph" w:customStyle="1" w:styleId="7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0"/>
      <w:szCs w:val="20"/>
    </w:rPr>
  </w:style>
  <w:style w:type="paragraph" w:customStyle="1" w:styleId="761">
    <w:name w:val="Char Char Char"/>
    <w:basedOn w:val="1"/>
    <w:qFormat/>
    <w:uiPriority w:val="0"/>
    <w:pPr>
      <w:spacing w:line="360" w:lineRule="auto"/>
      <w:ind w:firstLine="200" w:firstLineChars="200"/>
    </w:pPr>
    <w:rPr>
      <w:rFonts w:ascii="Tahoma" w:hAnsi="Tahoma"/>
      <w:sz w:val="24"/>
      <w:szCs w:val="20"/>
    </w:rPr>
  </w:style>
  <w:style w:type="paragraph" w:customStyle="1" w:styleId="762">
    <w:name w:val="Char Char Char Char Char Char Char Char"/>
    <w:basedOn w:val="1"/>
    <w:qFormat/>
    <w:uiPriority w:val="0"/>
    <w:pPr>
      <w:widowControl/>
      <w:tabs>
        <w:tab w:val="left" w:pos="840"/>
      </w:tabs>
      <w:spacing w:after="160" w:line="240" w:lineRule="exact"/>
      <w:jc w:val="left"/>
    </w:pPr>
    <w:rPr>
      <w:rFonts w:ascii="Verdana" w:hAnsi="Verdana"/>
      <w:kern w:val="0"/>
      <w:sz w:val="20"/>
      <w:szCs w:val="20"/>
      <w:lang w:eastAsia="en-US"/>
    </w:rPr>
  </w:style>
  <w:style w:type="paragraph" w:customStyle="1" w:styleId="763">
    <w:name w:val="(1)"/>
    <w:basedOn w:val="1"/>
    <w:qFormat/>
    <w:uiPriority w:val="0"/>
    <w:pPr>
      <w:snapToGrid w:val="0"/>
      <w:spacing w:beforeLines="20" w:afterLines="20"/>
      <w:jc w:val="center"/>
    </w:pPr>
    <w:rPr>
      <w:rFonts w:ascii="Arial" w:hAnsi="Arial" w:eastAsia="华文细黑" w:cs="Arial"/>
      <w:szCs w:val="24"/>
    </w:rPr>
  </w:style>
  <w:style w:type="paragraph" w:customStyle="1" w:styleId="764">
    <w:name w:val="表头"/>
    <w:basedOn w:val="1"/>
    <w:qFormat/>
    <w:uiPriority w:val="0"/>
    <w:pPr>
      <w:spacing w:line="360" w:lineRule="auto"/>
      <w:jc w:val="center"/>
    </w:pPr>
    <w:rPr>
      <w:rFonts w:ascii="黑体" w:hAnsi="Times New Roman" w:eastAsia="黑体"/>
      <w:kern w:val="0"/>
      <w:sz w:val="24"/>
      <w:szCs w:val="20"/>
    </w:rPr>
  </w:style>
  <w:style w:type="paragraph" w:customStyle="1" w:styleId="765">
    <w:name w:val="签名页文字"/>
    <w:basedOn w:val="451"/>
    <w:semiHidden/>
    <w:qFormat/>
    <w:uiPriority w:val="0"/>
    <w:pPr>
      <w:spacing w:line="600" w:lineRule="exact"/>
      <w:ind w:left="1100" w:leftChars="1100" w:firstLine="0" w:firstLineChars="0"/>
    </w:pPr>
    <w:rPr>
      <w:rFonts w:ascii="Calibri" w:hAnsi="Calibri"/>
      <w:sz w:val="32"/>
      <w:szCs w:val="32"/>
    </w:rPr>
  </w:style>
  <w:style w:type="paragraph" w:customStyle="1" w:styleId="766">
    <w:name w:val="ST20_1"/>
    <w:basedOn w:val="1"/>
    <w:next w:val="1"/>
    <w:qFormat/>
    <w:uiPriority w:val="0"/>
    <w:pPr>
      <w:keepNext/>
      <w:keepLines/>
      <w:numPr>
        <w:ilvl w:val="0"/>
        <w:numId w:val="20"/>
      </w:numPr>
      <w:tabs>
        <w:tab w:val="left" w:pos="907"/>
        <w:tab w:val="right" w:leader="dot" w:pos="8400"/>
      </w:tabs>
      <w:adjustRightInd w:val="0"/>
      <w:snapToGrid w:val="0"/>
      <w:spacing w:before="120" w:after="120" w:line="300" w:lineRule="auto"/>
      <w:jc w:val="left"/>
    </w:pPr>
    <w:rPr>
      <w:rFonts w:ascii="Arial" w:hAnsi="Arial"/>
      <w:kern w:val="0"/>
      <w:sz w:val="24"/>
      <w:szCs w:val="24"/>
    </w:rPr>
  </w:style>
  <w:style w:type="paragraph" w:customStyle="1" w:styleId="767">
    <w:name w:val="封面落款2"/>
    <w:basedOn w:val="625"/>
    <w:qFormat/>
    <w:uiPriority w:val="0"/>
    <w:rPr>
      <w:sz w:val="30"/>
    </w:rPr>
  </w:style>
  <w:style w:type="paragraph" w:customStyle="1" w:styleId="768">
    <w:name w:val="Char Char Char1 Char"/>
    <w:basedOn w:val="18"/>
    <w:qFormat/>
    <w:uiPriority w:val="0"/>
    <w:rPr>
      <w:rFonts w:ascii="Tahoma" w:hAnsi="Tahoma"/>
      <w:lang w:val="en-US"/>
    </w:rPr>
  </w:style>
  <w:style w:type="paragraph" w:customStyle="1" w:styleId="769">
    <w:name w:val="Char Char Char1 Char Char Char Char Char Char Char Char Char Char"/>
    <w:basedOn w:val="1"/>
    <w:qFormat/>
    <w:uiPriority w:val="0"/>
    <w:rPr>
      <w:rFonts w:ascii="Times New Roman" w:hAnsi="Times New Roman"/>
      <w:szCs w:val="24"/>
    </w:rPr>
  </w:style>
  <w:style w:type="paragraph" w:customStyle="1" w:styleId="770">
    <w:name w:val="杠"/>
    <w:basedOn w:val="15"/>
    <w:qFormat/>
    <w:uiPriority w:val="0"/>
    <w:pPr>
      <w:tabs>
        <w:tab w:val="left" w:pos="425"/>
        <w:tab w:val="left" w:pos="780"/>
      </w:tabs>
      <w:adjustRightInd w:val="0"/>
      <w:snapToGrid w:val="0"/>
      <w:spacing w:before="120" w:line="300" w:lineRule="auto"/>
      <w:ind w:left="1559" w:hanging="425"/>
      <w:textAlignment w:val="baseline"/>
    </w:pPr>
    <w:rPr>
      <w:rFonts w:ascii="Arial" w:hAnsi="Arial"/>
      <w:kern w:val="0"/>
      <w:sz w:val="24"/>
      <w:szCs w:val="20"/>
    </w:rPr>
  </w:style>
  <w:style w:type="paragraph" w:customStyle="1" w:styleId="771">
    <w:name w:val="xl57"/>
    <w:basedOn w:val="1"/>
    <w:qFormat/>
    <w:uiPriority w:val="0"/>
    <w:pPr>
      <w:widowControl/>
      <w:pBdr>
        <w:top w:val="single" w:color="auto" w:sz="4" w:space="0"/>
        <w:left w:val="single" w:color="auto" w:sz="12" w:space="0"/>
        <w:bottom w:val="single" w:color="auto" w:sz="4" w:space="0"/>
      </w:pBdr>
      <w:spacing w:before="100" w:beforeAutospacing="1" w:after="100" w:afterAutospacing="1"/>
      <w:jc w:val="left"/>
    </w:pPr>
    <w:rPr>
      <w:rFonts w:ascii="Helv" w:hAnsi="Helv"/>
      <w:b/>
      <w:bCs/>
      <w:kern w:val="0"/>
      <w:sz w:val="28"/>
      <w:szCs w:val="28"/>
    </w:rPr>
  </w:style>
  <w:style w:type="paragraph" w:customStyle="1" w:styleId="772">
    <w:name w:val="图注释"/>
    <w:basedOn w:val="1"/>
    <w:qFormat/>
    <w:uiPriority w:val="0"/>
    <w:pPr>
      <w:jc w:val="center"/>
    </w:pPr>
    <w:rPr>
      <w:rFonts w:ascii="Times New Roman" w:hAnsi="Times New Roman"/>
      <w:bCs/>
      <w:kern w:val="0"/>
      <w:sz w:val="18"/>
    </w:rPr>
  </w:style>
  <w:style w:type="paragraph" w:customStyle="1" w:styleId="773">
    <w:name w:val="实施日期"/>
    <w:basedOn w:val="561"/>
    <w:qFormat/>
    <w:uiPriority w:val="0"/>
    <w:pPr>
      <w:framePr w:hSpace="0" w:wrap="around" w:xAlign="right"/>
      <w:jc w:val="right"/>
    </w:pPr>
  </w:style>
  <w:style w:type="paragraph" w:customStyle="1" w:styleId="774">
    <w:name w:val="cjk2"/>
    <w:basedOn w:val="1"/>
    <w:qFormat/>
    <w:uiPriority w:val="0"/>
    <w:pPr>
      <w:widowControl/>
      <w:spacing w:before="284" w:line="360" w:lineRule="auto"/>
      <w:jc w:val="left"/>
    </w:pPr>
    <w:rPr>
      <w:rFonts w:cs="宋体"/>
      <w:kern w:val="0"/>
      <w:sz w:val="22"/>
      <w:szCs w:val="22"/>
    </w:rPr>
  </w:style>
  <w:style w:type="paragraph" w:customStyle="1" w:styleId="775">
    <w:name w:val="cjk1"/>
    <w:basedOn w:val="1"/>
    <w:qFormat/>
    <w:uiPriority w:val="0"/>
    <w:pPr>
      <w:widowControl/>
      <w:spacing w:before="284" w:line="360" w:lineRule="auto"/>
      <w:jc w:val="left"/>
    </w:pPr>
    <w:rPr>
      <w:rFonts w:cs="宋体"/>
      <w:kern w:val="0"/>
      <w:sz w:val="22"/>
      <w:szCs w:val="22"/>
    </w:rPr>
  </w:style>
  <w:style w:type="paragraph" w:customStyle="1" w:styleId="776">
    <w:name w:val="标题 91"/>
    <w:basedOn w:val="1"/>
    <w:qFormat/>
    <w:uiPriority w:val="0"/>
    <w:pPr>
      <w:widowControl/>
      <w:tabs>
        <w:tab w:val="left" w:pos="1584"/>
      </w:tabs>
      <w:autoSpaceDE w:val="0"/>
      <w:autoSpaceDN w:val="0"/>
      <w:ind w:left="1584" w:hanging="1584"/>
      <w:jc w:val="left"/>
    </w:pPr>
    <w:rPr>
      <w:rFonts w:ascii="Times New Roman" w:hAnsi="Times New Roman"/>
      <w:kern w:val="24"/>
      <w:sz w:val="20"/>
      <w:szCs w:val="20"/>
    </w:rPr>
  </w:style>
  <w:style w:type="paragraph" w:customStyle="1" w:styleId="777">
    <w:name w:val="黑圆标"/>
    <w:basedOn w:val="15"/>
    <w:qFormat/>
    <w:uiPriority w:val="0"/>
    <w:pPr>
      <w:spacing w:line="360" w:lineRule="auto"/>
      <w:ind w:firstLine="0"/>
    </w:pPr>
    <w:rPr>
      <w:kern w:val="0"/>
      <w:sz w:val="24"/>
      <w:szCs w:val="20"/>
    </w:rPr>
  </w:style>
  <w:style w:type="paragraph" w:customStyle="1" w:styleId="778">
    <w:name w:val="默认段落字体 Para Char Char Char Char Char Char Char Char Char Char Char Char Char Char Char Char Char Char Char Char Char Char Char Char1 Char"/>
    <w:basedOn w:val="1"/>
    <w:qFormat/>
    <w:uiPriority w:val="0"/>
    <w:rPr>
      <w:rFonts w:ascii="Tahoma" w:hAnsi="Tahoma"/>
      <w:sz w:val="24"/>
      <w:szCs w:val="20"/>
    </w:rPr>
  </w:style>
  <w:style w:type="paragraph" w:customStyle="1" w:styleId="779">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Helv" w:hAnsi="Helv"/>
      <w:b/>
      <w:bCs/>
      <w:kern w:val="0"/>
      <w:sz w:val="28"/>
      <w:szCs w:val="28"/>
    </w:rPr>
  </w:style>
  <w:style w:type="paragraph" w:customStyle="1" w:styleId="780">
    <w:name w:val="表格名称"/>
    <w:basedOn w:val="1"/>
    <w:qFormat/>
    <w:uiPriority w:val="0"/>
    <w:pPr>
      <w:spacing w:beforeLines="50" w:line="360" w:lineRule="auto"/>
      <w:jc w:val="center"/>
    </w:pPr>
    <w:rPr>
      <w:rFonts w:ascii="Times New Roman" w:hAnsi="Times New Roman"/>
      <w:bCs/>
      <w:sz w:val="24"/>
      <w:szCs w:val="20"/>
    </w:rPr>
  </w:style>
  <w:style w:type="paragraph" w:customStyle="1" w:styleId="781">
    <w:name w:val="±íÏî"/>
    <w:basedOn w:val="1"/>
    <w:qFormat/>
    <w:uiPriority w:val="0"/>
    <w:pPr>
      <w:widowControl/>
      <w:overflowPunct w:val="0"/>
      <w:autoSpaceDE w:val="0"/>
      <w:autoSpaceDN w:val="0"/>
      <w:adjustRightInd w:val="0"/>
      <w:spacing w:line="300" w:lineRule="auto"/>
      <w:jc w:val="center"/>
      <w:textAlignment w:val="baseline"/>
    </w:pPr>
    <w:rPr>
      <w:rFonts w:ascii="Times New Roman" w:hAnsi="Times New Roman"/>
      <w:kern w:val="0"/>
      <w:sz w:val="18"/>
      <w:szCs w:val="20"/>
    </w:rPr>
  </w:style>
  <w:style w:type="paragraph" w:customStyle="1" w:styleId="782">
    <w:name w:val="xl53"/>
    <w:basedOn w:val="1"/>
    <w:qFormat/>
    <w:uiPriority w:val="0"/>
    <w:pPr>
      <w:widowControl/>
      <w:pBdr>
        <w:left w:val="single" w:color="auto" w:sz="12" w:space="0"/>
        <w:bottom w:val="single" w:color="auto" w:sz="8" w:space="0"/>
      </w:pBdr>
      <w:spacing w:before="100" w:beforeAutospacing="1" w:after="100" w:afterAutospacing="1"/>
      <w:jc w:val="left"/>
    </w:pPr>
    <w:rPr>
      <w:rFonts w:ascii="Helv" w:hAnsi="Helv"/>
      <w:b/>
      <w:bCs/>
      <w:kern w:val="0"/>
      <w:sz w:val="28"/>
      <w:szCs w:val="28"/>
    </w:rPr>
  </w:style>
  <w:style w:type="paragraph" w:customStyle="1" w:styleId="783">
    <w:name w:val="Char Char Char Char Char Char Char Char Char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784">
    <w:name w:val="样式 行距: 1.5 倍行距"/>
    <w:basedOn w:val="1"/>
    <w:qFormat/>
    <w:uiPriority w:val="0"/>
    <w:pPr>
      <w:spacing w:line="360" w:lineRule="auto"/>
      <w:ind w:firstLine="480" w:firstLineChars="200"/>
    </w:pPr>
    <w:rPr>
      <w:rFonts w:ascii="Times New Roman" w:hAnsi="Times New Roman" w:cs="宋体"/>
      <w:sz w:val="24"/>
      <w:szCs w:val="20"/>
    </w:rPr>
  </w:style>
  <w:style w:type="paragraph" w:customStyle="1" w:styleId="785">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786">
    <w:name w:val="小标"/>
    <w:basedOn w:val="1"/>
    <w:qFormat/>
    <w:uiPriority w:val="0"/>
    <w:rPr>
      <w:rFonts w:hint="eastAsia" w:ascii="黑体" w:hAnsi="Times New Roman" w:eastAsia="黑体"/>
      <w:spacing w:val="20"/>
      <w:szCs w:val="20"/>
    </w:rPr>
  </w:style>
  <w:style w:type="paragraph" w:customStyle="1" w:styleId="787">
    <w:name w:val="样式 标题 1卷标题H1章标题 1 1TITRE1L1 Heading 1h11st levelh111st...3"/>
    <w:basedOn w:val="3"/>
    <w:qFormat/>
    <w:uiPriority w:val="0"/>
    <w:pPr>
      <w:tabs>
        <w:tab w:val="left" w:pos="360"/>
        <w:tab w:val="left" w:pos="851"/>
      </w:tabs>
      <w:autoSpaceDE w:val="0"/>
      <w:autoSpaceDN w:val="0"/>
      <w:adjustRightInd w:val="0"/>
      <w:snapToGrid w:val="0"/>
      <w:spacing w:line="360" w:lineRule="auto"/>
      <w:ind w:left="360" w:hanging="360" w:hangingChars="200"/>
      <w:jc w:val="center"/>
    </w:pPr>
    <w:rPr>
      <w:rFonts w:ascii="宋体" w:hAnsi="宋体"/>
      <w:color w:val="000000"/>
      <w:sz w:val="30"/>
      <w:szCs w:val="20"/>
    </w:rPr>
  </w:style>
  <w:style w:type="paragraph" w:customStyle="1" w:styleId="7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0"/>
      <w:szCs w:val="20"/>
    </w:rPr>
  </w:style>
  <w:style w:type="paragraph" w:customStyle="1" w:styleId="789">
    <w:name w:val="样式 正文X + (中文) 宋体 (符号) 宋体 小四 首行缩进:  3.04 字符"/>
    <w:basedOn w:val="1"/>
    <w:qFormat/>
    <w:uiPriority w:val="0"/>
    <w:pPr>
      <w:snapToGrid w:val="0"/>
      <w:spacing w:line="360" w:lineRule="auto"/>
      <w:ind w:firstLine="400" w:firstLineChars="400"/>
    </w:pPr>
    <w:rPr>
      <w:rFonts w:cs="宋体"/>
      <w:spacing w:val="4"/>
      <w:sz w:val="24"/>
      <w:szCs w:val="20"/>
    </w:rPr>
  </w:style>
  <w:style w:type="paragraph" w:customStyle="1" w:styleId="790">
    <w:name w:val="样式 标题 22nd levelh22Header 2H2UNDERRUBRIK 1-2sect 1.2Head..."/>
    <w:basedOn w:val="4"/>
    <w:qFormat/>
    <w:uiPriority w:val="0"/>
    <w:pPr>
      <w:numPr>
        <w:ilvl w:val="0"/>
        <w:numId w:val="21"/>
      </w:numPr>
      <w:adjustRightInd w:val="0"/>
      <w:snapToGrid w:val="0"/>
      <w:spacing w:before="120" w:after="120" w:line="415" w:lineRule="auto"/>
    </w:pPr>
    <w:rPr>
      <w:rFonts w:ascii="宋体" w:hAnsi="宋体" w:cs="宋体"/>
      <w:sz w:val="30"/>
      <w:szCs w:val="20"/>
    </w:rPr>
  </w:style>
  <w:style w:type="paragraph" w:customStyle="1" w:styleId="791">
    <w:name w:val="xl38"/>
    <w:basedOn w:val="1"/>
    <w:qFormat/>
    <w:uiPriority w:val="0"/>
    <w:pPr>
      <w:widowControl/>
      <w:spacing w:before="100" w:beforeAutospacing="1" w:after="100" w:afterAutospacing="1"/>
      <w:jc w:val="center"/>
    </w:pPr>
    <w:rPr>
      <w:rFonts w:ascii="Helv" w:hAnsi="Helv"/>
      <w:b/>
      <w:bCs/>
      <w:kern w:val="0"/>
      <w:sz w:val="28"/>
      <w:szCs w:val="28"/>
    </w:rPr>
  </w:style>
  <w:style w:type="paragraph" w:customStyle="1" w:styleId="792">
    <w:name w:val="工程建设正文图标题"/>
    <w:next w:val="77"/>
    <w:qFormat/>
    <w:uiPriority w:val="0"/>
    <w:pPr>
      <w:numPr>
        <w:ilvl w:val="0"/>
        <w:numId w:val="22"/>
      </w:numPr>
      <w:tabs>
        <w:tab w:val="left" w:pos="210"/>
      </w:tabs>
      <w:jc w:val="center"/>
    </w:pPr>
    <w:rPr>
      <w:rFonts w:ascii="黑体" w:hAnsi="Times New Roman" w:eastAsia="黑体" w:cs="Times New Roman"/>
      <w:b/>
      <w:lang w:val="en-US" w:eastAsia="zh-CN" w:bidi="ar-SA"/>
    </w:rPr>
  </w:style>
  <w:style w:type="paragraph" w:customStyle="1" w:styleId="793">
    <w:name w:val="修订3"/>
    <w:hidden/>
    <w:unhideWhenUsed/>
    <w:qFormat/>
    <w:uiPriority w:val="99"/>
    <w:rPr>
      <w:rFonts w:ascii="宋体" w:hAnsi="宋体" w:eastAsia="宋体" w:cs="Times New Roman"/>
      <w:kern w:val="2"/>
      <w:sz w:val="21"/>
      <w:szCs w:val="21"/>
      <w:lang w:val="en-US" w:eastAsia="zh-CN" w:bidi="ar-SA"/>
    </w:rPr>
  </w:style>
  <w:style w:type="paragraph" w:customStyle="1" w:styleId="794">
    <w:name w:val="表身（中）"/>
    <w:basedOn w:val="795"/>
    <w:qFormat/>
    <w:uiPriority w:val="0"/>
    <w:pPr>
      <w:jc w:val="center"/>
    </w:pPr>
  </w:style>
  <w:style w:type="paragraph" w:customStyle="1" w:styleId="795">
    <w:name w:val="表身（左）"/>
    <w:qFormat/>
    <w:uiPriority w:val="0"/>
    <w:pPr>
      <w:adjustRightInd w:val="0"/>
      <w:snapToGrid w:val="0"/>
      <w:spacing w:line="300" w:lineRule="auto"/>
    </w:pPr>
    <w:rPr>
      <w:rFonts w:ascii="Times New Roman" w:hAnsi="Times New Roman" w:eastAsia="宋体" w:cs="Times New Roman"/>
      <w:sz w:val="16"/>
      <w:lang w:val="en-US" w:eastAsia="zh-CN" w:bidi="ar-SA"/>
    </w:rPr>
  </w:style>
  <w:style w:type="paragraph" w:customStyle="1" w:styleId="796">
    <w:name w:val="et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宋体"/>
      <w:color w:val="000000"/>
      <w:kern w:val="0"/>
      <w:sz w:val="20"/>
      <w:szCs w:val="20"/>
    </w:rPr>
  </w:style>
  <w:style w:type="paragraph" w:customStyle="1" w:styleId="797">
    <w:name w:val="0正文"/>
    <w:basedOn w:val="1"/>
    <w:qFormat/>
    <w:uiPriority w:val="0"/>
    <w:pPr>
      <w:adjustRightInd w:val="0"/>
      <w:snapToGrid w:val="0"/>
      <w:spacing w:line="360" w:lineRule="auto"/>
      <w:ind w:firstLine="200" w:firstLineChars="200"/>
    </w:pPr>
    <w:rPr>
      <w:color w:val="000000"/>
      <w:kern w:val="0"/>
      <w:szCs w:val="24"/>
    </w:rPr>
  </w:style>
  <w:style w:type="paragraph" w:customStyle="1" w:styleId="798">
    <w:name w:val="文章编号1"/>
    <w:basedOn w:val="1"/>
    <w:qFormat/>
    <w:uiPriority w:val="0"/>
    <w:pPr>
      <w:numPr>
        <w:ilvl w:val="0"/>
        <w:numId w:val="23"/>
      </w:numPr>
      <w:snapToGrid w:val="0"/>
      <w:spacing w:line="360" w:lineRule="auto"/>
    </w:pPr>
    <w:rPr>
      <w:sz w:val="24"/>
    </w:rPr>
  </w:style>
  <w:style w:type="character" w:customStyle="1" w:styleId="799">
    <w:name w:val="17"/>
    <w:basedOn w:val="58"/>
    <w:qFormat/>
    <w:uiPriority w:val="0"/>
    <w:rPr>
      <w:rFonts w:hint="eastAsia" w:ascii="宋体" w:hAnsi="宋体" w:eastAsia="宋体" w:cs="宋体"/>
      <w:color w:val="000000"/>
      <w:sz w:val="21"/>
      <w:szCs w:val="21"/>
      <w:vertAlign w:val="superscript"/>
    </w:rPr>
  </w:style>
  <w:style w:type="character" w:customStyle="1" w:styleId="800">
    <w:name w:val="10"/>
    <w:basedOn w:val="58"/>
    <w:qFormat/>
    <w:uiPriority w:val="0"/>
    <w:rPr>
      <w:rFonts w:hint="default" w:ascii="Times New Roman" w:hAnsi="Times New Roman" w:cs="Times New Roman"/>
    </w:rPr>
  </w:style>
  <w:style w:type="character" w:customStyle="1" w:styleId="801">
    <w:name w:val="16"/>
    <w:basedOn w:val="58"/>
    <w:qFormat/>
    <w:uiPriority w:val="0"/>
    <w:rPr>
      <w:rFonts w:hint="default" w:ascii="微软雅黑" w:hAnsi="微软雅黑" w:eastAsia="微软雅黑" w:cs="微软雅黑"/>
      <w:color w:val="FF0000"/>
      <w:sz w:val="24"/>
      <w:szCs w:val="24"/>
    </w:rPr>
  </w:style>
  <w:style w:type="character" w:customStyle="1" w:styleId="802">
    <w:name w:val="18"/>
    <w:basedOn w:val="58"/>
    <w:qFormat/>
    <w:uiPriority w:val="0"/>
    <w:rPr>
      <w:rFonts w:hint="default" w:ascii="Times New Roman" w:hAnsi="Times New Roman" w:cs="Times New Roman"/>
    </w:rPr>
  </w:style>
  <w:style w:type="character" w:customStyle="1" w:styleId="803">
    <w:name w:val="15"/>
    <w:basedOn w:val="58"/>
    <w:qFormat/>
    <w:uiPriority w:val="0"/>
    <w:rPr>
      <w:rFonts w:hint="default" w:ascii="微软雅黑" w:hAnsi="微软雅黑" w:eastAsia="微软雅黑" w:cs="微软雅黑"/>
      <w:color w:val="000000"/>
      <w:sz w:val="24"/>
      <w:szCs w:val="24"/>
    </w:rPr>
  </w:style>
  <w:style w:type="character" w:customStyle="1" w:styleId="804">
    <w:name w:val="正文文本缩进 字符1"/>
    <w:basedOn w:val="58"/>
    <w:link w:val="25"/>
    <w:qFormat/>
    <w:uiPriority w:val="0"/>
    <w:rPr>
      <w:rFonts w:hint="eastAsia" w:ascii="宋体" w:hAnsi="宋体" w:eastAsia="宋体" w:cs="宋体"/>
      <w:kern w:val="2"/>
      <w:sz w:val="21"/>
      <w:szCs w:val="21"/>
      <w:lang w:val="zh-CN"/>
    </w:rPr>
  </w:style>
  <w:style w:type="character" w:customStyle="1" w:styleId="805">
    <w:name w:val="称呼 字符"/>
    <w:basedOn w:val="58"/>
    <w:link w:val="21"/>
    <w:qFormat/>
    <w:uiPriority w:val="0"/>
    <w:rPr>
      <w:kern w:val="2"/>
      <w:sz w:val="21"/>
      <w:szCs w:val="24"/>
    </w:rPr>
  </w:style>
  <w:style w:type="character" w:customStyle="1" w:styleId="806">
    <w:name w:val="标题 字符"/>
    <w:basedOn w:val="58"/>
    <w:link w:val="52"/>
    <w:qFormat/>
    <w:uiPriority w:val="0"/>
    <w:rPr>
      <w:rFonts w:hint="default" w:ascii="MS Sans Serif" w:hAnsi="MS Sans Serif" w:eastAsia="新宋体" w:cs="MS Sans Serif"/>
      <w:b/>
      <w:bCs/>
      <w:kern w:val="2"/>
      <w:sz w:val="32"/>
      <w:szCs w:val="32"/>
    </w:rPr>
  </w:style>
  <w:style w:type="character" w:customStyle="1" w:styleId="807">
    <w:name w:val="批注框文本 字符"/>
    <w:basedOn w:val="58"/>
    <w:link w:val="36"/>
    <w:qFormat/>
    <w:uiPriority w:val="0"/>
    <w:rPr>
      <w:rFonts w:hint="eastAsia" w:ascii="宋体" w:hAnsi="宋体" w:eastAsia="宋体" w:cs="宋体"/>
      <w:kern w:val="2"/>
      <w:sz w:val="18"/>
      <w:szCs w:val="18"/>
    </w:rPr>
  </w:style>
  <w:style w:type="character" w:customStyle="1" w:styleId="808">
    <w:name w:val="标题 3 字符"/>
    <w:basedOn w:val="58"/>
    <w:link w:val="5"/>
    <w:qFormat/>
    <w:uiPriority w:val="0"/>
    <w:rPr>
      <w:rFonts w:hint="eastAsia" w:ascii="宋体" w:hAnsi="宋体" w:eastAsia="黑体" w:cs="宋体"/>
      <w:kern w:val="2"/>
      <w:sz w:val="21"/>
      <w:szCs w:val="32"/>
    </w:rPr>
  </w:style>
  <w:style w:type="character" w:customStyle="1" w:styleId="809">
    <w:name w:val="标题 1 字符"/>
    <w:basedOn w:val="58"/>
    <w:link w:val="3"/>
    <w:qFormat/>
    <w:uiPriority w:val="0"/>
    <w:rPr>
      <w:rFonts w:hint="default" w:ascii="Calibri" w:hAnsi="Calibri" w:cs="Calibri"/>
      <w:b/>
      <w:bCs/>
      <w:kern w:val="44"/>
      <w:sz w:val="32"/>
      <w:szCs w:val="44"/>
    </w:rPr>
  </w:style>
  <w:style w:type="character" w:customStyle="1" w:styleId="810">
    <w:name w:val="尾注文本 字符"/>
    <w:basedOn w:val="58"/>
    <w:link w:val="35"/>
    <w:qFormat/>
    <w:uiPriority w:val="0"/>
    <w:rPr>
      <w:kern w:val="2"/>
      <w:sz w:val="24"/>
      <w:szCs w:val="24"/>
    </w:rPr>
  </w:style>
  <w:style w:type="character" w:customStyle="1" w:styleId="811">
    <w:name w:val="正文文本 2 字符"/>
    <w:basedOn w:val="58"/>
    <w:link w:val="48"/>
    <w:qFormat/>
    <w:uiPriority w:val="0"/>
    <w:rPr>
      <w:szCs w:val="24"/>
    </w:rPr>
  </w:style>
  <w:style w:type="character" w:customStyle="1" w:styleId="812">
    <w:name w:val="日期 字符"/>
    <w:basedOn w:val="58"/>
    <w:link w:val="33"/>
    <w:qFormat/>
    <w:uiPriority w:val="0"/>
    <w:rPr>
      <w:rFonts w:hint="eastAsia" w:ascii="宋体" w:hAnsi="宋体" w:eastAsia="宋体" w:cs="宋体"/>
      <w:kern w:val="2"/>
      <w:sz w:val="21"/>
    </w:rPr>
  </w:style>
  <w:style w:type="character" w:customStyle="1" w:styleId="813">
    <w:name w:val="标题 9 字符"/>
    <w:basedOn w:val="58"/>
    <w:link w:val="11"/>
    <w:qFormat/>
    <w:uiPriority w:val="0"/>
    <w:rPr>
      <w:rFonts w:hint="default" w:ascii="Arial" w:hAnsi="Arial" w:eastAsia="黑体" w:cs="Arial"/>
      <w:kern w:val="2"/>
      <w:sz w:val="21"/>
      <w:szCs w:val="21"/>
      <w:lang w:val="zh-CN"/>
    </w:rPr>
  </w:style>
  <w:style w:type="character" w:customStyle="1" w:styleId="814">
    <w:name w:val="页脚 字符"/>
    <w:basedOn w:val="58"/>
    <w:link w:val="37"/>
    <w:qFormat/>
    <w:uiPriority w:val="0"/>
    <w:rPr>
      <w:rFonts w:hint="eastAsia" w:ascii="宋体" w:hAnsi="宋体" w:eastAsia="宋体" w:cs="宋体"/>
      <w:kern w:val="2"/>
      <w:sz w:val="18"/>
      <w:szCs w:val="21"/>
    </w:rPr>
  </w:style>
  <w:style w:type="character" w:customStyle="1" w:styleId="815">
    <w:name w:val="正文文本 字符"/>
    <w:basedOn w:val="58"/>
    <w:link w:val="2"/>
    <w:qFormat/>
    <w:uiPriority w:val="0"/>
    <w:rPr>
      <w:rFonts w:hint="eastAsia" w:ascii="宋体" w:hAnsi="宋体" w:eastAsia="宋体" w:cs="宋体"/>
      <w:kern w:val="2"/>
      <w:sz w:val="21"/>
      <w:szCs w:val="21"/>
    </w:rPr>
  </w:style>
  <w:style w:type="character" w:customStyle="1" w:styleId="816">
    <w:name w:val="标题 6 字符"/>
    <w:basedOn w:val="58"/>
    <w:link w:val="8"/>
    <w:qFormat/>
    <w:uiPriority w:val="0"/>
    <w:rPr>
      <w:rFonts w:hint="default" w:ascii="Arial" w:hAnsi="Arial" w:eastAsia="黑体" w:cs="Arial"/>
      <w:b/>
      <w:bCs/>
      <w:kern w:val="2"/>
      <w:sz w:val="24"/>
      <w:szCs w:val="21"/>
    </w:rPr>
  </w:style>
  <w:style w:type="character" w:customStyle="1" w:styleId="817">
    <w:name w:val="批注主题 字符"/>
    <w:basedOn w:val="818"/>
    <w:link w:val="53"/>
    <w:qFormat/>
    <w:uiPriority w:val="0"/>
    <w:rPr>
      <w:b/>
      <w:bCs/>
      <w:kern w:val="2"/>
      <w:sz w:val="21"/>
      <w:szCs w:val="24"/>
    </w:rPr>
  </w:style>
  <w:style w:type="character" w:customStyle="1" w:styleId="818">
    <w:name w:val="批注文字 字符"/>
    <w:basedOn w:val="58"/>
    <w:link w:val="20"/>
    <w:qFormat/>
    <w:uiPriority w:val="0"/>
    <w:rPr>
      <w:kern w:val="2"/>
      <w:sz w:val="21"/>
      <w:szCs w:val="24"/>
    </w:rPr>
  </w:style>
  <w:style w:type="character" w:customStyle="1" w:styleId="819">
    <w:name w:val="纯文本 字符"/>
    <w:basedOn w:val="58"/>
    <w:link w:val="31"/>
    <w:qFormat/>
    <w:uiPriority w:val="0"/>
    <w:rPr>
      <w:rFonts w:hint="eastAsia" w:ascii="宋体" w:hAnsi="Courier New" w:eastAsia="宋体" w:cs="宋体"/>
      <w:kern w:val="2"/>
      <w:sz w:val="21"/>
    </w:rPr>
  </w:style>
  <w:style w:type="character" w:customStyle="1" w:styleId="820">
    <w:name w:val="正文缩进 字符"/>
    <w:basedOn w:val="58"/>
    <w:link w:val="15"/>
    <w:qFormat/>
    <w:uiPriority w:val="0"/>
    <w:rPr>
      <w:rFonts w:hint="eastAsia" w:ascii="宋体" w:hAnsi="宋体" w:eastAsia="宋体" w:cs="宋体"/>
      <w:kern w:val="2"/>
      <w:sz w:val="21"/>
      <w:szCs w:val="21"/>
    </w:rPr>
  </w:style>
  <w:style w:type="character" w:customStyle="1" w:styleId="821">
    <w:name w:val="正文文本缩进 2 字符"/>
    <w:basedOn w:val="58"/>
    <w:link w:val="34"/>
    <w:qFormat/>
    <w:uiPriority w:val="0"/>
  </w:style>
  <w:style w:type="paragraph" w:customStyle="1" w:styleId="822">
    <w:name w:val="msolistparagraph"/>
    <w:basedOn w:val="1"/>
    <w:qFormat/>
    <w:uiPriority w:val="0"/>
    <w:pPr>
      <w:numPr>
        <w:ilvl w:val="0"/>
        <w:numId w:val="24"/>
      </w:numPr>
      <w:spacing w:after="160" w:line="360" w:lineRule="auto"/>
    </w:pPr>
    <w:rPr>
      <w:rFonts w:hint="eastAsia"/>
    </w:rPr>
  </w:style>
  <w:style w:type="character" w:customStyle="1" w:styleId="823">
    <w:name w:val="文档结构图 字符"/>
    <w:basedOn w:val="58"/>
    <w:link w:val="18"/>
    <w:qFormat/>
    <w:uiPriority w:val="0"/>
    <w:rPr>
      <w:sz w:val="24"/>
      <w:szCs w:val="24"/>
      <w:shd w:val="clear" w:color="auto" w:fill="000080"/>
      <w:lang w:val="zh-CN"/>
    </w:rPr>
  </w:style>
  <w:style w:type="character" w:customStyle="1" w:styleId="824">
    <w:name w:val="标题 2 字符"/>
    <w:basedOn w:val="58"/>
    <w:link w:val="4"/>
    <w:qFormat/>
    <w:uiPriority w:val="0"/>
    <w:rPr>
      <w:rFonts w:hint="default" w:ascii="Cambria" w:hAnsi="Cambria" w:eastAsia="Cambria" w:cs="Cambria"/>
      <w:kern w:val="2"/>
      <w:sz w:val="28"/>
      <w:szCs w:val="32"/>
    </w:rPr>
  </w:style>
  <w:style w:type="character" w:customStyle="1" w:styleId="825">
    <w:name w:val="副标题 字符"/>
    <w:basedOn w:val="58"/>
    <w:link w:val="41"/>
    <w:qFormat/>
    <w:uiPriority w:val="0"/>
    <w:rPr>
      <w:rFonts w:hint="default" w:ascii="Cambria" w:hAnsi="Cambria" w:eastAsia="Cambria" w:cs="Cambria"/>
      <w:b/>
      <w:bCs/>
      <w:kern w:val="28"/>
      <w:sz w:val="32"/>
      <w:szCs w:val="32"/>
    </w:rPr>
  </w:style>
  <w:style w:type="character" w:customStyle="1" w:styleId="826">
    <w:name w:val="标题 5 字符"/>
    <w:basedOn w:val="58"/>
    <w:link w:val="7"/>
    <w:qFormat/>
    <w:uiPriority w:val="0"/>
    <w:rPr>
      <w:rFonts w:hint="eastAsia" w:ascii="宋体" w:hAnsi="宋体" w:eastAsia="宋体" w:cs="宋体"/>
      <w:b/>
      <w:bCs/>
      <w:kern w:val="2"/>
      <w:sz w:val="21"/>
      <w:szCs w:val="28"/>
    </w:rPr>
  </w:style>
  <w:style w:type="character" w:customStyle="1" w:styleId="827">
    <w:name w:val="页眉 字符"/>
    <w:basedOn w:val="58"/>
    <w:link w:val="38"/>
    <w:qFormat/>
    <w:uiPriority w:val="0"/>
    <w:rPr>
      <w:rFonts w:hint="default" w:ascii="Calibri" w:hAnsi="Calibri" w:cs="Calibri"/>
      <w:sz w:val="18"/>
      <w:szCs w:val="18"/>
    </w:rPr>
  </w:style>
  <w:style w:type="character" w:customStyle="1" w:styleId="828">
    <w:name w:val="结束语 字符"/>
    <w:basedOn w:val="58"/>
    <w:link w:val="23"/>
    <w:qFormat/>
    <w:uiPriority w:val="0"/>
    <w:rPr>
      <w:kern w:val="2"/>
      <w:sz w:val="21"/>
      <w:szCs w:val="24"/>
    </w:rPr>
  </w:style>
  <w:style w:type="character" w:customStyle="1" w:styleId="829">
    <w:name w:val="题注 字符"/>
    <w:basedOn w:val="58"/>
    <w:link w:val="16"/>
    <w:qFormat/>
    <w:uiPriority w:val="0"/>
    <w:rPr>
      <w:rFonts w:hint="default" w:ascii="Arial" w:hAnsi="Arial" w:eastAsia="黑体" w:cs="Arial"/>
      <w:kern w:val="2"/>
      <w:sz w:val="21"/>
    </w:rPr>
  </w:style>
  <w:style w:type="character" w:customStyle="1" w:styleId="830">
    <w:name w:val="列出段落 字符1"/>
    <w:basedOn w:val="58"/>
    <w:qFormat/>
    <w:uiPriority w:val="0"/>
    <w:rPr>
      <w:rFonts w:hint="eastAsia" w:ascii="宋体" w:hAnsi="宋体" w:eastAsia="宋体" w:cs="宋体"/>
      <w:kern w:val="2"/>
      <w:sz w:val="21"/>
      <w:szCs w:val="21"/>
    </w:rPr>
  </w:style>
  <w:style w:type="character" w:customStyle="1" w:styleId="831">
    <w:name w:val="正文文本缩进 3 字符"/>
    <w:basedOn w:val="58"/>
    <w:link w:val="45"/>
    <w:qFormat/>
    <w:uiPriority w:val="0"/>
    <w:rPr>
      <w:sz w:val="16"/>
      <w:szCs w:val="16"/>
    </w:rPr>
  </w:style>
  <w:style w:type="character" w:customStyle="1" w:styleId="832">
    <w:name w:val="标题 8 字符"/>
    <w:basedOn w:val="58"/>
    <w:link w:val="10"/>
    <w:qFormat/>
    <w:uiPriority w:val="0"/>
    <w:rPr>
      <w:rFonts w:hint="default" w:ascii="Arial" w:hAnsi="Arial" w:eastAsia="黑体" w:cs="Arial"/>
      <w:kern w:val="2"/>
      <w:sz w:val="24"/>
      <w:szCs w:val="24"/>
      <w:lang w:val="zh-CN"/>
    </w:rPr>
  </w:style>
  <w:style w:type="character" w:customStyle="1" w:styleId="833">
    <w:name w:val="正文首行缩进 2 字符"/>
    <w:link w:val="55"/>
    <w:qFormat/>
    <w:uiPriority w:val="0"/>
    <w:rPr>
      <w:rFonts w:hint="eastAsia" w:ascii="宋体" w:hAnsi="宋体" w:eastAsia="宋体" w:cs="宋体"/>
      <w:kern w:val="2"/>
      <w:sz w:val="21"/>
      <w:szCs w:val="21"/>
    </w:rPr>
  </w:style>
  <w:style w:type="character" w:customStyle="1" w:styleId="834">
    <w:name w:val="标题 4 字符"/>
    <w:basedOn w:val="58"/>
    <w:link w:val="6"/>
    <w:qFormat/>
    <w:uiPriority w:val="0"/>
    <w:rPr>
      <w:rFonts w:hint="default" w:ascii="Arial" w:hAnsi="Arial" w:cs="Arial"/>
      <w:b/>
      <w:bCs/>
      <w:kern w:val="2"/>
      <w:sz w:val="21"/>
      <w:szCs w:val="28"/>
    </w:rPr>
  </w:style>
  <w:style w:type="character" w:customStyle="1" w:styleId="835">
    <w:name w:val="标题 7 字符"/>
    <w:basedOn w:val="58"/>
    <w:link w:val="9"/>
    <w:qFormat/>
    <w:uiPriority w:val="0"/>
    <w:rPr>
      <w:rFonts w:hint="default" w:ascii="Calibri" w:hAnsi="Calibri" w:eastAsia="黑体" w:cs="Calibri"/>
      <w:b/>
      <w:bCs/>
      <w:kern w:val="2"/>
      <w:sz w:val="21"/>
      <w:szCs w:val="21"/>
      <w:lang w:val="zh-CN"/>
    </w:rPr>
  </w:style>
  <w:style w:type="character" w:customStyle="1" w:styleId="836">
    <w:name w:val="正文文本 3 字符"/>
    <w:basedOn w:val="58"/>
    <w:link w:val="22"/>
    <w:qFormat/>
    <w:uiPriority w:val="0"/>
    <w:rPr>
      <w:sz w:val="16"/>
      <w:szCs w:val="16"/>
    </w:rPr>
  </w:style>
  <w:style w:type="character" w:customStyle="1" w:styleId="837">
    <w:name w:val="正文首行缩进 字符"/>
    <w:basedOn w:val="815"/>
    <w:link w:val="54"/>
    <w:qFormat/>
    <w:uiPriority w:val="0"/>
    <w:rPr>
      <w:rFonts w:hint="eastAsia" w:ascii="宋体" w:hAnsi="宋体" w:eastAsia="宋体" w:cs="宋体"/>
      <w:kern w:val="2"/>
      <w:sz w:val="24"/>
      <w:szCs w:val="21"/>
    </w:rPr>
  </w:style>
  <w:style w:type="character" w:customStyle="1" w:styleId="838">
    <w:name w:val="脚注文本 字符"/>
    <w:basedOn w:val="58"/>
    <w:link w:val="43"/>
    <w:qFormat/>
    <w:uiPriority w:val="0"/>
    <w:rPr>
      <w:kern w:val="2"/>
      <w:sz w:val="18"/>
      <w:szCs w:val="18"/>
    </w:rPr>
  </w:style>
  <w:style w:type="paragraph" w:customStyle="1" w:styleId="839">
    <w:name w:val="List Paragraph1"/>
    <w:basedOn w:val="1"/>
    <w:qFormat/>
    <w:uiPriority w:val="0"/>
    <w:pPr>
      <w:ind w:firstLine="420" w:firstLineChars="200"/>
    </w:pPr>
    <w:rPr>
      <w:rFonts w:ascii="Calibri" w:hAnsi="Calibri"/>
      <w:szCs w:val="22"/>
    </w:rPr>
  </w:style>
  <w:style w:type="paragraph" w:customStyle="1" w:styleId="840">
    <w:name w:val="Body text|1"/>
    <w:basedOn w:val="1"/>
    <w:qFormat/>
    <w:uiPriority w:val="0"/>
    <w:pPr>
      <w:spacing w:line="425" w:lineRule="auto"/>
      <w:ind w:firstLine="400"/>
    </w:pPr>
    <w:rPr>
      <w:rFonts w:eastAsia="仿宋" w:cs="宋体"/>
      <w:sz w:val="20"/>
      <w:lang w:val="zh-TW" w:eastAsia="zh-TW" w:bidi="zh-TW"/>
    </w:rPr>
  </w:style>
  <w:style w:type="paragraph" w:customStyle="1" w:styleId="841">
    <w:name w:val="Body text|2"/>
    <w:basedOn w:val="1"/>
    <w:qFormat/>
    <w:uiPriority w:val="0"/>
    <w:pPr>
      <w:spacing w:line="360" w:lineRule="auto"/>
      <w:ind w:firstLine="400"/>
    </w:pPr>
    <w:rPr>
      <w:sz w:val="24"/>
    </w:rPr>
  </w:style>
  <w:style w:type="paragraph" w:customStyle="1" w:styleId="842">
    <w:name w:val="列表段落2"/>
    <w:basedOn w:val="1"/>
    <w:qFormat/>
    <w:uiPriority w:val="99"/>
    <w:pPr>
      <w:spacing w:line="360" w:lineRule="auto"/>
      <w:ind w:firstLine="420" w:firstLineChars="200"/>
    </w:pPr>
  </w:style>
  <w:style w:type="character" w:customStyle="1" w:styleId="843">
    <w:name w:val="cf01"/>
    <w:qFormat/>
    <w:uiPriority w:val="0"/>
    <w:rPr>
      <w:rFonts w:hint="eastAsia" w:ascii="Microsoft YaHei UI" w:hAnsi="Microsoft YaHei UI" w:eastAsia="Microsoft YaHei UI"/>
      <w:sz w:val="18"/>
      <w:szCs w:val="18"/>
    </w:rPr>
  </w:style>
  <w:style w:type="paragraph" w:customStyle="1" w:styleId="844">
    <w:name w:val="修订4"/>
    <w:hidden/>
    <w:unhideWhenUsed/>
    <w:qFormat/>
    <w:uiPriority w:val="99"/>
    <w:rPr>
      <w:rFonts w:ascii="宋体" w:hAnsi="宋体" w:eastAsia="宋体" w:cs="Times New Roman"/>
      <w:kern w:val="2"/>
      <w:sz w:val="21"/>
      <w:szCs w:val="21"/>
      <w:lang w:val="en-US" w:eastAsia="zh-CN" w:bidi="ar-SA"/>
    </w:rPr>
  </w:style>
  <w:style w:type="paragraph" w:customStyle="1" w:styleId="845">
    <w:name w:val="图注"/>
    <w:basedOn w:val="1"/>
    <w:qFormat/>
    <w:uiPriority w:val="0"/>
    <w:pPr>
      <w:spacing w:before="840" w:after="840"/>
      <w:jc w:val="center"/>
    </w:pPr>
    <w:rPr>
      <w:rFonts w:hint="eastAsia" w:ascii="黑体" w:hAnsi="黑体" w:eastAsia="黑体" w:cs="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9" Type="http://schemas.openxmlformats.org/officeDocument/2006/relationships/fontTable" Target="fontTable.xml"/><Relationship Id="rId58" Type="http://schemas.openxmlformats.org/officeDocument/2006/relationships/customXml" Target="../customXml/item2.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41.pn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png"/><Relationship Id="rId50" Type="http://schemas.openxmlformats.org/officeDocument/2006/relationships/image" Target="media/image36.png"/><Relationship Id="rId5" Type="http://schemas.openxmlformats.org/officeDocument/2006/relationships/footer" Target="footer2.xml"/><Relationship Id="rId49" Type="http://schemas.openxmlformats.org/officeDocument/2006/relationships/image" Target="media/image35.png"/><Relationship Id="rId48" Type="http://schemas.openxmlformats.org/officeDocument/2006/relationships/image" Target="media/image34.png"/><Relationship Id="rId47" Type="http://schemas.openxmlformats.org/officeDocument/2006/relationships/image" Target="media/image33.png"/><Relationship Id="rId46" Type="http://schemas.openxmlformats.org/officeDocument/2006/relationships/image" Target="media/image32.jpe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footer" Target="footer1.xml"/><Relationship Id="rId39" Type="http://schemas.openxmlformats.org/officeDocument/2006/relationships/image" Target="media/image25.wmf"/><Relationship Id="rId38" Type="http://schemas.openxmlformats.org/officeDocument/2006/relationships/oleObject" Target="embeddings/oleObject2.bin"/><Relationship Id="rId37" Type="http://schemas.openxmlformats.org/officeDocument/2006/relationships/image" Target="media/image24.wmf"/><Relationship Id="rId36" Type="http://schemas.openxmlformats.org/officeDocument/2006/relationships/oleObject" Target="embeddings/oleObject1.bin"/><Relationship Id="rId35" Type="http://schemas.openxmlformats.org/officeDocument/2006/relationships/image" Target="media/image23.emf"/><Relationship Id="rId34" Type="http://schemas.openxmlformats.org/officeDocument/2006/relationships/oleObject" Target="embeddings/Microsoft_Visio_2003-2010___3.vsd"/><Relationship Id="rId33" Type="http://schemas.openxmlformats.org/officeDocument/2006/relationships/image" Target="media/image22.emf"/><Relationship Id="rId32" Type="http://schemas.openxmlformats.org/officeDocument/2006/relationships/oleObject" Target="embeddings/Microsoft_Visio_2003-2010___2.vsd"/><Relationship Id="rId31" Type="http://schemas.openxmlformats.org/officeDocument/2006/relationships/image" Target="media/image21.wmf"/><Relationship Id="rId30" Type="http://schemas.openxmlformats.org/officeDocument/2006/relationships/image" Target="media/image20.wmf"/><Relationship Id="rId3" Type="http://schemas.openxmlformats.org/officeDocument/2006/relationships/header" Target="header1.xml"/><Relationship Id="rId29" Type="http://schemas.openxmlformats.org/officeDocument/2006/relationships/image" Target="media/image19.emf"/><Relationship Id="rId28" Type="http://schemas.openxmlformats.org/officeDocument/2006/relationships/image" Target="media/image18.emf"/><Relationship Id="rId27" Type="http://schemas.openxmlformats.org/officeDocument/2006/relationships/package" Target="embeddings/Microsoft_Visio___1.vsdx"/><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E46C11-A44D-4AF8-9CC2-0957C3285E6C}">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162</Pages>
  <Words>21860</Words>
  <Characters>24857</Characters>
  <Lines>843</Lines>
  <Paragraphs>237</Paragraphs>
  <TotalTime>1</TotalTime>
  <ScaleCrop>false</ScaleCrop>
  <LinksUpToDate>false</LinksUpToDate>
  <CharactersWithSpaces>25391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2024-06-23T07:56:00Z</dcterms:created>
  <dc:creator>张鑫</dc:creator>
  <cp:lastModifiedBy>龚卿</cp:lastModifiedBy>
  <dcterms:modified xsi:type="dcterms:W3CDTF">2026-09-22T09:04:15Z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02610D0B204F4CDCA780571B26ED58D9_13</vt:lpwstr>
  </property>
  <property fmtid="{D5CDD505-2E9C-101B-9397-08002B2CF9AE}" pid="4" name="KSOTemplateDocerSaveRecord">
    <vt:lpwstr>eyJoZGlkIjoiMDY1NTI1YjMwNzc4Y2ViNWZlOGIwMDZiM2M3M2U5N2QiLCJ1c2VySWQiOiIxMDM2NjAyNjgxIn0=</vt:lpwstr>
  </property>
  <property fmtid="{D5CDD505-2E9C-101B-9397-08002B2CF9AE}" pid="5" name="woTemplateTypoMode" linkTarget="0">
    <vt:lpwstr/>
  </property>
  <property fmtid="{D5CDD505-2E9C-101B-9397-08002B2CF9AE}" pid="6" name="woTemplate" linkTarget="0">
    <vt:i4>0</vt:i4>
  </property>
</Properties>
</file>