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lang w:val="zh-CN" w:eastAsia="zh-CN"/>
        </w:rPr>
      </w:pPr>
      <w:bookmarkStart w:id="0" w:name="page1"/>
      <w:bookmarkEnd w:id="0"/>
      <w:r>
        <w:drawing>
          <wp:anchor distT="0" distB="0" distL="114300" distR="114300" simplePos="0" relativeHeight="251659264" behindDoc="1" locked="0" layoutInCell="0" allowOverlap="1">
            <wp:simplePos x="0" y="0"/>
            <wp:positionH relativeFrom="page">
              <wp:posOffset>6350</wp:posOffset>
            </wp:positionH>
            <wp:positionV relativeFrom="page">
              <wp:posOffset>3810</wp:posOffset>
            </wp:positionV>
            <wp:extent cx="7592695" cy="6531610"/>
            <wp:effectExtent l="0" t="0" r="825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92695" cy="6531610"/>
                    </a:xfrm>
                    <a:prstGeom prst="rect">
                      <a:avLst/>
                    </a:prstGeom>
                    <a:noFill/>
                  </pic:spPr>
                </pic:pic>
              </a:graphicData>
            </a:graphic>
          </wp:anchor>
        </w:drawing>
      </w: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bookmarkStart w:id="1" w:name="_Toc27694"/>
      <w:bookmarkStart w:id="2" w:name="_Toc28362"/>
      <w:bookmarkStart w:id="3" w:name="_Toc21087"/>
      <w:bookmarkStart w:id="4" w:name="_Toc27977"/>
      <w:bookmarkStart w:id="5" w:name="_Toc10578"/>
      <w:bookmarkStart w:id="6" w:name="_Toc19521"/>
      <w:bookmarkStart w:id="7" w:name="_Toc9797"/>
      <w:bookmarkStart w:id="8" w:name="_Toc6246"/>
      <w:bookmarkStart w:id="9" w:name="_Toc16117"/>
      <w:bookmarkStart w:id="10" w:name="_Toc4909"/>
      <w:bookmarkStart w:id="11" w:name="_Toc14883"/>
      <w:bookmarkStart w:id="12" w:name="_Toc30271"/>
      <w:bookmarkStart w:id="13" w:name="_Toc25070"/>
      <w:bookmarkStart w:id="14" w:name="_Toc8222"/>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outlineLvl w:val="0"/>
        <w:rPr>
          <w:rFonts w:hint="default" w:ascii="黑体" w:hAnsi="黑体" w:eastAsia="黑体" w:cs="黑体"/>
          <w:b/>
          <w:bCs/>
          <w:color w:val="auto"/>
          <w:kern w:val="0"/>
          <w:sz w:val="44"/>
          <w:szCs w:val="44"/>
          <w:highlight w:val="none"/>
          <w:lang w:val="en-US" w:eastAsia="zh-CN" w:bidi="ar-SA"/>
        </w:rPr>
      </w:pPr>
      <w:r>
        <w:rPr>
          <w:rFonts w:hint="eastAsia" w:ascii="黑体" w:hAnsi="黑体" w:eastAsia="黑体" w:cs="黑体"/>
          <w:b/>
          <w:bCs/>
          <w:color w:val="auto"/>
          <w:kern w:val="0"/>
          <w:sz w:val="44"/>
          <w:szCs w:val="44"/>
          <w:highlight w:val="none"/>
          <w:lang w:val="en-US" w:eastAsia="zh-CN" w:bidi="ar-SA"/>
        </w:rPr>
        <w:t>云南电网有限责任公司文山广南供电局2027年私人油站加油服务采购项目技术规范书</w:t>
      </w: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outlineLvl w:val="0"/>
        <w:rPr>
          <w:rFonts w:hint="eastAsia" w:ascii="黑体" w:hAnsi="黑体" w:eastAsia="黑体" w:cs="黑体"/>
          <w:b/>
          <w:bCs/>
          <w:color w:val="auto"/>
          <w:kern w:val="0"/>
          <w:sz w:val="44"/>
          <w:szCs w:val="44"/>
          <w:highlight w:val="none"/>
          <w:lang w:val="en-US" w:eastAsia="zh-CN" w:bidi="ar-SA"/>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b/>
          <w:bCs/>
          <w:color w:val="auto"/>
          <w:kern w:val="0"/>
          <w:sz w:val="44"/>
          <w:szCs w:val="44"/>
          <w:highlight w:val="none"/>
          <w:lang w:val="en-US" w:eastAsia="zh-CN" w:bidi="ar-SA"/>
        </w:rPr>
      </w:pPr>
    </w:p>
    <w:p>
      <w:pPr>
        <w:widowControl/>
        <w:spacing w:line="240" w:lineRule="auto"/>
        <w:ind w:firstLine="0" w:firstLineChars="0"/>
        <w:jc w:val="center"/>
        <w:rPr>
          <w:rFonts w:hint="default" w:ascii="黑体" w:hAnsi="黑体" w:eastAsia="黑体" w:cs="黑体"/>
          <w:kern w:val="0"/>
          <w:sz w:val="28"/>
          <w:szCs w:val="28"/>
          <w:lang w:val="en-US" w:eastAsia="zh-CN"/>
        </w:rPr>
      </w:pPr>
      <w:r>
        <w:rPr>
          <w:rFonts w:hint="eastAsia" w:ascii="黑体" w:hAnsi="黑体" w:eastAsia="黑体" w:cs="黑体"/>
          <w:kern w:val="0"/>
          <w:sz w:val="28"/>
          <w:szCs w:val="28"/>
          <w:lang w:val="en-US" w:eastAsia="zh-CN"/>
        </w:rPr>
        <w:t>云南电网有限责任公司文山广南供电局</w:t>
      </w:r>
    </w:p>
    <w:p>
      <w:pPr>
        <w:widowControl/>
        <w:spacing w:line="240" w:lineRule="auto"/>
        <w:ind w:firstLine="0" w:firstLineChars="0"/>
        <w:jc w:val="center"/>
        <w:rPr>
          <w:rFonts w:hint="eastAsia" w:ascii="黑体" w:hAnsi="黑体" w:eastAsia="黑体" w:cs="黑体"/>
          <w:b/>
          <w:bCs/>
          <w:color w:val="auto"/>
          <w:kern w:val="0"/>
          <w:sz w:val="44"/>
          <w:szCs w:val="44"/>
          <w:highlight w:val="none"/>
          <w:lang w:val="en-US" w:eastAsia="zh-CN" w:bidi="ar-SA"/>
        </w:rPr>
      </w:pPr>
      <w:r>
        <w:rPr>
          <w:rFonts w:hint="eastAsia" w:ascii="黑体" w:hAnsi="黑体" w:eastAsia="黑体" w:cs="黑体"/>
          <w:kern w:val="0"/>
          <w:sz w:val="28"/>
          <w:szCs w:val="28"/>
          <w:lang w:val="en-US" w:eastAsia="zh-CN"/>
        </w:rPr>
        <w:t>2026年10月</w:t>
      </w: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center"/>
        <w:textAlignment w:val="auto"/>
        <w:outlineLvl w:val="0"/>
        <w:rPr>
          <w:rFonts w:hint="eastAsia" w:ascii="黑体" w:hAnsi="黑体" w:eastAsia="黑体" w:cs="黑体"/>
          <w:color w:val="auto"/>
          <w:sz w:val="44"/>
          <w:szCs w:val="44"/>
          <w:highlight w:val="none"/>
        </w:rPr>
      </w:pPr>
      <w:r>
        <w:rPr>
          <w:rFonts w:hint="eastAsia" w:ascii="黑体" w:hAnsi="黑体" w:eastAsia="黑体" w:cs="黑体"/>
          <w:b/>
          <w:bCs/>
          <w:color w:val="auto"/>
          <w:kern w:val="0"/>
          <w:sz w:val="44"/>
          <w:szCs w:val="44"/>
          <w:highlight w:val="none"/>
          <w:lang w:val="en-US" w:eastAsia="zh-CN" w:bidi="ar-SA"/>
        </w:rPr>
        <w:t>技术规范书</w:t>
      </w:r>
      <w:bookmarkEnd w:id="1"/>
      <w:bookmarkEnd w:id="2"/>
      <w:bookmarkEnd w:id="3"/>
      <w:bookmarkEnd w:id="4"/>
      <w:bookmarkEnd w:id="5"/>
      <w:bookmarkEnd w:id="6"/>
      <w:bookmarkEnd w:id="7"/>
      <w:bookmarkEnd w:id="8"/>
      <w:bookmarkEnd w:id="9"/>
      <w:bookmarkEnd w:id="10"/>
      <w:bookmarkEnd w:id="11"/>
      <w:bookmarkEnd w:id="12"/>
      <w:bookmarkEnd w:id="13"/>
      <w:bookmarkEnd w:id="14"/>
    </w:p>
    <w:p>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outlineLvl w:val="0"/>
        <w:rPr>
          <w:rFonts w:hint="eastAsia"/>
          <w:sz w:val="32"/>
          <w:szCs w:val="32"/>
          <w:lang w:val="en-US" w:eastAsia="zh-CN"/>
        </w:rPr>
      </w:pPr>
      <w:bookmarkStart w:id="15" w:name="_Toc3681_WPSOffice_Level1"/>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黑体" w:hAnsi="黑体" w:eastAsia="黑体" w:cs="黑体"/>
          <w:b w:val="0"/>
          <w:bCs w:val="0"/>
          <w:color w:val="auto"/>
          <w:sz w:val="32"/>
          <w:szCs w:val="32"/>
          <w:highlight w:val="none"/>
          <w:lang w:val="en-US" w:eastAsia="zh-CN"/>
        </w:rPr>
      </w:pPr>
      <w:bookmarkStart w:id="16" w:name="_Toc24378"/>
      <w:r>
        <w:rPr>
          <w:rFonts w:hint="eastAsia" w:ascii="黑体" w:hAnsi="黑体" w:eastAsia="黑体" w:cs="黑体"/>
          <w:b w:val="0"/>
          <w:bCs w:val="0"/>
          <w:color w:val="auto"/>
          <w:sz w:val="32"/>
          <w:szCs w:val="32"/>
          <w:highlight w:val="none"/>
          <w:lang w:val="en-US" w:eastAsia="zh-CN"/>
        </w:rPr>
        <w:t>一、项目概况</w:t>
      </w:r>
      <w:bookmarkEnd w:id="16"/>
      <w:bookmarkStart w:id="17" w:name="_Toc1214"/>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黑体" w:hAnsi="黑体" w:eastAsia="黑体" w:cs="黑体"/>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为实现文山广南供电局</w:t>
      </w:r>
      <w:r>
        <w:rPr>
          <w:rFonts w:hint="eastAsia" w:ascii="仿宋" w:hAnsi="仿宋" w:cs="仿宋"/>
          <w:b w:val="0"/>
          <w:bCs w:val="0"/>
          <w:color w:val="auto"/>
          <w:sz w:val="32"/>
          <w:szCs w:val="32"/>
          <w:highlight w:val="none"/>
          <w:lang w:val="en-US" w:eastAsia="zh-CN"/>
        </w:rPr>
        <w:t>篆角</w:t>
      </w:r>
      <w:r>
        <w:rPr>
          <w:rFonts w:hint="eastAsia" w:ascii="仿宋" w:hAnsi="仿宋" w:eastAsia="仿宋" w:cs="仿宋"/>
          <w:b w:val="0"/>
          <w:bCs w:val="0"/>
          <w:color w:val="auto"/>
          <w:sz w:val="32"/>
          <w:szCs w:val="32"/>
          <w:highlight w:val="none"/>
          <w:lang w:val="en-US" w:eastAsia="zh-CN"/>
        </w:rPr>
        <w:t>供电所运维车辆就近加油，解决现有加油点往返耗时长问题，开展本次属地加油服务采购。</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二、采购内容</w:t>
      </w:r>
      <w:bookmarkEnd w:id="17"/>
    </w:p>
    <w:tbl>
      <w:tblPr>
        <w:tblStyle w:val="6"/>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3416"/>
        <w:gridCol w:w="2423"/>
        <w:gridCol w:w="1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bookmarkStart w:id="18" w:name="_Toc20167"/>
            <w:r>
              <w:rPr>
                <w:rFonts w:hint="eastAsia" w:ascii="仿宋" w:hAnsi="仿宋" w:eastAsia="仿宋" w:cs="仿宋"/>
                <w:b w:val="0"/>
                <w:bCs w:val="0"/>
                <w:color w:val="auto"/>
                <w:sz w:val="32"/>
                <w:szCs w:val="32"/>
                <w:highlight w:val="none"/>
                <w:vertAlign w:val="baseline"/>
                <w:lang w:val="en-US" w:eastAsia="zh-CN"/>
              </w:rPr>
              <w:t>序号</w:t>
            </w:r>
          </w:p>
        </w:tc>
        <w:tc>
          <w:tcPr>
            <w:tcW w:w="3416"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eastAsia="仿宋" w:cs="仿宋"/>
                <w:b w:val="0"/>
                <w:bCs w:val="0"/>
                <w:color w:val="auto"/>
                <w:sz w:val="32"/>
                <w:szCs w:val="32"/>
                <w:highlight w:val="none"/>
                <w:vertAlign w:val="baseline"/>
                <w:lang w:val="en-US" w:eastAsia="zh-CN"/>
              </w:rPr>
              <w:t>标的名称</w:t>
            </w:r>
          </w:p>
        </w:tc>
        <w:tc>
          <w:tcPr>
            <w:tcW w:w="2423"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eastAsia="仿宋" w:cs="仿宋"/>
                <w:b w:val="0"/>
                <w:bCs w:val="0"/>
                <w:color w:val="auto"/>
                <w:sz w:val="32"/>
                <w:szCs w:val="32"/>
                <w:highlight w:val="none"/>
                <w:vertAlign w:val="baseline"/>
                <w:lang w:val="en-US" w:eastAsia="zh-CN"/>
              </w:rPr>
              <w:t>采购明细</w:t>
            </w:r>
          </w:p>
        </w:tc>
        <w:tc>
          <w:tcPr>
            <w:tcW w:w="1728"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cs="仿宋"/>
                <w:b w:val="0"/>
                <w:bCs w:val="0"/>
                <w:color w:val="auto"/>
                <w:sz w:val="32"/>
                <w:szCs w:val="32"/>
                <w:highlight w:val="none"/>
                <w:vertAlign w:val="baseline"/>
                <w:lang w:val="en-US" w:eastAsia="zh-CN"/>
              </w:rPr>
              <w:t>预估金额</w:t>
            </w:r>
            <w:r>
              <w:rPr>
                <w:rFonts w:hint="eastAsia" w:ascii="仿宋" w:hAnsi="仿宋" w:eastAsia="仿宋" w:cs="仿宋"/>
                <w:b w:val="0"/>
                <w:bCs w:val="0"/>
                <w:color w:val="auto"/>
                <w:sz w:val="32"/>
                <w:szCs w:val="32"/>
                <w:highlight w:val="none"/>
                <w:vertAlign w:val="baseline"/>
                <w:lang w:val="en-US" w:eastAsia="zh-CN"/>
              </w:rPr>
              <w:t>（</w:t>
            </w:r>
            <w:r>
              <w:rPr>
                <w:rFonts w:hint="eastAsia" w:ascii="仿宋" w:hAnsi="仿宋" w:cs="仿宋"/>
                <w:b w:val="0"/>
                <w:bCs w:val="0"/>
                <w:color w:val="auto"/>
                <w:sz w:val="32"/>
                <w:szCs w:val="32"/>
                <w:highlight w:val="none"/>
                <w:vertAlign w:val="baseline"/>
                <w:lang w:val="en-US" w:eastAsia="zh-CN"/>
              </w:rPr>
              <w:t>元</w:t>
            </w:r>
            <w:r>
              <w:rPr>
                <w:rFonts w:hint="eastAsia" w:ascii="仿宋" w:hAnsi="仿宋" w:eastAsia="仿宋" w:cs="仿宋"/>
                <w:b w:val="0"/>
                <w:bCs w:val="0"/>
                <w:color w:val="auto"/>
                <w:sz w:val="32"/>
                <w:szCs w:val="32"/>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eastAsia="仿宋" w:cs="仿宋"/>
                <w:b w:val="0"/>
                <w:bCs w:val="0"/>
                <w:color w:val="auto"/>
                <w:sz w:val="32"/>
                <w:szCs w:val="32"/>
                <w:highlight w:val="none"/>
                <w:vertAlign w:val="baseline"/>
                <w:lang w:val="en-US" w:eastAsia="zh-CN"/>
              </w:rPr>
              <w:t>1</w:t>
            </w:r>
          </w:p>
        </w:tc>
        <w:tc>
          <w:tcPr>
            <w:tcW w:w="3416"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eastAsia="仿宋" w:cs="仿宋"/>
                <w:b w:val="0"/>
                <w:bCs w:val="0"/>
                <w:color w:val="auto"/>
                <w:sz w:val="32"/>
                <w:szCs w:val="32"/>
                <w:highlight w:val="none"/>
                <w:vertAlign w:val="baseline"/>
                <w:lang w:val="en-US" w:eastAsia="zh-CN"/>
              </w:rPr>
              <w:t>文山广南供电局</w:t>
            </w:r>
            <w:r>
              <w:rPr>
                <w:rFonts w:hint="eastAsia" w:ascii="仿宋" w:hAnsi="仿宋" w:cs="仿宋"/>
                <w:b w:val="0"/>
                <w:bCs w:val="0"/>
                <w:color w:val="auto"/>
                <w:sz w:val="32"/>
                <w:szCs w:val="32"/>
                <w:highlight w:val="none"/>
                <w:vertAlign w:val="baseline"/>
                <w:lang w:val="en-US" w:eastAsia="zh-CN"/>
              </w:rPr>
              <w:t>篆角</w:t>
            </w:r>
            <w:r>
              <w:rPr>
                <w:rFonts w:hint="eastAsia" w:ascii="仿宋" w:hAnsi="仿宋" w:eastAsia="仿宋" w:cs="仿宋"/>
                <w:b w:val="0"/>
                <w:bCs w:val="0"/>
                <w:color w:val="auto"/>
                <w:sz w:val="32"/>
                <w:szCs w:val="32"/>
                <w:highlight w:val="none"/>
                <w:vertAlign w:val="baseline"/>
                <w:lang w:val="en-US" w:eastAsia="zh-CN"/>
              </w:rPr>
              <w:t>供电所2027年私人油站加油服务采购项目</w:t>
            </w:r>
          </w:p>
        </w:tc>
        <w:tc>
          <w:tcPr>
            <w:tcW w:w="2423"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eastAsia="仿宋" w:cs="仿宋"/>
                <w:b w:val="0"/>
                <w:bCs w:val="0"/>
                <w:color w:val="auto"/>
                <w:sz w:val="32"/>
                <w:szCs w:val="32"/>
                <w:highlight w:val="none"/>
                <w:vertAlign w:val="baseline"/>
                <w:lang w:val="en-US" w:eastAsia="zh-CN"/>
              </w:rPr>
              <w:t>1、0#柴油采购</w:t>
            </w:r>
          </w:p>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仿宋" w:hAnsi="仿宋" w:eastAsia="仿宋" w:cs="仿宋"/>
                <w:b w:val="0"/>
                <w:bCs w:val="0"/>
                <w:color w:val="auto"/>
                <w:sz w:val="32"/>
                <w:szCs w:val="32"/>
                <w:highlight w:val="none"/>
                <w:vertAlign w:val="baseline"/>
                <w:lang w:val="en-US" w:eastAsia="zh-CN"/>
              </w:rPr>
            </w:pPr>
            <w:r>
              <w:rPr>
                <w:rFonts w:hint="eastAsia" w:ascii="仿宋" w:hAnsi="仿宋" w:eastAsia="仿宋" w:cs="仿宋"/>
                <w:b w:val="0"/>
                <w:bCs w:val="0"/>
                <w:color w:val="auto"/>
                <w:sz w:val="32"/>
                <w:szCs w:val="32"/>
                <w:highlight w:val="none"/>
                <w:vertAlign w:val="baseline"/>
                <w:lang w:val="en-US" w:eastAsia="zh-CN"/>
              </w:rPr>
              <w:t>2、92#汽油采购</w:t>
            </w:r>
          </w:p>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default"/>
                <w:lang w:val="en-US" w:eastAsia="zh-CN"/>
              </w:rPr>
            </w:pPr>
            <w:r>
              <w:rPr>
                <w:rFonts w:hint="eastAsia" w:ascii="仿宋" w:hAnsi="仿宋" w:eastAsia="仿宋" w:cs="仿宋"/>
                <w:b w:val="0"/>
                <w:bCs w:val="0"/>
                <w:color w:val="auto"/>
                <w:sz w:val="32"/>
                <w:szCs w:val="32"/>
                <w:highlight w:val="none"/>
                <w:vertAlign w:val="baseline"/>
                <w:lang w:val="en-US" w:eastAsia="zh-CN"/>
              </w:rPr>
              <w:t>2、95#汽油采购</w:t>
            </w:r>
          </w:p>
        </w:tc>
        <w:tc>
          <w:tcPr>
            <w:tcW w:w="1728" w:type="dxa"/>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default" w:ascii="仿宋" w:hAnsi="仿宋" w:eastAsia="仿宋" w:cs="仿宋"/>
                <w:b w:val="0"/>
                <w:bCs w:val="0"/>
                <w:color w:val="auto"/>
                <w:sz w:val="32"/>
                <w:szCs w:val="32"/>
                <w:highlight w:val="none"/>
                <w:vertAlign w:val="baseline"/>
                <w:lang w:val="en-US" w:eastAsia="zh-CN"/>
              </w:rPr>
            </w:pPr>
            <w:r>
              <w:rPr>
                <w:rFonts w:hint="eastAsia" w:ascii="仿宋" w:hAnsi="仿宋" w:cs="仿宋"/>
                <w:b w:val="0"/>
                <w:bCs w:val="0"/>
                <w:color w:val="auto"/>
                <w:sz w:val="32"/>
                <w:szCs w:val="32"/>
                <w:highlight w:val="none"/>
                <w:vertAlign w:val="baseline"/>
                <w:lang w:val="en-US" w:eastAsia="zh-CN"/>
              </w:rPr>
              <w:t>20000.00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default" w:ascii="仿宋" w:hAnsi="仿宋" w:eastAsia="仿宋" w:cs="仿宋"/>
          <w:b w:val="0"/>
          <w:bCs w:val="0"/>
          <w:i w:val="0"/>
          <w:iCs w:val="0"/>
          <w:color w:val="auto"/>
          <w:sz w:val="32"/>
          <w:szCs w:val="32"/>
          <w:u w:val="none"/>
          <w:lang w:val="en-US" w:eastAsia="zh-CN"/>
        </w:rPr>
      </w:pPr>
      <w:r>
        <w:rPr>
          <w:rFonts w:hint="eastAsia" w:ascii="仿宋" w:hAnsi="仿宋" w:eastAsia="仿宋" w:cs="仿宋"/>
          <w:b w:val="0"/>
          <w:bCs w:val="0"/>
          <w:i w:val="0"/>
          <w:iCs w:val="0"/>
          <w:color w:val="auto"/>
          <w:sz w:val="32"/>
          <w:szCs w:val="32"/>
          <w:u w:val="none"/>
          <w:lang w:val="en-US" w:eastAsia="zh-CN"/>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b w:val="0"/>
          <w:bCs w:val="0"/>
          <w:i w:val="0"/>
          <w:iCs w:val="0"/>
          <w:color w:val="auto"/>
          <w:sz w:val="32"/>
          <w:szCs w:val="32"/>
          <w:u w:val="none"/>
          <w:lang w:val="en-US" w:eastAsia="zh-CN"/>
        </w:rPr>
      </w:pPr>
      <w:r>
        <w:rPr>
          <w:rFonts w:hint="eastAsia" w:ascii="仿宋" w:hAnsi="仿宋" w:eastAsia="仿宋" w:cs="仿宋"/>
          <w:b w:val="0"/>
          <w:bCs w:val="0"/>
          <w:i w:val="0"/>
          <w:iCs w:val="0"/>
          <w:color w:val="auto"/>
          <w:sz w:val="32"/>
          <w:szCs w:val="32"/>
          <w:u w:val="none"/>
          <w:lang w:val="en-US" w:eastAsia="zh-CN"/>
        </w:rPr>
        <w:t>1.按加油站当天柴油、汽油每升挂牌价进行下浮报价。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b w:val="0"/>
          <w:bCs/>
          <w:color w:val="auto"/>
          <w:sz w:val="32"/>
          <w:szCs w:val="32"/>
          <w:highlight w:val="none"/>
          <w:lang w:val="en-US" w:eastAsia="zh-CN"/>
        </w:rPr>
      </w:pPr>
      <w:r>
        <w:rPr>
          <w:rFonts w:hint="eastAsia" w:ascii="仿宋" w:hAnsi="仿宋" w:eastAsia="仿宋" w:cs="仿宋"/>
          <w:b w:val="0"/>
          <w:bCs/>
          <w:color w:val="auto"/>
          <w:sz w:val="32"/>
          <w:szCs w:val="32"/>
          <w:highlight w:val="none"/>
          <w:lang w:val="en-US" w:eastAsia="zh-CN"/>
        </w:rPr>
        <w:t>2.实际采购金额上限不高于预估金额的100%（不能超</w:t>
      </w:r>
      <w:r>
        <w:rPr>
          <w:rFonts w:hint="eastAsia" w:ascii="仿宋" w:hAnsi="仿宋" w:cs="仿宋"/>
          <w:b w:val="0"/>
          <w:bCs/>
          <w:color w:val="auto"/>
          <w:sz w:val="32"/>
          <w:szCs w:val="32"/>
          <w:highlight w:val="none"/>
          <w:lang w:val="en-US" w:eastAsia="zh-CN"/>
        </w:rPr>
        <w:t>2.00</w:t>
      </w:r>
      <w:bookmarkStart w:id="22" w:name="_GoBack"/>
      <w:bookmarkEnd w:id="22"/>
      <w:r>
        <w:rPr>
          <w:rFonts w:hint="eastAsia" w:ascii="仿宋" w:hAnsi="仿宋" w:eastAsia="仿宋" w:cs="仿宋"/>
          <w:b w:val="0"/>
          <w:bCs/>
          <w:color w:val="auto"/>
          <w:sz w:val="32"/>
          <w:szCs w:val="32"/>
          <w:highlight w:val="none"/>
          <w:lang w:val="en-US" w:eastAsia="zh-CN"/>
        </w:rPr>
        <w:t>万元）。在服务期限内，实际采购金额达到预估金额时立即终止合同；</w:t>
      </w:r>
      <w:r>
        <w:rPr>
          <w:rFonts w:hint="eastAsia" w:ascii="仿宋" w:hAnsi="仿宋" w:eastAsia="仿宋" w:cs="仿宋"/>
          <w:color w:val="auto"/>
          <w:kern w:val="0"/>
          <w:sz w:val="32"/>
          <w:szCs w:val="32"/>
          <w:lang w:val="en-US" w:eastAsia="zh-CN"/>
        </w:rPr>
        <w:t>服务期限到期未达到预估采购金额，</w:t>
      </w:r>
      <w:r>
        <w:rPr>
          <w:rFonts w:hint="eastAsia" w:ascii="仿宋" w:hAnsi="仿宋" w:eastAsia="仿宋" w:cs="仿宋"/>
          <w:b w:val="0"/>
          <w:bCs/>
          <w:color w:val="auto"/>
          <w:sz w:val="32"/>
          <w:szCs w:val="32"/>
          <w:highlight w:val="none"/>
          <w:lang w:val="en-US" w:eastAsia="zh-CN"/>
        </w:rPr>
        <w:t>自动终止合同。当合同有效期内发生成交供应商被列入供应商黑名单，自被列入供应商黑名单之日起合同自动终止。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val="0"/>
          <w:color w:val="auto"/>
          <w:sz w:val="32"/>
          <w:szCs w:val="32"/>
          <w:highlight w:val="none"/>
          <w:lang w:val="en-US" w:eastAsia="zh-CN"/>
        </w:rPr>
      </w:pPr>
      <w:r>
        <w:rPr>
          <w:rFonts w:hint="eastAsia" w:ascii="仿宋" w:hAnsi="仿宋" w:eastAsia="仿宋" w:cs="仿宋"/>
          <w:b w:val="0"/>
          <w:bCs/>
          <w:color w:val="auto"/>
          <w:kern w:val="2"/>
          <w:sz w:val="32"/>
          <w:szCs w:val="32"/>
          <w:highlight w:val="none"/>
          <w:lang w:val="en-US" w:eastAsia="zh-CN" w:bidi="ar-SA"/>
        </w:rPr>
        <w:t>3.结算金额</w:t>
      </w:r>
      <w:r>
        <w:rPr>
          <w:rFonts w:hint="eastAsia" w:ascii="仿宋" w:hAnsi="仿宋" w:eastAsia="仿宋" w:cs="仿宋"/>
          <w:b w:val="0"/>
          <w:bCs w:val="0"/>
          <w:i w:val="0"/>
          <w:iCs w:val="0"/>
          <w:color w:val="auto"/>
          <w:sz w:val="32"/>
          <w:szCs w:val="32"/>
          <w:u w:val="none"/>
          <w:lang w:val="en-US" w:eastAsia="zh-CN"/>
        </w:rPr>
        <w:t>（元）</w:t>
      </w:r>
      <w:r>
        <w:rPr>
          <w:rFonts w:hint="eastAsia" w:ascii="仿宋" w:hAnsi="仿宋" w:eastAsia="仿宋" w:cs="仿宋"/>
          <w:b w:val="0"/>
          <w:bCs/>
          <w:color w:val="auto"/>
          <w:kern w:val="2"/>
          <w:sz w:val="32"/>
          <w:szCs w:val="32"/>
          <w:highlight w:val="none"/>
          <w:lang w:val="en-US" w:eastAsia="zh-CN" w:bidi="ar-SA"/>
        </w:rPr>
        <w:t>=实际采购数量（升）×</w:t>
      </w:r>
      <w:r>
        <w:rPr>
          <w:rFonts w:hint="eastAsia" w:ascii="仿宋" w:hAnsi="仿宋" w:eastAsia="仿宋" w:cs="仿宋"/>
          <w:b w:val="0"/>
          <w:bCs w:val="0"/>
          <w:i w:val="0"/>
          <w:iCs w:val="0"/>
          <w:color w:val="auto"/>
          <w:sz w:val="32"/>
          <w:szCs w:val="32"/>
          <w:u w:val="none"/>
          <w:lang w:val="en-US" w:eastAsia="zh-CN"/>
        </w:rPr>
        <w:t>每升挂牌价（元）</w:t>
      </w:r>
      <w:r>
        <w:rPr>
          <w:rFonts w:hint="eastAsia" w:ascii="仿宋" w:hAnsi="仿宋" w:eastAsia="仿宋" w:cs="仿宋"/>
          <w:b w:val="0"/>
          <w:bCs/>
          <w:color w:val="auto"/>
          <w:kern w:val="2"/>
          <w:sz w:val="32"/>
          <w:szCs w:val="32"/>
          <w:highlight w:val="none"/>
          <w:lang w:val="en-US" w:eastAsia="zh-CN" w:bidi="ar-SA"/>
        </w:rPr>
        <w:t>×（1-成交下浮率）</w:t>
      </w:r>
      <w:r>
        <w:rPr>
          <w:rFonts w:hint="eastAsia" w:ascii="仿宋" w:hAnsi="仿宋" w:cs="仿宋"/>
          <w:b w:val="0"/>
          <w:bCs/>
          <w:color w:val="auto"/>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三、成交标准及服务期限</w:t>
      </w:r>
      <w:bookmarkEnd w:id="18"/>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eastAsia="仿宋" w:cs="仿宋"/>
          <w:b w:val="0"/>
          <w:bCs w:val="0"/>
          <w:color w:val="auto"/>
          <w:sz w:val="32"/>
          <w:szCs w:val="32"/>
          <w:highlight w:val="none"/>
          <w:lang w:val="en-US" w:eastAsia="zh-CN"/>
        </w:rPr>
      </w:pPr>
      <w:bookmarkStart w:id="19" w:name="_Toc5666"/>
      <w:r>
        <w:rPr>
          <w:rFonts w:hint="eastAsia" w:ascii="仿宋" w:hAnsi="仿宋" w:cs="仿宋"/>
          <w:b w:val="0"/>
          <w:bCs w:val="0"/>
          <w:color w:val="auto"/>
          <w:sz w:val="32"/>
          <w:szCs w:val="32"/>
          <w:highlight w:val="none"/>
          <w:lang w:val="en-US" w:eastAsia="zh-CN"/>
        </w:rPr>
        <w:t>（一）</w:t>
      </w:r>
      <w:r>
        <w:rPr>
          <w:rFonts w:hint="eastAsia" w:ascii="仿宋" w:hAnsi="仿宋" w:eastAsia="仿宋" w:cs="仿宋"/>
          <w:b w:val="0"/>
          <w:bCs w:val="0"/>
          <w:color w:val="auto"/>
          <w:sz w:val="32"/>
          <w:szCs w:val="32"/>
          <w:highlight w:val="none"/>
          <w:lang w:val="en-US" w:eastAsia="zh-CN"/>
        </w:rPr>
        <w:t>成交标准：质量和服务满足采购方案（技术规范书）要求且报价最低者成交。</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（二）服务时间：</w:t>
      </w:r>
      <w:r>
        <w:rPr>
          <w:rFonts w:hint="eastAsia" w:ascii="仿宋" w:hAnsi="仿宋" w:cs="仿宋"/>
          <w:b w:val="0"/>
          <w:bCs w:val="0"/>
          <w:color w:val="auto"/>
          <w:sz w:val="32"/>
          <w:szCs w:val="32"/>
          <w:highlight w:val="none"/>
          <w:lang w:val="en-US" w:eastAsia="zh-CN"/>
        </w:rPr>
        <w:t>合同签订之日起</w:t>
      </w:r>
      <w:r>
        <w:rPr>
          <w:rFonts w:hint="eastAsia" w:ascii="仿宋" w:hAnsi="仿宋" w:eastAsia="仿宋" w:cs="仿宋"/>
          <w:b w:val="0"/>
          <w:bCs w:val="0"/>
          <w:color w:val="auto"/>
          <w:sz w:val="32"/>
          <w:szCs w:val="32"/>
          <w:highlight w:val="none"/>
          <w:lang w:val="en-US" w:eastAsia="zh-CN"/>
        </w:rPr>
        <w:t>至2027年12月31日。供应商在服务期内按需提供属地加油服务，保障供电所运维车辆燃油供给。</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四、供应商资质要求</w:t>
      </w:r>
      <w:bookmarkEnd w:id="19"/>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仿宋" w:hAnsi="仿宋" w:cs="仿宋"/>
          <w:b w:val="0"/>
          <w:bCs w:val="0"/>
          <w:color w:val="auto"/>
          <w:sz w:val="32"/>
          <w:szCs w:val="32"/>
          <w:highlight w:val="none"/>
          <w:lang w:val="en-US" w:eastAsia="zh-CN"/>
        </w:rPr>
      </w:pPr>
      <w:bookmarkStart w:id="20" w:name="_Toc4129"/>
      <w:r>
        <w:rPr>
          <w:rFonts w:hint="eastAsia" w:ascii="仿宋" w:hAnsi="仿宋" w:cs="仿宋"/>
          <w:b w:val="0"/>
          <w:bCs w:val="0"/>
          <w:color w:val="auto"/>
          <w:sz w:val="32"/>
          <w:szCs w:val="32"/>
          <w:highlight w:val="none"/>
          <w:lang w:val="en-US" w:eastAsia="zh-CN"/>
        </w:rPr>
        <w:t>不满足以下任意一项作否决投标处理。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（一）通用资格：</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(1)依法成立的法人或非法人组织，持有合法有效的企业法人营业执照（事业单位法人证书）、组织机构代码证或有工商行政管理部门核发统一社会信用代码的企业法人营业执照。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(2)近3年内在经营活动中没有重大违法、不良行为记录，供应商没有处于被责令停业、投标资格被取消或者财产被接管、冻结和破产等状态的书面声明。</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(3)单位负责人为同一人或者存在控股、管理关系的不同单位，不得参加同一标段投标或者未划分标段的同一招标项目投标。</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(4)在地方政府及中国南方电网有限责任公司或云南电网有限责任公司范围内没有处于限制投标资格的处罚。</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(5)未处在“信用中国”网站（www.creditchina.gov.cn）查询结果被列为失信被执行人的记录中，提供相关证明材料。</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(6)本项目不接受联合体竞标。</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（二）专用资格：</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具备有效的《危险化学品经营许可证》或《成品油零售/批发经营批准证书》</w:t>
      </w:r>
      <w:r>
        <w:rPr>
          <w:rFonts w:hint="eastAsia" w:ascii="仿宋" w:hAnsi="仿宋" w:eastAsia="仿宋" w:cs="仿宋"/>
          <w:b w:val="0"/>
          <w:bCs w:val="0"/>
          <w:color w:val="auto"/>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五、</w:t>
      </w:r>
      <w:bookmarkEnd w:id="20"/>
      <w:r>
        <w:rPr>
          <w:rFonts w:hint="eastAsia" w:ascii="黑体" w:hAnsi="黑体" w:eastAsia="黑体" w:cs="黑体"/>
          <w:b w:val="0"/>
          <w:bCs w:val="0"/>
          <w:color w:val="auto"/>
          <w:sz w:val="32"/>
          <w:szCs w:val="32"/>
          <w:highlight w:val="none"/>
          <w:lang w:val="en-US" w:eastAsia="zh-CN"/>
        </w:rPr>
        <w:t>质量和服务要求</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仿宋" w:hAnsi="仿宋" w:cs="仿宋"/>
          <w:b w:val="0"/>
          <w:bCs w:val="0"/>
          <w:color w:val="auto"/>
          <w:sz w:val="32"/>
          <w:szCs w:val="32"/>
          <w:highlight w:val="none"/>
          <w:lang w:val="en-US" w:eastAsia="zh-CN"/>
        </w:rPr>
      </w:pPr>
      <w:bookmarkStart w:id="21" w:name="_Toc12452"/>
      <w:r>
        <w:rPr>
          <w:rFonts w:hint="eastAsia" w:ascii="仿宋" w:hAnsi="仿宋" w:cs="仿宋"/>
          <w:b w:val="0"/>
          <w:bCs w:val="0"/>
          <w:color w:val="auto"/>
          <w:sz w:val="32"/>
          <w:szCs w:val="32"/>
          <w:highlight w:val="none"/>
          <w:lang w:val="en-US" w:eastAsia="zh-CN"/>
        </w:rPr>
        <w:t>不满足以下任意一项要求的作否决投标处理：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（一）供应商若存在扰乱投标秩序、不按规定签订合同等行为，将按照《中国南方电网有限责任公司供应商失信扣分管理细则》对供应商予以处罚。</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（二）供应商按报价文件模板逐项进行响应。</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（三）质量异议处理：如对油品质量存疑，双方共同取样送第三方检测，检测费用由责任方承担。</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（四）执行标准：所供燃油必须符合现行国家标准，汽油执行GB 17930《车用汽油》，柴油执行GB 19147《车用柴油》，均为国六B阶段标准。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（五）仓储条件：供应商油库须具备防雷、防静电、消防等安全设施，油罐定期清洗（每年不少于一次），确保油品不受污染。</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eastAsia" w:ascii="仿宋" w:hAnsi="仿宋" w:cs="仿宋"/>
          <w:b w:val="0"/>
          <w:bCs w:val="0"/>
          <w:color w:val="auto"/>
          <w:sz w:val="32"/>
          <w:szCs w:val="32"/>
          <w:highlight w:val="none"/>
          <w:lang w:val="en-US" w:eastAsia="zh-CN"/>
        </w:rPr>
      </w:pPr>
      <w:r>
        <w:rPr>
          <w:rFonts w:hint="eastAsia" w:ascii="仿宋" w:hAnsi="仿宋" w:cs="仿宋"/>
          <w:b w:val="0"/>
          <w:bCs w:val="0"/>
          <w:color w:val="auto"/>
          <w:sz w:val="32"/>
          <w:szCs w:val="32"/>
          <w:highlight w:val="none"/>
          <w:lang w:val="en-US" w:eastAsia="zh-CN"/>
        </w:rPr>
        <w:t>（六）计量方式：以加油机或地磅计量为准，允许误差±0.3%以内，超出部分由供应商承担。</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b w:val="0"/>
          <w:bCs w:val="0"/>
          <w:color w:val="auto"/>
          <w:sz w:val="32"/>
          <w:szCs w:val="32"/>
          <w:highlight w:val="none"/>
          <w:lang w:val="en-US" w:eastAsia="zh-CN"/>
        </w:rPr>
        <w:t>六、</w:t>
      </w:r>
      <w:bookmarkEnd w:id="15"/>
      <w:bookmarkEnd w:id="21"/>
      <w:r>
        <w:rPr>
          <w:rFonts w:hint="eastAsia" w:ascii="黑体" w:hAnsi="黑体" w:eastAsia="黑体" w:cs="黑体"/>
          <w:b w:val="0"/>
          <w:bCs w:val="0"/>
          <w:color w:val="auto"/>
          <w:sz w:val="32"/>
          <w:szCs w:val="32"/>
          <w:highlight w:val="none"/>
          <w:lang w:val="en-US" w:eastAsia="zh-CN"/>
        </w:rPr>
        <w:t>付款方式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cs="仿宋"/>
          <w:sz w:val="32"/>
          <w:szCs w:val="32"/>
          <w:lang w:val="en-US" w:eastAsia="zh-CN"/>
        </w:rPr>
      </w:pPr>
      <w:r>
        <w:rPr>
          <w:rFonts w:hint="eastAsia" w:ascii="仿宋" w:hAnsi="仿宋" w:cs="仿宋"/>
          <w:sz w:val="32"/>
          <w:szCs w:val="32"/>
          <w:lang w:val="en-US" w:eastAsia="zh-CN"/>
        </w:rPr>
        <w:t xml:space="preserve">按自然月发生数量据实结算。车辆先加油，月底统计当月加油数量及金额。次月15日前完成上月发生费用结算支付。（特殊情况时，双方沟通后办理费油结算，但最长时间不得超三个月结算）。要求对公转账结算。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cs="仿宋"/>
          <w:sz w:val="32"/>
          <w:szCs w:val="32"/>
          <w:lang w:val="en-US" w:eastAsia="zh-CN"/>
        </w:rPr>
        <w:t>供电所、加油站双方核对加油统计信息一致，由供电所办理油款支付</w:t>
      </w:r>
      <w:r>
        <w:rPr>
          <w:rFonts w:hint="eastAsia" w:ascii="仿宋" w:hAnsi="仿宋" w:eastAsia="仿宋" w:cs="仿宋"/>
          <w:sz w:val="32"/>
          <w:szCs w:val="32"/>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871188"/>
    <w:rsid w:val="01004732"/>
    <w:rsid w:val="04904FA7"/>
    <w:rsid w:val="04954DB0"/>
    <w:rsid w:val="0DDB11F3"/>
    <w:rsid w:val="0E3F056D"/>
    <w:rsid w:val="0FD42C09"/>
    <w:rsid w:val="10F83127"/>
    <w:rsid w:val="1DD83E82"/>
    <w:rsid w:val="1FAE597E"/>
    <w:rsid w:val="1FB673BE"/>
    <w:rsid w:val="23757D3B"/>
    <w:rsid w:val="263E6C2B"/>
    <w:rsid w:val="29C55868"/>
    <w:rsid w:val="322A1080"/>
    <w:rsid w:val="32F1102E"/>
    <w:rsid w:val="37677A9B"/>
    <w:rsid w:val="421538F8"/>
    <w:rsid w:val="441757AE"/>
    <w:rsid w:val="473D62C9"/>
    <w:rsid w:val="4AD64ECA"/>
    <w:rsid w:val="4DCB549E"/>
    <w:rsid w:val="4DCD139D"/>
    <w:rsid w:val="52917A6C"/>
    <w:rsid w:val="52931039"/>
    <w:rsid w:val="562E7748"/>
    <w:rsid w:val="569B7D3A"/>
    <w:rsid w:val="5B3C0DBD"/>
    <w:rsid w:val="5C6330A5"/>
    <w:rsid w:val="5EA61680"/>
    <w:rsid w:val="5EDA47F1"/>
    <w:rsid w:val="60410ACC"/>
    <w:rsid w:val="60FC1372"/>
    <w:rsid w:val="67AE0590"/>
    <w:rsid w:val="6BF43BE6"/>
    <w:rsid w:val="6CCE6FED"/>
    <w:rsid w:val="6DDB49C7"/>
    <w:rsid w:val="6E1A44D8"/>
    <w:rsid w:val="6E337523"/>
    <w:rsid w:val="6EC46F88"/>
    <w:rsid w:val="71543066"/>
    <w:rsid w:val="71E36855"/>
    <w:rsid w:val="79871188"/>
    <w:rsid w:val="7AF71457"/>
    <w:rsid w:val="7BB21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2"/>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2026-09-22T03:30:00Z</dcterms:created>
  <dc:creator>陆建功</dc:creator>
  <cp:lastModifiedBy>王浩全</cp:lastModifiedBy>
  <dcterms:modified xsi:type="dcterms:W3CDTF">2026-10-12T03:01:42Z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C9A9F21C7F484C3AACBE512617ABD491</vt:lpwstr>
  </property>
</Properties>
</file>