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outlineLvl w:val="0"/>
        <w:rPr>
          <w:rFonts w:hint="eastAsia" w:ascii="Times New Roman" w:hAnsi="Times New Roman" w:eastAsia="宋体" w:cs="Times New Roman"/>
          <w:b/>
          <w:sz w:val="40"/>
          <w:szCs w:val="40"/>
          <w:lang w:val="en-US" w:eastAsia="zh-CN"/>
        </w:rPr>
      </w:pPr>
      <w:r>
        <w:rPr>
          <w:rFonts w:hint="eastAsia" w:ascii="Times New Roman" w:hAnsi="Times New Roman" w:eastAsia="宋体" w:cs="Times New Roman"/>
          <w:b/>
          <w:sz w:val="40"/>
          <w:szCs w:val="40"/>
          <w:lang w:val="en-US" w:eastAsia="zh-CN"/>
        </w:rPr>
        <w:t>安全应急实验室二期建设项目造价审核咨询</w:t>
      </w:r>
      <w:r>
        <w:rPr>
          <w:rFonts w:hint="eastAsia" w:ascii="Times New Roman" w:hAnsi="Times New Roman" w:eastAsia="宋体" w:cs="Times New Roman"/>
          <w:b/>
          <w:sz w:val="40"/>
          <w:szCs w:val="40"/>
        </w:rPr>
        <w:t>服务</w:t>
      </w:r>
      <w:r>
        <w:rPr>
          <w:rFonts w:hint="eastAsia" w:ascii="Times New Roman" w:hAnsi="Times New Roman" w:eastAsia="宋体" w:cs="Times New Roman"/>
          <w:b/>
          <w:sz w:val="40"/>
          <w:szCs w:val="40"/>
          <w:lang w:val="en-US" w:eastAsia="zh-CN"/>
        </w:rPr>
        <w:t>零星采购综合最优评分说明</w:t>
      </w: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jc w:val="left"/>
        <w:textAlignment w:val="auto"/>
        <w:outlineLvl w:val="9"/>
        <w:rPr>
          <w:rFonts w:hint="default"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安全应急实验室二期建设项目项目造价审核咨询服务零星采购选择综合最优者中标，为进一步明确项目综合最优评分标准，特此说明规则：</w:t>
      </w:r>
    </w:p>
    <w:tbl>
      <w:tblPr>
        <w:tblStyle w:val="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6"/>
        <w:gridCol w:w="1287"/>
        <w:gridCol w:w="5466"/>
        <w:gridCol w:w="10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0" w:type="pct"/>
            <w:vAlign w:val="center"/>
          </w:tcPr>
          <w:p>
            <w:pPr>
              <w:spacing w:line="400" w:lineRule="exact"/>
              <w:jc w:val="center"/>
            </w:pPr>
            <w:r>
              <w:rPr>
                <w:b/>
              </w:rPr>
              <w:t>序号</w:t>
            </w:r>
          </w:p>
        </w:tc>
        <w:tc>
          <w:tcPr>
            <w:tcW w:w="755" w:type="pct"/>
            <w:vAlign w:val="center"/>
          </w:tcPr>
          <w:p>
            <w:pPr>
              <w:spacing w:line="400" w:lineRule="exact"/>
              <w:jc w:val="center"/>
            </w:pPr>
            <w:r>
              <w:rPr>
                <w:b/>
              </w:rPr>
              <w:t>详细评审项</w:t>
            </w:r>
          </w:p>
        </w:tc>
        <w:tc>
          <w:tcPr>
            <w:tcW w:w="3207" w:type="pct"/>
            <w:vAlign w:val="center"/>
          </w:tcPr>
          <w:p>
            <w:pPr>
              <w:spacing w:line="400" w:lineRule="exact"/>
              <w:jc w:val="center"/>
            </w:pPr>
            <w:r>
              <w:rPr>
                <w:b/>
              </w:rPr>
              <w:t>详细评审分项要素</w:t>
            </w:r>
          </w:p>
        </w:tc>
        <w:tc>
          <w:tcPr>
            <w:tcW w:w="616" w:type="pct"/>
            <w:vAlign w:val="center"/>
          </w:tcPr>
          <w:p>
            <w:pPr>
              <w:spacing w:line="400" w:lineRule="exact"/>
              <w:jc w:val="center"/>
            </w:pPr>
            <w:r>
              <w:rPr>
                <w:b/>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0" w:type="pct"/>
            <w:vAlign w:val="center"/>
          </w:tcPr>
          <w:p>
            <w:pPr>
              <w:spacing w:line="400" w:lineRule="exact"/>
              <w:jc w:val="center"/>
            </w:pPr>
            <w:r>
              <w:t>1</w:t>
            </w:r>
          </w:p>
        </w:tc>
        <w:tc>
          <w:tcPr>
            <w:tcW w:w="755" w:type="pct"/>
            <w:vAlign w:val="center"/>
          </w:tcPr>
          <w:p>
            <w:pPr>
              <w:spacing w:line="400" w:lineRule="exact"/>
              <w:jc w:val="center"/>
              <w:rPr>
                <w:rFonts w:hint="default" w:eastAsiaTheme="minorEastAsia"/>
                <w:lang w:val="en-US" w:eastAsia="zh-CN"/>
              </w:rPr>
            </w:pPr>
            <w:r>
              <w:rPr>
                <w:rFonts w:hint="eastAsia"/>
                <w:lang w:val="en-US" w:eastAsia="zh-CN"/>
              </w:rPr>
              <w:t>企业资质</w:t>
            </w:r>
          </w:p>
        </w:tc>
        <w:tc>
          <w:tcPr>
            <w:tcW w:w="3207" w:type="pct"/>
            <w:vAlign w:val="center"/>
          </w:tcPr>
          <w:p>
            <w:pPr>
              <w:spacing w:line="400" w:lineRule="exact"/>
              <w:jc w:val="left"/>
              <w:rPr>
                <w:rFonts w:hint="eastAsia"/>
                <w:lang w:eastAsia="zh-CN"/>
              </w:rPr>
            </w:pPr>
            <w:r>
              <w:rPr>
                <w:rFonts w:hint="eastAsia"/>
                <w:lang w:val="en-US" w:eastAsia="zh-CN"/>
              </w:rPr>
              <w:t>获得工程咨询单位甲级资信证书，得15分</w:t>
            </w:r>
            <w:r>
              <w:rPr>
                <w:rFonts w:hint="eastAsia"/>
                <w:lang w:eastAsia="zh-CN"/>
              </w:rPr>
              <w:t>；</w:t>
            </w:r>
          </w:p>
          <w:p>
            <w:pPr>
              <w:spacing w:line="400" w:lineRule="exact"/>
              <w:jc w:val="left"/>
              <w:rPr>
                <w:rFonts w:hint="eastAsia"/>
                <w:lang w:val="en-US" w:eastAsia="zh-CN"/>
              </w:rPr>
            </w:pPr>
            <w:r>
              <w:rPr>
                <w:rFonts w:hint="eastAsia"/>
                <w:lang w:val="en-US" w:eastAsia="zh-CN"/>
              </w:rPr>
              <w:t>获得工程咨询单位乙级资信证书，得5分；</w:t>
            </w:r>
          </w:p>
          <w:p>
            <w:pPr>
              <w:spacing w:line="400" w:lineRule="exact"/>
              <w:jc w:val="left"/>
            </w:pPr>
            <w:r>
              <w:t>须提供相关</w:t>
            </w:r>
            <w:r>
              <w:rPr>
                <w:rFonts w:hint="eastAsia"/>
                <w:lang w:val="en-US" w:eastAsia="zh-CN"/>
              </w:rPr>
              <w:t>资质</w:t>
            </w:r>
            <w:r>
              <w:t>证书扫描件作为证明材料，</w:t>
            </w:r>
            <w:r>
              <w:rPr>
                <w:rFonts w:hint="eastAsia"/>
                <w:lang w:val="en-US" w:eastAsia="zh-CN"/>
              </w:rPr>
              <w:t>且</w:t>
            </w:r>
            <w:r>
              <w:t>证书在有效期内，否则不得分。</w:t>
            </w:r>
          </w:p>
        </w:tc>
        <w:tc>
          <w:tcPr>
            <w:tcW w:w="616" w:type="pct"/>
            <w:vAlign w:val="center"/>
          </w:tcPr>
          <w:p>
            <w:pPr>
              <w:spacing w:line="400" w:lineRule="exact"/>
              <w:jc w:val="center"/>
            </w:pPr>
            <w:r>
              <w:rPr>
                <w:rFonts w:hint="eastAsia"/>
                <w:lang w:val="en-US" w:eastAsia="zh-CN"/>
              </w:rPr>
              <w:t>15</w:t>
            </w:r>
            <w: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0" w:type="pct"/>
            <w:vAlign w:val="center"/>
          </w:tcPr>
          <w:p>
            <w:pPr>
              <w:spacing w:line="400" w:lineRule="exact"/>
              <w:jc w:val="center"/>
            </w:pPr>
            <w:r>
              <w:t>2</w:t>
            </w:r>
          </w:p>
        </w:tc>
        <w:tc>
          <w:tcPr>
            <w:tcW w:w="755" w:type="pct"/>
            <w:vAlign w:val="center"/>
          </w:tcPr>
          <w:p>
            <w:pPr>
              <w:spacing w:line="400" w:lineRule="exact"/>
              <w:jc w:val="center"/>
            </w:pPr>
            <w:r>
              <w:t>业绩证明</w:t>
            </w:r>
          </w:p>
        </w:tc>
        <w:tc>
          <w:tcPr>
            <w:tcW w:w="3207" w:type="pct"/>
            <w:vAlign w:val="center"/>
          </w:tcPr>
          <w:p>
            <w:pPr>
              <w:spacing w:line="400" w:lineRule="exact"/>
              <w:jc w:val="left"/>
              <w:rPr>
                <w:color w:val="auto"/>
              </w:rPr>
            </w:pPr>
            <w:r>
              <w:rPr>
                <w:color w:val="auto"/>
              </w:rPr>
              <w:t>按照近</w:t>
            </w:r>
            <w:r>
              <w:rPr>
                <w:rFonts w:hint="eastAsia"/>
                <w:color w:val="auto"/>
                <w:lang w:eastAsia="zh-CN"/>
              </w:rPr>
              <w:t>三</w:t>
            </w:r>
            <w:r>
              <w:rPr>
                <w:color w:val="auto"/>
              </w:rPr>
              <w:t>年(202</w:t>
            </w:r>
            <w:r>
              <w:rPr>
                <w:rFonts w:hint="eastAsia"/>
                <w:color w:val="auto"/>
                <w:lang w:val="en-US" w:eastAsia="zh-CN"/>
              </w:rPr>
              <w:t>3</w:t>
            </w:r>
            <w:r>
              <w:rPr>
                <w:color w:val="auto"/>
              </w:rPr>
              <w:t>年至今)完成的同类项目业绩数量进行计分：每项</w:t>
            </w:r>
            <w:r>
              <w:rPr>
                <w:rFonts w:hint="eastAsia"/>
                <w:color w:val="auto"/>
                <w:lang w:val="en-US" w:eastAsia="zh-CN"/>
              </w:rPr>
              <w:t>3</w:t>
            </w:r>
            <w:r>
              <w:rPr>
                <w:color w:val="auto"/>
              </w:rPr>
              <w:t>分，最高得</w:t>
            </w:r>
            <w:r>
              <w:rPr>
                <w:rFonts w:hint="eastAsia"/>
                <w:color w:val="auto"/>
                <w:lang w:val="en-US" w:eastAsia="zh-CN"/>
              </w:rPr>
              <w:t>15</w:t>
            </w:r>
            <w:r>
              <w:rPr>
                <w:color w:val="auto"/>
              </w:rPr>
              <w:t>分。</w:t>
            </w:r>
          </w:p>
          <w:p>
            <w:pPr>
              <w:spacing w:line="400" w:lineRule="exact"/>
              <w:jc w:val="left"/>
              <w:rPr>
                <w:rFonts w:hint="default" w:eastAsiaTheme="minorEastAsia"/>
                <w:lang w:val="en-US" w:eastAsia="zh-CN"/>
              </w:rPr>
            </w:pPr>
            <w:r>
              <w:rPr>
                <w:color w:val="auto"/>
              </w:rPr>
              <w:t>注：</w:t>
            </w:r>
            <w:r>
              <w:rPr>
                <w:rFonts w:hint="eastAsia"/>
                <w:color w:val="auto"/>
                <w:lang w:val="en-US" w:eastAsia="zh-CN"/>
              </w:rPr>
              <w:t>同类业绩包括造价审核、造价评审、施工图预算编制等。</w:t>
            </w:r>
            <w:r>
              <w:rPr>
                <w:color w:val="auto"/>
              </w:rPr>
              <w:t>提供合同（首页、服务内容页、盖章签字页扫描件）</w:t>
            </w:r>
            <w:r>
              <w:rPr>
                <w:rFonts w:hint="eastAsia"/>
                <w:color w:val="auto"/>
                <w:lang w:val="en-US" w:eastAsia="zh-CN"/>
              </w:rPr>
              <w:t>或成果文件，包</w:t>
            </w:r>
            <w:bookmarkStart w:id="0" w:name="_GoBack"/>
            <w:bookmarkEnd w:id="0"/>
            <w:r>
              <w:rPr>
                <w:rFonts w:hint="eastAsia"/>
                <w:color w:val="auto"/>
                <w:lang w:val="en-US" w:eastAsia="zh-CN"/>
              </w:rPr>
              <w:t>括审核报告、评审意见或施工图预算等文件的关键页</w:t>
            </w:r>
            <w:r>
              <w:rPr>
                <w:color w:val="auto"/>
              </w:rPr>
              <w:t>，否</w:t>
            </w:r>
            <w:r>
              <w:t>则相关业绩不得分。</w:t>
            </w:r>
          </w:p>
        </w:tc>
        <w:tc>
          <w:tcPr>
            <w:tcW w:w="616" w:type="pct"/>
            <w:vAlign w:val="center"/>
          </w:tcPr>
          <w:p>
            <w:pPr>
              <w:spacing w:line="400" w:lineRule="exact"/>
              <w:jc w:val="center"/>
            </w:pPr>
            <w:r>
              <w:rPr>
                <w:rFonts w:hint="eastAsia"/>
                <w:lang w:val="en-US" w:eastAsia="zh-CN"/>
              </w:rPr>
              <w:t>15</w:t>
            </w:r>
            <w: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0" w:type="pct"/>
            <w:vAlign w:val="center"/>
          </w:tcPr>
          <w:p>
            <w:pPr>
              <w:spacing w:line="400" w:lineRule="exact"/>
              <w:jc w:val="center"/>
            </w:pPr>
            <w:r>
              <w:t>3</w:t>
            </w:r>
          </w:p>
        </w:tc>
        <w:tc>
          <w:tcPr>
            <w:tcW w:w="755" w:type="pct"/>
            <w:vAlign w:val="center"/>
          </w:tcPr>
          <w:p>
            <w:pPr>
              <w:spacing w:line="400" w:lineRule="exact"/>
              <w:jc w:val="center"/>
            </w:pPr>
            <w:r>
              <w:rPr>
                <w:rFonts w:hint="eastAsia"/>
                <w:lang w:val="en-US" w:eastAsia="zh-CN"/>
              </w:rPr>
              <w:t>造价审核</w:t>
            </w:r>
            <w:r>
              <w:t>人员情况</w:t>
            </w:r>
          </w:p>
        </w:tc>
        <w:tc>
          <w:tcPr>
            <w:tcW w:w="3207" w:type="pct"/>
            <w:vAlign w:val="center"/>
          </w:tcPr>
          <w:p>
            <w:pPr>
              <w:spacing w:line="400" w:lineRule="exact"/>
              <w:jc w:val="left"/>
              <w:rPr>
                <w:rFonts w:hint="eastAsia"/>
                <w:lang w:val="en-US" w:eastAsia="zh-CN"/>
              </w:rPr>
            </w:pPr>
            <w:r>
              <w:rPr>
                <w:rFonts w:hint="eastAsia"/>
                <w:lang w:val="en-US" w:eastAsia="zh-CN"/>
              </w:rPr>
              <w:t>为完成本项目，投入的造价审核人员规模、人员资质进行评价（需提供人员资质证明以及社保证明材料）：</w:t>
            </w:r>
          </w:p>
          <w:p>
            <w:pPr>
              <w:spacing w:line="400" w:lineRule="exact"/>
              <w:jc w:val="left"/>
              <w:rPr>
                <w:rFonts w:hint="default"/>
                <w:lang w:val="en-US" w:eastAsia="zh-CN"/>
              </w:rPr>
            </w:pPr>
            <w:r>
              <w:rPr>
                <w:rFonts w:hint="eastAsia"/>
                <w:lang w:val="en-US" w:eastAsia="zh-CN"/>
              </w:rPr>
              <w:t>项目负责人：同时具备高级职称及一级注册造价工程师的，得10分，本小项最多10分。</w:t>
            </w:r>
          </w:p>
          <w:p>
            <w:pPr>
              <w:spacing w:line="400" w:lineRule="exact"/>
              <w:jc w:val="left"/>
              <w:rPr>
                <w:rFonts w:hint="default"/>
                <w:lang w:val="en-US" w:eastAsia="zh-CN"/>
              </w:rPr>
            </w:pPr>
            <w:r>
              <w:rPr>
                <w:rFonts w:hint="eastAsia"/>
                <w:lang w:val="en-US" w:eastAsia="zh-CN"/>
              </w:rPr>
              <w:t>造价审核人员：同时具备高级职称及一级注册造价工程师的，每人10分；仅具备一级注册造价工程师的，每人5分，本小项最多30分。</w:t>
            </w:r>
          </w:p>
          <w:p>
            <w:pPr>
              <w:spacing w:line="400" w:lineRule="exact"/>
              <w:jc w:val="left"/>
              <w:rPr>
                <w:rFonts w:hint="default" w:eastAsiaTheme="minorEastAsia"/>
                <w:lang w:val="en-US" w:eastAsia="zh-CN"/>
              </w:rPr>
            </w:pPr>
            <w:r>
              <w:rPr>
                <w:rFonts w:hint="eastAsia"/>
                <w:lang w:val="en-US" w:eastAsia="zh-CN"/>
              </w:rPr>
              <w:t>注：提供人员在本单位注册并在有效期内的证明，及截止日期前半年内连续3个月的社保证明，未提供资质证明材料的，得0分。</w:t>
            </w:r>
          </w:p>
        </w:tc>
        <w:tc>
          <w:tcPr>
            <w:tcW w:w="616" w:type="pct"/>
            <w:vAlign w:val="center"/>
          </w:tcPr>
          <w:p>
            <w:pPr>
              <w:spacing w:line="400" w:lineRule="exact"/>
              <w:jc w:val="center"/>
              <w:rPr>
                <w:rFonts w:hint="default" w:eastAsiaTheme="minorEastAsia"/>
                <w:lang w:val="en-US" w:eastAsia="zh-CN"/>
              </w:rPr>
            </w:pPr>
            <w:r>
              <w:rPr>
                <w:rFonts w:hint="eastAsia"/>
                <w:lang w:val="en-US" w:eastAsia="zh-CN"/>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0" w:type="pct"/>
            <w:vAlign w:val="center"/>
          </w:tcPr>
          <w:p>
            <w:pPr>
              <w:spacing w:line="400" w:lineRule="exact"/>
              <w:jc w:val="center"/>
              <w:rPr>
                <w:rFonts w:hint="eastAsia" w:eastAsiaTheme="minorEastAsia"/>
                <w:lang w:val="en-US" w:eastAsia="zh-CN"/>
              </w:rPr>
            </w:pPr>
            <w:r>
              <w:rPr>
                <w:rFonts w:hint="eastAsia"/>
                <w:lang w:val="en-US" w:eastAsia="zh-CN"/>
              </w:rPr>
              <w:t>4</w:t>
            </w:r>
          </w:p>
        </w:tc>
        <w:tc>
          <w:tcPr>
            <w:tcW w:w="755" w:type="pct"/>
            <w:vAlign w:val="center"/>
          </w:tcPr>
          <w:p>
            <w:pPr>
              <w:spacing w:line="400" w:lineRule="exact"/>
              <w:jc w:val="center"/>
              <w:rPr>
                <w:rFonts w:hint="default"/>
                <w:lang w:val="en-US" w:eastAsia="zh-CN"/>
              </w:rPr>
            </w:pPr>
            <w:r>
              <w:rPr>
                <w:rFonts w:hint="eastAsia"/>
                <w:lang w:val="en-US" w:eastAsia="zh-CN"/>
              </w:rPr>
              <w:t>价格计算得分</w:t>
            </w:r>
          </w:p>
        </w:tc>
        <w:tc>
          <w:tcPr>
            <w:tcW w:w="3207" w:type="pct"/>
            <w:vAlign w:val="center"/>
          </w:tcPr>
          <w:p>
            <w:pPr>
              <w:spacing w:line="400" w:lineRule="exact"/>
              <w:jc w:val="left"/>
              <w:rPr>
                <w:rFonts w:hint="eastAsia"/>
                <w:lang w:val="en-US" w:eastAsia="zh-CN"/>
              </w:rPr>
            </w:pPr>
            <w:r>
              <w:t>按照</w:t>
            </w:r>
            <w:r>
              <w:rPr>
                <w:rFonts w:hint="eastAsia"/>
                <w:lang w:val="en-US" w:eastAsia="zh-CN"/>
              </w:rPr>
              <w:t>价格</w:t>
            </w:r>
            <w:r>
              <w:t>数值由</w:t>
            </w:r>
            <w:r>
              <w:rPr>
                <w:rFonts w:hint="eastAsia"/>
                <w:lang w:val="en-US" w:eastAsia="zh-CN"/>
              </w:rPr>
              <w:t>小</w:t>
            </w:r>
            <w:r>
              <w:t>到</w:t>
            </w:r>
            <w:r>
              <w:rPr>
                <w:rFonts w:hint="eastAsia"/>
                <w:lang w:val="en-US" w:eastAsia="zh-CN"/>
              </w:rPr>
              <w:t>大</w:t>
            </w:r>
            <w:r>
              <w:t>横向排名，第一名得满分，每下降一名扣相应比例分数（总分/通过</w:t>
            </w:r>
            <w:r>
              <w:rPr>
                <w:rFonts w:hint="eastAsia"/>
                <w:lang w:val="en-US" w:eastAsia="zh-CN"/>
              </w:rPr>
              <w:t>初审</w:t>
            </w:r>
            <w:r>
              <w:t>的投标人数量）。相同数值排名一致，之后排名依次增加（如排名第一者有2家，则之后一家按排名第二处理），最后得分四舍五入保留2位小数。</w:t>
            </w:r>
          </w:p>
        </w:tc>
        <w:tc>
          <w:tcPr>
            <w:tcW w:w="616" w:type="pct"/>
            <w:vAlign w:val="center"/>
          </w:tcPr>
          <w:p>
            <w:pPr>
              <w:spacing w:line="400" w:lineRule="exact"/>
              <w:jc w:val="center"/>
              <w:rPr>
                <w:rFonts w:hint="default"/>
                <w:lang w:val="en-US" w:eastAsia="zh-CN"/>
              </w:rPr>
            </w:pPr>
            <w:r>
              <w:rPr>
                <w:rFonts w:hint="eastAsia"/>
                <w:lang w:val="en-US" w:eastAsia="zh-CN"/>
              </w:rPr>
              <w:t>30</w:t>
            </w:r>
          </w:p>
        </w:tc>
      </w:tr>
    </w:tbl>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jc w:val="left"/>
        <w:textAlignment w:val="auto"/>
        <w:outlineLvl w:val="9"/>
        <w:rPr>
          <w:rFonts w:hint="default" w:ascii="微软雅黑" w:hAnsi="微软雅黑" w:eastAsia="微软雅黑" w:cs="微软雅黑"/>
          <w:i w:val="0"/>
          <w:iCs w:val="0"/>
          <w:caps w:val="0"/>
          <w:color w:val="333333"/>
          <w:spacing w:val="0"/>
          <w:sz w:val="21"/>
          <w:szCs w:val="21"/>
          <w:shd w:val="clear" w:fill="FFFFFF"/>
          <w:lang w:val="en-US" w:eastAsia="zh-CN"/>
        </w:rPr>
      </w:pPr>
      <w:r>
        <w:rPr>
          <w:rFonts w:hint="eastAsia" w:ascii="宋体" w:hAnsi="宋体" w:eastAsia="宋体" w:cs="宋体"/>
          <w:kern w:val="0"/>
          <w:sz w:val="24"/>
          <w:szCs w:val="24"/>
          <w:highlight w:val="none"/>
          <w:lang w:val="en-US" w:eastAsia="zh-CN" w:bidi="ar-SA"/>
        </w:rPr>
        <w:t>根据计算得分最高作为综合最优中标单位，如果得分最高中出现同分，得分最高中价低者作为综合最优中标单位。</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B76F5F"/>
    <w:rsid w:val="03C510A1"/>
    <w:rsid w:val="068F69D2"/>
    <w:rsid w:val="097D4E3A"/>
    <w:rsid w:val="206C2341"/>
    <w:rsid w:val="2775537A"/>
    <w:rsid w:val="2A2E29C2"/>
    <w:rsid w:val="2E0C5311"/>
    <w:rsid w:val="32DC5F2B"/>
    <w:rsid w:val="415E3C62"/>
    <w:rsid w:val="41783908"/>
    <w:rsid w:val="41C94B1E"/>
    <w:rsid w:val="47C470B9"/>
    <w:rsid w:val="501B05AF"/>
    <w:rsid w:val="555A1859"/>
    <w:rsid w:val="5BCD57CD"/>
    <w:rsid w:val="669032CA"/>
    <w:rsid w:val="6ED03DD7"/>
    <w:rsid w:val="761A4E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9"/>
    <w:pPr>
      <w:widowControl w:val="0"/>
      <w:autoSpaceDE w:val="0"/>
      <w:autoSpaceDN w:val="0"/>
      <w:adjustRightInd w:val="0"/>
      <w:spacing w:beforeLines="0" w:afterLines="0"/>
      <w:outlineLvl w:val="0"/>
    </w:pPr>
    <w:rPr>
      <w:rFonts w:hint="default" w:ascii="Arial" w:hAnsi="Arial" w:eastAsia="宋体" w:cs="Times New Roman"/>
      <w:b/>
      <w:color w:val="000000"/>
      <w:sz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Body Text"/>
    <w:basedOn w:val="4"/>
    <w:next w:val="4"/>
    <w:unhideWhenUsed/>
    <w:qFormat/>
    <w:uiPriority w:val="99"/>
    <w:pPr>
      <w:pBdr>
        <w:top w:val="none" w:color="auto" w:sz="0" w:space="0"/>
        <w:left w:val="none" w:color="auto" w:sz="0" w:space="0"/>
        <w:bottom w:val="none" w:color="auto" w:sz="0" w:space="0"/>
        <w:right w:val="none" w:color="auto" w:sz="0" w:space="0"/>
        <w:between w:val="none" w:color="auto" w:sz="0" w:space="0"/>
      </w:pBdr>
      <w:spacing w:after="120"/>
      <w:jc w:val="both"/>
    </w:pPr>
    <w:rPr>
      <w:lang w:val="en-US" w:eastAsia="zh-CN"/>
    </w:rPr>
  </w:style>
  <w:style w:type="paragraph" w:styleId="4">
    <w:name w:val="Title"/>
    <w:basedOn w:val="1"/>
    <w:next w:val="1"/>
    <w:qFormat/>
    <w:uiPriority w:val="0"/>
    <w:pPr>
      <w:spacing w:before="240" w:after="60"/>
      <w:jc w:val="center"/>
      <w:outlineLvl w:val="0"/>
    </w:pPr>
    <w:rPr>
      <w:rFonts w:ascii="Cambria" w:hAnsi="Cambria" w:eastAsia="宋体"/>
      <w:b/>
      <w:bCs/>
      <w:sz w:val="32"/>
      <w:szCs w:val="32"/>
    </w:rPr>
  </w:style>
  <w:style w:type="paragraph" w:styleId="5">
    <w:name w:val="Body Text First Indent"/>
    <w:basedOn w:val="1"/>
    <w:qFormat/>
    <w:uiPriority w:val="0"/>
    <w:pPr>
      <w:adjustRightInd/>
      <w:ind w:firstLine="560" w:firstLineChars="200"/>
      <w:jc w:val="left"/>
      <w:textAlignment w:val="auto"/>
    </w:pPr>
    <w:rPr>
      <w:rFonts w:ascii="Arial" w:hAnsi="Arial"/>
      <w:kern w:val="2"/>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11</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2025-02-07T16:12:00Z</dcterms:created>
  <dc:creator>zhouwu</dc:creator>
  <cp:lastModifiedBy>陈伟</cp:lastModifiedBy>
  <cp:lastPrinted>2025-03-14T09:02:00Z</cp:lastPrinted>
  <dcterms:modified xsi:type="dcterms:W3CDTF">2026-10-22T01:54:29Z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A35B22A4518B4AC789F512A4F5271724</vt:lpwstr>
  </property>
</Properties>
</file>