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30FBE8">
      <w:pPr>
        <w:jc w:val="center"/>
        <w:rPr>
          <w:rFonts w:hint="eastAsia" w:ascii="黑体" w:hAnsi="黑体" w:eastAsia="黑体" w:cs="黑体"/>
          <w:sz w:val="44"/>
          <w:szCs w:val="44"/>
        </w:rPr>
      </w:pPr>
      <w:r>
        <w:rPr>
          <w:rFonts w:hint="eastAsia" w:ascii="黑体" w:hAnsi="黑体" w:eastAsia="黑体" w:cs="黑体"/>
          <w:sz w:val="44"/>
          <w:szCs w:val="44"/>
        </w:rPr>
        <w:t>新电力集团昭平供电公司本部技术业务</w:t>
      </w:r>
    </w:p>
    <w:p w14:paraId="4DDF87B3">
      <w:pPr>
        <w:jc w:val="center"/>
        <w:rPr>
          <w:rFonts w:hint="eastAsia" w:ascii="黑体" w:hAnsi="黑体" w:eastAsia="黑体" w:cs="黑体"/>
          <w:sz w:val="44"/>
          <w:szCs w:val="44"/>
        </w:rPr>
      </w:pPr>
      <w:r>
        <w:rPr>
          <w:rFonts w:hint="eastAsia" w:ascii="黑体" w:hAnsi="黑体" w:eastAsia="黑体" w:cs="黑体"/>
          <w:sz w:val="44"/>
          <w:szCs w:val="44"/>
        </w:rPr>
        <w:t>用房项目地质灾害评估技术服务</w:t>
      </w:r>
    </w:p>
    <w:p w14:paraId="5EB3EABA">
      <w:pPr>
        <w:jc w:val="center"/>
        <w:rPr>
          <w:rFonts w:hint="eastAsia" w:ascii="黑体" w:hAnsi="黑体" w:eastAsia="黑体" w:cs="黑体"/>
          <w:sz w:val="44"/>
          <w:szCs w:val="44"/>
          <w:lang w:val="en-US" w:eastAsia="zh-CN"/>
        </w:rPr>
      </w:pPr>
      <w:r>
        <w:rPr>
          <w:rFonts w:hint="eastAsia" w:ascii="黑体" w:hAnsi="黑体" w:eastAsia="黑体" w:cs="黑体"/>
          <w:sz w:val="44"/>
          <w:szCs w:val="44"/>
        </w:rPr>
        <w:t>零星采购项目</w:t>
      </w:r>
      <w:r>
        <w:rPr>
          <w:rFonts w:hint="eastAsia" w:ascii="黑体" w:hAnsi="黑体" w:eastAsia="黑体" w:cs="黑体"/>
          <w:sz w:val="44"/>
          <w:szCs w:val="44"/>
          <w:lang w:val="en-US" w:eastAsia="zh-CN"/>
        </w:rPr>
        <w:t>报价须知</w:t>
      </w:r>
    </w:p>
    <w:p w14:paraId="321C2422">
      <w:pPr>
        <w:pStyle w:val="2"/>
        <w:keepNext w:val="0"/>
        <w:keepLines w:val="0"/>
        <w:pageBreakBefore w:val="0"/>
        <w:widowControl w:val="0"/>
        <w:kinsoku/>
        <w:wordWrap/>
        <w:topLinePunct w:val="0"/>
        <w:autoSpaceDE/>
        <w:autoSpaceDN/>
        <w:bidi w:val="0"/>
        <w:adjustRightInd/>
        <w:snapToGrid/>
        <w:spacing w:line="580" w:lineRule="exact"/>
        <w:rPr>
          <w:rFonts w:hint="eastAsia" w:ascii="仿宋_GB2312" w:hAnsi="仿宋_GB2312" w:eastAsia="仿宋_GB2312" w:cs="仿宋_GB2312"/>
          <w:sz w:val="32"/>
          <w:szCs w:val="32"/>
          <w:lang w:val="en-US" w:eastAsia="zh-CN"/>
        </w:rPr>
      </w:pPr>
    </w:p>
    <w:p w14:paraId="099C2503">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一、投标人资格要求</w:t>
      </w:r>
    </w:p>
    <w:p w14:paraId="2BA1D689">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560" w:firstLineChars="200"/>
        <w:textAlignment w:val="auto"/>
        <w:rPr>
          <w:rFonts w:hint="eastAsia" w:ascii="仿宋_GB2312" w:hAnsi="仿宋_GB2312" w:eastAsia="仿宋_GB2312" w:cs="仿宋_GB2312"/>
          <w:b w:val="0"/>
          <w:bCs w:val="0"/>
          <w:sz w:val="28"/>
          <w:szCs w:val="28"/>
        </w:rPr>
      </w:pPr>
      <w:r>
        <w:rPr>
          <w:rFonts w:hint="eastAsia" w:ascii="仿宋_GB2312" w:hAnsi="仿宋_GB2312" w:eastAsia="仿宋_GB2312" w:cs="仿宋_GB2312"/>
          <w:b w:val="0"/>
          <w:bCs w:val="0"/>
          <w:sz w:val="28"/>
          <w:szCs w:val="28"/>
          <w:lang w:val="en-US" w:eastAsia="zh-CN"/>
        </w:rPr>
        <w:t>1、</w:t>
      </w:r>
      <w:r>
        <w:rPr>
          <w:rFonts w:hint="eastAsia" w:ascii="仿宋_GB2312" w:hAnsi="仿宋_GB2312" w:eastAsia="仿宋_GB2312" w:cs="仿宋_GB2312"/>
          <w:b w:val="0"/>
          <w:bCs w:val="0"/>
          <w:sz w:val="28"/>
          <w:szCs w:val="28"/>
        </w:rPr>
        <w:t>在中华人民共和国境内注册，持有合法有效的企业法人营业执照。</w:t>
      </w:r>
    </w:p>
    <w:p w14:paraId="289211DC">
      <w:pPr>
        <w:pStyle w:val="3"/>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560" w:firstLineChars="200"/>
        <w:jc w:val="both"/>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2、单位负责人为同一人或者存在控股、管理关系的不同单位，不同单位董事、监事、高级管理人员相互交叉任职的，不得参加本项目报价。</w:t>
      </w:r>
    </w:p>
    <w:p w14:paraId="47256EAA">
      <w:pPr>
        <w:pStyle w:val="3"/>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560" w:firstLineChars="200"/>
        <w:jc w:val="both"/>
        <w:textAlignment w:val="auto"/>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b w:val="0"/>
          <w:bCs w:val="0"/>
          <w:sz w:val="28"/>
          <w:szCs w:val="28"/>
          <w:lang w:val="en-US" w:eastAsia="zh-CN"/>
        </w:rPr>
        <w:t>3、</w:t>
      </w:r>
      <w:r>
        <w:rPr>
          <w:rFonts w:hint="eastAsia" w:ascii="仿宋_GB2312" w:hAnsi="仿宋_GB2312" w:eastAsia="仿宋_GB2312" w:cs="仿宋_GB2312"/>
          <w:b w:val="0"/>
          <w:bCs w:val="0"/>
          <w:sz w:val="28"/>
          <w:szCs w:val="28"/>
        </w:rPr>
        <w:t>其他不得存在的情形：被相关政府部门实施市场禁入、禁止参加投标、承接新项目的；在中国南方电网有限责任公司范围内被纳入供应商预警名单或处理名单实施不接受投标处理、市场禁入处理，且未解除的。</w:t>
      </w:r>
      <w:r>
        <w:rPr>
          <w:rFonts w:hint="eastAsia" w:ascii="仿宋_GB2312" w:hAnsi="仿宋_GB2312" w:eastAsia="仿宋_GB2312" w:cs="仿宋_GB2312"/>
          <w:b w:val="0"/>
          <w:bCs w:val="0"/>
          <w:sz w:val="28"/>
          <w:szCs w:val="28"/>
          <w:lang w:val="en-US" w:eastAsia="zh-CN"/>
        </w:rPr>
        <w:t xml:space="preserve">  </w:t>
      </w:r>
    </w:p>
    <w:p w14:paraId="2131321B">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562"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b/>
          <w:bCs/>
          <w:sz w:val="28"/>
          <w:szCs w:val="28"/>
          <w:lang w:val="en-US" w:eastAsia="zh-CN"/>
        </w:rPr>
        <w:t>二、工程概况</w:t>
      </w:r>
    </w:p>
    <w:p w14:paraId="716990E3">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562"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bCs/>
          <w:sz w:val="28"/>
          <w:szCs w:val="28"/>
          <w:lang w:val="en-US" w:eastAsia="zh-CN"/>
        </w:rPr>
        <w:t>1、项目名称：</w:t>
      </w:r>
      <w:r>
        <w:rPr>
          <w:rFonts w:hint="eastAsia" w:ascii="仿宋_GB2312" w:hAnsi="仿宋_GB2312" w:eastAsia="仿宋_GB2312" w:cs="仿宋_GB2312"/>
          <w:b w:val="0"/>
          <w:bCs w:val="0"/>
          <w:color w:val="auto"/>
          <w:sz w:val="28"/>
          <w:szCs w:val="28"/>
          <w:lang w:val="en-US" w:eastAsia="zh-CN"/>
        </w:rPr>
        <w:t>新电力集团昭平供电公司本部技术业务用房项目地质灾害评估技术服务零星采购项目。</w:t>
      </w:r>
    </w:p>
    <w:p w14:paraId="31576DBD">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562"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bCs/>
          <w:sz w:val="28"/>
          <w:szCs w:val="28"/>
          <w:lang w:val="en-US" w:eastAsia="zh-CN"/>
        </w:rPr>
        <w:t>2、建筑规模：</w:t>
      </w:r>
      <w:r>
        <w:rPr>
          <w:rFonts w:hint="eastAsia" w:ascii="仿宋_GB2312" w:hAnsi="仿宋_GB2312" w:eastAsia="仿宋_GB2312" w:cs="仿宋_GB2312"/>
          <w:b w:val="0"/>
          <w:bCs w:val="0"/>
          <w:sz w:val="28"/>
          <w:szCs w:val="28"/>
          <w:lang w:val="en-US" w:eastAsia="zh-CN"/>
        </w:rPr>
        <w:t>项目总建筑面积11948.09平方米（地上部分9930.39平方米、地下部分2017.70平方米），其中：1.新建技术业务用房1栋，建筑面积9602.58平方米（地上部分7584.88平方米、地下部分2017.70平方米），地上9层，地下1层，建筑高度36.00米。2.备勤用房1栋，建筑面积2325.71平方米，地上5层，无地下室，建筑高度17.10米。3.门卫室1座，建筑面积19.80平方米，地上1层，无地下室，建筑高度3.90米。4.配套建设水、电、通信及其他附属设施。</w:t>
      </w:r>
    </w:p>
    <w:p w14:paraId="6AD6C0D5">
      <w:pPr>
        <w:pStyle w:val="2"/>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562" w:firstLineChars="200"/>
        <w:textAlignment w:val="auto"/>
        <w:rPr>
          <w:rFonts w:hint="eastAsia" w:ascii="仿宋_GB2312" w:hAnsi="仿宋_GB2312" w:eastAsia="仿宋_GB2312" w:cs="仿宋_GB2312"/>
          <w:b/>
          <w:bCs/>
          <w:color w:val="auto"/>
          <w:sz w:val="28"/>
          <w:szCs w:val="28"/>
          <w:lang w:val="en-US" w:eastAsia="zh-CN"/>
        </w:rPr>
      </w:pPr>
      <w:r>
        <w:rPr>
          <w:rFonts w:hint="eastAsia" w:ascii="仿宋_GB2312" w:hAnsi="仿宋_GB2312" w:eastAsia="仿宋_GB2312" w:cs="仿宋_GB2312"/>
          <w:b/>
          <w:bCs/>
          <w:color w:val="auto"/>
          <w:sz w:val="28"/>
          <w:szCs w:val="28"/>
          <w:lang w:val="en-US" w:eastAsia="zh-CN"/>
        </w:rPr>
        <w:t>三、采购范围及商务、技术</w:t>
      </w:r>
      <w:r>
        <w:rPr>
          <w:rFonts w:hint="eastAsia" w:ascii="仿宋_GB2312" w:hAnsi="仿宋_GB2312" w:eastAsia="仿宋_GB2312" w:cs="仿宋_GB2312"/>
          <w:b/>
          <w:bCs/>
          <w:i w:val="0"/>
          <w:iCs w:val="0"/>
          <w:caps w:val="0"/>
          <w:spacing w:val="0"/>
          <w:sz w:val="28"/>
          <w:szCs w:val="28"/>
          <w:lang w:eastAsia="zh-CN"/>
        </w:rPr>
        <w:t>响应</w:t>
      </w:r>
    </w:p>
    <w:p w14:paraId="5784B7C7">
      <w:pPr>
        <w:keepNext w:val="0"/>
        <w:keepLines w:val="0"/>
        <w:pageBreakBefore w:val="0"/>
        <w:widowControl w:val="0"/>
        <w:numPr>
          <w:ilvl w:val="0"/>
          <w:numId w:val="0"/>
        </w:numPr>
        <w:kinsoku/>
        <w:wordWrap/>
        <w:overflowPunct w:val="0"/>
        <w:topLinePunct w:val="0"/>
        <w:autoSpaceDE/>
        <w:autoSpaceDN/>
        <w:bidi w:val="0"/>
        <w:adjustRightInd/>
        <w:snapToGrid/>
        <w:spacing w:before="-2147483648" w:beforeLines="-2147483648" w:beforeAutospacing="0" w:line="580" w:lineRule="exact"/>
        <w:ind w:firstLine="560" w:firstLineChars="200"/>
        <w:textAlignment w:val="baseline"/>
        <w:outlineLvl w:val="9"/>
        <w:rPr>
          <w:rFonts w:hint="eastAsia"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sz w:val="28"/>
          <w:szCs w:val="28"/>
          <w:lang w:val="en-US" w:eastAsia="zh-CN"/>
        </w:rPr>
        <w:t>1、</w:t>
      </w:r>
      <w:r>
        <w:rPr>
          <w:rFonts w:hint="eastAsia" w:ascii="仿宋_GB2312" w:hAnsi="仿宋_GB2312" w:eastAsia="仿宋_GB2312" w:cs="仿宋_GB2312"/>
          <w:b/>
          <w:bCs/>
          <w:color w:val="auto"/>
          <w:sz w:val="28"/>
          <w:szCs w:val="28"/>
          <w:lang w:val="en-US" w:eastAsia="zh-CN"/>
        </w:rPr>
        <w:t>采购范围：</w:t>
      </w:r>
      <w:r>
        <w:rPr>
          <w:rFonts w:hint="eastAsia" w:ascii="仿宋_GB2312" w:hAnsi="仿宋_GB2312" w:eastAsia="仿宋_GB2312" w:cs="仿宋_GB2312"/>
          <w:b w:val="0"/>
          <w:bCs w:val="0"/>
          <w:color w:val="auto"/>
          <w:sz w:val="28"/>
          <w:szCs w:val="28"/>
          <w:lang w:val="en-US" w:eastAsia="zh-CN"/>
        </w:rPr>
        <w:t>新电力集团昭平供电公司本部技术业务用房项目地质灾害评估技术服务</w:t>
      </w:r>
      <w:bookmarkStart w:id="0" w:name="_GoBack"/>
      <w:bookmarkEnd w:id="0"/>
      <w:r>
        <w:rPr>
          <w:rFonts w:hint="eastAsia" w:ascii="仿宋_GB2312" w:hAnsi="仿宋_GB2312" w:eastAsia="仿宋_GB2312" w:cs="仿宋_GB2312"/>
          <w:b w:val="0"/>
          <w:bCs w:val="0"/>
          <w:color w:val="auto"/>
          <w:sz w:val="28"/>
          <w:szCs w:val="28"/>
          <w:lang w:val="en-US" w:eastAsia="zh-CN"/>
        </w:rPr>
        <w:t>。</w:t>
      </w:r>
    </w:p>
    <w:p w14:paraId="57CC727B">
      <w:pPr>
        <w:pStyle w:val="6"/>
        <w:keepNext w:val="0"/>
        <w:keepLines w:val="0"/>
        <w:pageBreakBefore w:val="0"/>
        <w:widowControl/>
        <w:suppressLineNumbers w:val="0"/>
        <w:kinsoku/>
        <w:wordWrap/>
        <w:topLinePunct w:val="0"/>
        <w:autoSpaceDE/>
        <w:autoSpaceDN/>
        <w:bidi w:val="0"/>
        <w:adjustRightInd/>
        <w:snapToGrid/>
        <w:spacing w:before="0" w:beforeAutospacing="0" w:after="0" w:afterAutospacing="0"/>
        <w:ind w:left="0" w:right="0" w:firstLine="562" w:firstLineChars="200"/>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bCs/>
          <w:color w:val="auto"/>
          <w:sz w:val="28"/>
          <w:szCs w:val="28"/>
          <w:lang w:val="en-US" w:eastAsia="zh-CN"/>
        </w:rPr>
        <w:t>2、</w:t>
      </w:r>
      <w:r>
        <w:rPr>
          <w:rFonts w:hint="eastAsia" w:ascii="仿宋_GB2312" w:hAnsi="仿宋_GB2312" w:eastAsia="仿宋_GB2312" w:cs="仿宋_GB2312"/>
          <w:b/>
          <w:bCs/>
          <w:i w:val="0"/>
          <w:iCs w:val="0"/>
          <w:caps w:val="0"/>
          <w:spacing w:val="0"/>
          <w:sz w:val="28"/>
          <w:szCs w:val="28"/>
          <w:lang w:eastAsia="zh-CN"/>
        </w:rPr>
        <w:t>商务响应文件：</w:t>
      </w:r>
      <w:r>
        <w:rPr>
          <w:rFonts w:hint="eastAsia" w:ascii="仿宋_GB2312" w:hAnsi="仿宋_GB2312" w:eastAsia="仿宋_GB2312" w:cs="仿宋_GB2312"/>
          <w:b w:val="0"/>
          <w:bCs w:val="0"/>
          <w:sz w:val="28"/>
          <w:szCs w:val="28"/>
          <w:lang w:val="en-US" w:eastAsia="zh-CN"/>
        </w:rPr>
        <w:t>商务响应文件内容为企业营业执照副本（复印件）、法定代表身份证明、法定代表人授权书、被授权人身份证明、质量保证、服务承诺材料等，响应格式自拟。</w:t>
      </w:r>
    </w:p>
    <w:p w14:paraId="64644D1D">
      <w:pPr>
        <w:pStyle w:val="6"/>
        <w:keepNext w:val="0"/>
        <w:keepLines w:val="0"/>
        <w:pageBreakBefore w:val="0"/>
        <w:widowControl/>
        <w:suppressLineNumbers w:val="0"/>
        <w:kinsoku/>
        <w:wordWrap/>
        <w:topLinePunct w:val="0"/>
        <w:autoSpaceDE/>
        <w:autoSpaceDN/>
        <w:bidi w:val="0"/>
        <w:adjustRightInd/>
        <w:snapToGrid/>
        <w:spacing w:before="0" w:beforeAutospacing="0" w:after="0" w:afterAutospacing="0"/>
        <w:ind w:left="0" w:right="0" w:firstLine="562" w:firstLineChars="200"/>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bCs/>
          <w:color w:val="auto"/>
          <w:sz w:val="28"/>
          <w:szCs w:val="28"/>
          <w:lang w:val="en-US" w:eastAsia="zh-CN"/>
        </w:rPr>
        <w:t>3、技术</w:t>
      </w:r>
      <w:r>
        <w:rPr>
          <w:rFonts w:hint="eastAsia" w:ascii="仿宋_GB2312" w:hAnsi="仿宋_GB2312" w:eastAsia="仿宋_GB2312" w:cs="仿宋_GB2312"/>
          <w:b/>
          <w:bCs/>
          <w:i w:val="0"/>
          <w:iCs w:val="0"/>
          <w:caps w:val="0"/>
          <w:spacing w:val="0"/>
          <w:sz w:val="28"/>
          <w:szCs w:val="28"/>
          <w:lang w:eastAsia="zh-CN"/>
        </w:rPr>
        <w:t>响应文件</w:t>
      </w:r>
      <w:r>
        <w:rPr>
          <w:rFonts w:hint="eastAsia" w:ascii="仿宋_GB2312" w:hAnsi="仿宋_GB2312" w:eastAsia="仿宋_GB2312" w:cs="仿宋_GB2312"/>
          <w:b w:val="0"/>
          <w:bCs w:val="0"/>
          <w:color w:val="auto"/>
          <w:sz w:val="28"/>
          <w:szCs w:val="28"/>
          <w:lang w:val="en-US" w:eastAsia="zh-CN"/>
        </w:rPr>
        <w:t>：技术要求详见《</w:t>
      </w:r>
      <w:r>
        <w:t>新电力集团昭平供电公司本部技术业务用房项目地质灾害评估技术服务零星采购项目技术规范书</w:t>
      </w:r>
      <w:r>
        <w:rPr>
          <w:rFonts w:hint="eastAsia" w:ascii="仿宋_GB2312" w:hAnsi="仿宋_GB2312" w:eastAsia="仿宋_GB2312" w:cs="仿宋_GB2312"/>
          <w:b w:val="0"/>
          <w:bCs w:val="0"/>
          <w:color w:val="auto"/>
          <w:sz w:val="28"/>
          <w:szCs w:val="28"/>
          <w:lang w:val="en-US" w:eastAsia="zh-CN"/>
        </w:rPr>
        <w:t>》</w:t>
      </w:r>
      <w:r>
        <w:rPr>
          <w:rFonts w:hint="eastAsia" w:ascii="仿宋_GB2312" w:hAnsi="仿宋_GB2312" w:eastAsia="仿宋_GB2312" w:cs="仿宋_GB2312"/>
          <w:b w:val="0"/>
          <w:bCs w:val="0"/>
          <w:sz w:val="28"/>
          <w:szCs w:val="28"/>
          <w:lang w:val="en-US" w:eastAsia="zh-CN"/>
        </w:rPr>
        <w:t>，响应格式自拟。</w:t>
      </w:r>
    </w:p>
    <w:p w14:paraId="596BEE8F">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562" w:firstLineChars="200"/>
        <w:textAlignment w:val="auto"/>
        <w:outlineLvl w:val="9"/>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四、报价要求及结算方式</w:t>
      </w:r>
    </w:p>
    <w:p w14:paraId="1FC96F34">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1、报价等于或小于项目最高限价金额为有效报价。</w:t>
      </w:r>
    </w:p>
    <w:p w14:paraId="72D3FEA7">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2、报价有效期：90天。</w:t>
      </w:r>
    </w:p>
    <w:p w14:paraId="3B737F92">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3、确定成交方后3天内发出成交通知书。</w:t>
      </w:r>
    </w:p>
    <w:p w14:paraId="26DBB6AF">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4、结算方式：编制完整的《地质灾害危险性评估报告》及配套图件、调查表、影像资料等全套成果；配合完成专家评审，按评审意见无偿修改完善报告；全程配合主管部门答疑、补件、核查，直至项目备案完成，并提交完整纸质版、电子版成果资料后60个工作日，向乙方一次性支付至报酬的100%。</w:t>
      </w:r>
    </w:p>
    <w:p w14:paraId="0EABE3AF">
      <w:pPr>
        <w:pStyle w:val="3"/>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562" w:firstLineChars="200"/>
        <w:jc w:val="left"/>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五、响应文件提供及签署要求</w:t>
      </w:r>
    </w:p>
    <w:p w14:paraId="4ACC17F6">
      <w:pPr>
        <w:pStyle w:val="4"/>
        <w:keepNext w:val="0"/>
        <w:keepLines w:val="0"/>
        <w:pageBreakBefore w:val="0"/>
        <w:widowControl w:val="0"/>
        <w:kinsoku/>
        <w:wordWrap/>
        <w:overflowPunct/>
        <w:topLinePunct w:val="0"/>
        <w:autoSpaceDE/>
        <w:autoSpaceDN/>
        <w:bidi w:val="0"/>
        <w:adjustRightInd/>
        <w:snapToGrid/>
        <w:spacing w:line="580" w:lineRule="exact"/>
        <w:ind w:firstLine="560" w:firstLineChars="200"/>
        <w:jc w:val="left"/>
        <w:textAlignment w:val="auto"/>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1、未提供报价表、商务响应文件、技术响应文件的作否决响应处理。</w:t>
      </w:r>
    </w:p>
    <w:p w14:paraId="66AD3119">
      <w:pPr>
        <w:pStyle w:val="4"/>
        <w:keepNext w:val="0"/>
        <w:keepLines w:val="0"/>
        <w:pageBreakBefore w:val="0"/>
        <w:widowControl w:val="0"/>
        <w:kinsoku/>
        <w:wordWrap/>
        <w:overflowPunct/>
        <w:topLinePunct w:val="0"/>
        <w:autoSpaceDE/>
        <w:autoSpaceDN/>
        <w:bidi w:val="0"/>
        <w:adjustRightInd/>
        <w:snapToGrid/>
        <w:spacing w:line="580" w:lineRule="exact"/>
        <w:ind w:firstLine="560" w:firstLineChars="200"/>
        <w:jc w:val="left"/>
        <w:textAlignment w:val="auto"/>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2、报价文件、技术响应文件须盖单位章（格式自拟），如无盖章的，作否决响应处理。</w:t>
      </w:r>
    </w:p>
    <w:p w14:paraId="2018F5B7">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六、中标原则</w:t>
      </w:r>
    </w:p>
    <w:p w14:paraId="08803B5E">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560" w:firstLineChars="200"/>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推荐满足要求且含税报价最低的作为成交供应商；报价相同的，按报价时间先后顺序推荐</w:t>
      </w:r>
      <w:r>
        <w:rPr>
          <w:rFonts w:hint="eastAsia" w:ascii="仿宋_GB2312" w:hAnsi="仿宋_GB2312" w:eastAsia="仿宋_GB2312" w:cs="仿宋_GB2312"/>
          <w:color w:val="auto"/>
          <w:kern w:val="2"/>
          <w:sz w:val="28"/>
          <w:szCs w:val="28"/>
          <w:highlight w:val="none"/>
          <w:lang w:val="en-US" w:eastAsia="zh-CN" w:bidi="ar-SA"/>
        </w:rPr>
        <w:t>成交供应商。</w:t>
      </w:r>
    </w:p>
    <w:p w14:paraId="1EF8CAF0">
      <w:pPr>
        <w:pStyle w:val="3"/>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562" w:firstLineChars="200"/>
        <w:jc w:val="both"/>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bCs/>
          <w:sz w:val="28"/>
          <w:szCs w:val="28"/>
          <w:lang w:val="en-US" w:eastAsia="zh-CN"/>
        </w:rPr>
        <w:t>联系方式：</w:t>
      </w:r>
      <w:r>
        <w:rPr>
          <w:rFonts w:hint="eastAsia" w:ascii="仿宋_GB2312" w:hAnsi="仿宋_GB2312" w:eastAsia="仿宋_GB2312" w:cs="仿宋_GB2312"/>
          <w:b w:val="0"/>
          <w:bCs w:val="0"/>
          <w:sz w:val="28"/>
          <w:szCs w:val="28"/>
          <w:lang w:val="en-US" w:eastAsia="zh-CN"/>
        </w:rPr>
        <w:t>吕海深   电话：0774-5616057</w:t>
      </w:r>
    </w:p>
    <w:p w14:paraId="1B72B199">
      <w:pPr>
        <w:pStyle w:val="3"/>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3640" w:firstLineChars="1300"/>
        <w:jc w:val="both"/>
        <w:textAlignment w:val="auto"/>
        <w:rPr>
          <w:rFonts w:hint="eastAsia" w:ascii="仿宋_GB2312" w:hAnsi="仿宋_GB2312" w:eastAsia="仿宋_GB2312" w:cs="仿宋_GB2312"/>
          <w:b w:val="0"/>
          <w:bCs w:val="0"/>
          <w:sz w:val="28"/>
          <w:szCs w:val="28"/>
          <w:lang w:val="en-US" w:eastAsia="zh-CN"/>
        </w:rPr>
      </w:pPr>
    </w:p>
    <w:p w14:paraId="1ECB3507">
      <w:pPr>
        <w:pStyle w:val="3"/>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3640" w:firstLineChars="1300"/>
        <w:jc w:val="both"/>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贺州供电局建设管理部</w:t>
      </w:r>
    </w:p>
    <w:p w14:paraId="39D0A686">
      <w:pPr>
        <w:pStyle w:val="3"/>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3920" w:firstLineChars="1400"/>
        <w:jc w:val="both"/>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（项目管理中心）</w:t>
      </w:r>
    </w:p>
    <w:p w14:paraId="7F335283">
      <w:pPr>
        <w:pStyle w:val="4"/>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 xml:space="preserve">                   2026年10月08日</w:t>
      </w:r>
    </w:p>
    <w:sectPr>
      <w:pgSz w:w="11906" w:h="16838"/>
      <w:pgMar w:top="1440" w:right="1803" w:bottom="1440"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1"/>
    <w:family w:val="auto"/>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1C5471"/>
    <w:rsid w:val="00786A5E"/>
    <w:rsid w:val="033B0373"/>
    <w:rsid w:val="05F36645"/>
    <w:rsid w:val="078C4434"/>
    <w:rsid w:val="07D70B43"/>
    <w:rsid w:val="08294BF2"/>
    <w:rsid w:val="090817E5"/>
    <w:rsid w:val="0A6854E5"/>
    <w:rsid w:val="0D7444D4"/>
    <w:rsid w:val="0E584AF7"/>
    <w:rsid w:val="0F680C0A"/>
    <w:rsid w:val="110A18CA"/>
    <w:rsid w:val="114A5C90"/>
    <w:rsid w:val="15EC0B13"/>
    <w:rsid w:val="16061518"/>
    <w:rsid w:val="16660579"/>
    <w:rsid w:val="16C64CDF"/>
    <w:rsid w:val="17EE32B7"/>
    <w:rsid w:val="18147EBD"/>
    <w:rsid w:val="19B008CA"/>
    <w:rsid w:val="1BB03B81"/>
    <w:rsid w:val="1C1C5471"/>
    <w:rsid w:val="205B64A1"/>
    <w:rsid w:val="217201A4"/>
    <w:rsid w:val="223B335B"/>
    <w:rsid w:val="22A70261"/>
    <w:rsid w:val="22DE4E8F"/>
    <w:rsid w:val="230B288A"/>
    <w:rsid w:val="23F04A84"/>
    <w:rsid w:val="25250E4A"/>
    <w:rsid w:val="253D65C6"/>
    <w:rsid w:val="289015F8"/>
    <w:rsid w:val="29B84B1C"/>
    <w:rsid w:val="2A326B89"/>
    <w:rsid w:val="2CEB45D3"/>
    <w:rsid w:val="2FFD4166"/>
    <w:rsid w:val="30130075"/>
    <w:rsid w:val="318178A1"/>
    <w:rsid w:val="32EB4A9A"/>
    <w:rsid w:val="35B25AC7"/>
    <w:rsid w:val="37C47D4F"/>
    <w:rsid w:val="38EB64AE"/>
    <w:rsid w:val="39BA1DAD"/>
    <w:rsid w:val="3C3C0C29"/>
    <w:rsid w:val="3E09538B"/>
    <w:rsid w:val="3EAF9985"/>
    <w:rsid w:val="448C4E25"/>
    <w:rsid w:val="491174AD"/>
    <w:rsid w:val="49940B26"/>
    <w:rsid w:val="4A04384D"/>
    <w:rsid w:val="4C403398"/>
    <w:rsid w:val="50AF7019"/>
    <w:rsid w:val="52147498"/>
    <w:rsid w:val="56AD4D9D"/>
    <w:rsid w:val="56D52DB1"/>
    <w:rsid w:val="57D149C7"/>
    <w:rsid w:val="5AB807E4"/>
    <w:rsid w:val="5AF9281A"/>
    <w:rsid w:val="5B6E4FED"/>
    <w:rsid w:val="5C977119"/>
    <w:rsid w:val="5E1A6F35"/>
    <w:rsid w:val="60DE2ED4"/>
    <w:rsid w:val="60F43C20"/>
    <w:rsid w:val="612B56BE"/>
    <w:rsid w:val="615D7FE7"/>
    <w:rsid w:val="62251C7F"/>
    <w:rsid w:val="62DE3D1E"/>
    <w:rsid w:val="63B4163B"/>
    <w:rsid w:val="6A62329A"/>
    <w:rsid w:val="6ACD59B9"/>
    <w:rsid w:val="6AE2787F"/>
    <w:rsid w:val="6D650FF1"/>
    <w:rsid w:val="6F994CE1"/>
    <w:rsid w:val="70DF3982"/>
    <w:rsid w:val="71097529"/>
    <w:rsid w:val="72F07F6D"/>
    <w:rsid w:val="73362DE5"/>
    <w:rsid w:val="73DB5234"/>
    <w:rsid w:val="758C7A19"/>
    <w:rsid w:val="78ED7D37"/>
    <w:rsid w:val="7C7D0582"/>
    <w:rsid w:val="7FEF7642"/>
    <w:rsid w:val="8EF98B89"/>
    <w:rsid w:val="BB65C759"/>
    <w:rsid w:val="F4F1AE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Body Text"/>
    <w:basedOn w:val="4"/>
    <w:next w:val="4"/>
    <w:unhideWhenUsed/>
    <w:qFormat/>
    <w:uiPriority w:val="99"/>
    <w:pPr>
      <w:spacing w:after="120" w:afterLines="0"/>
    </w:pPr>
  </w:style>
  <w:style w:type="paragraph" w:styleId="4">
    <w:name w:val="Title"/>
    <w:basedOn w:val="1"/>
    <w:next w:val="1"/>
    <w:qFormat/>
    <w:uiPriority w:val="10"/>
    <w:pPr>
      <w:spacing w:before="240" w:after="60"/>
      <w:jc w:val="center"/>
      <w:outlineLvl w:val="0"/>
    </w:pPr>
    <w:rPr>
      <w:rFonts w:ascii="Arial" w:hAnsi="Arial"/>
      <w:b/>
      <w:bCs/>
      <w:sz w:val="32"/>
      <w:szCs w:val="32"/>
    </w:rPr>
  </w:style>
  <w:style w:type="paragraph" w:styleId="5">
    <w:name w:val="Body Text Indent"/>
    <w:basedOn w:val="1"/>
    <w:qFormat/>
    <w:uiPriority w:val="0"/>
    <w:pPr>
      <w:adjustRightInd w:val="0"/>
      <w:snapToGrid w:val="0"/>
      <w:spacing w:line="360" w:lineRule="auto"/>
      <w:ind w:firstLine="540" w:firstLineChars="180"/>
    </w:pPr>
    <w:rPr>
      <w:rFonts w:ascii="宋体" w:hAnsi="宋体"/>
      <w:sz w:val="30"/>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Hyperlink"/>
    <w:basedOn w:val="9"/>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20</TotalTime>
  <ScaleCrop>false</ScaleCrop>
  <LinksUpToDate>false</LinksUpToDate>
  <CharactersWithSpaces>0</CharactersWithSpaces>
  <Application>WPS Office_12.1.2.22550_F1E327BC-269C-435d-A152-05C5408002CA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2020-07-29T08:44:00Z</dcterms:created>
  <dc:creator>梁兆庭</dc:creator>
  <cp:lastModifiedBy>HZPCLV-HS</cp:lastModifiedBy>
  <dcterms:modified xsi:type="dcterms:W3CDTF">2026-10-09T09:18:06Z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2052-12.1.2.22550</vt:lpwstr>
  </property>
  <property fmtid="{D5CDD505-2E9C-101B-9397-08002B2CF9AE}" pid="3" name="ICV">
    <vt:lpwstr>6E9EEF485D2045A790B9A7DE654A8F1F</vt:lpwstr>
  </property>
</Properties>
</file>