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keepLines/>
        <w:pageBreakBefore w:val="0"/>
        <w:widowControl w:val="0"/>
        <w:shd w:val="clear"/>
        <w:kinsoku/>
        <w:wordWrap/>
        <w:overflowPunct/>
        <w:topLinePunct w:val="0"/>
        <w:autoSpaceDE/>
        <w:autoSpaceDN/>
        <w:bidi w:val="0"/>
        <w:adjustRightInd/>
        <w:snapToGrid/>
        <w:spacing w:before="0" w:beforeLines="0" w:after="0" w:afterLines="0" w:line="560" w:lineRule="exact"/>
        <w:jc w:val="center"/>
        <w:textAlignment w:val="auto"/>
        <w:rPr>
          <w:rFonts w:hint="eastAsia" w:ascii="方正小标宋_GBK" w:hAnsi="方正小标宋_GBK" w:eastAsia="方正小标宋_GBK" w:cs="方正小标宋_GBK"/>
          <w:b w:val="0"/>
          <w:bCs w:val="0"/>
          <w:sz w:val="44"/>
          <w:szCs w:val="44"/>
          <w:lang w:val="en-US" w:eastAsia="zh-CN"/>
        </w:rPr>
      </w:pPr>
      <w:bookmarkStart w:id="0" w:name="_Hlk77898732"/>
      <w:bookmarkEnd w:id="0"/>
      <w:r>
        <w:rPr>
          <w:rFonts w:hint="eastAsia" w:ascii="方正小标宋_GBK" w:hAnsi="方正小标宋_GBK" w:eastAsia="方正小标宋_GBK" w:cs="方正小标宋_GBK"/>
          <w:b w:val="0"/>
          <w:bCs w:val="0"/>
          <w:sz w:val="44"/>
          <w:szCs w:val="44"/>
          <w:lang w:val="en-US" w:eastAsia="zh-CN"/>
        </w:rPr>
        <w:t>南方电网绿能科技（广东）有限公司2026年输电地线全张力智能修补装备原材料购置及代加工零星采购项目技术规范书</w:t>
      </w:r>
    </w:p>
    <w:p>
      <w:pPr>
        <w:pStyle w:val="2"/>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1.采购范围</w:t>
      </w:r>
    </w:p>
    <w:p>
      <w:pPr>
        <w:pStyle w:val="6"/>
        <w:pageBreakBefore w:val="0"/>
        <w:widowControl w:val="0"/>
        <w:kinsoku/>
        <w:wordWrap/>
        <w:overflowPunct/>
        <w:topLinePunct w:val="0"/>
        <w:autoSpaceDE/>
        <w:autoSpaceDN/>
        <w:bidi w:val="0"/>
        <w:adjustRightInd/>
        <w:snapToGrid/>
        <w:spacing w:after="0" w:afterLines="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南方电网绿能科技（广东）有限公司为采购方，报价方为采购方提供输电地线全张力智能修补装备原材料购置及代加工服务。采购方、报价方双方签订服务合同，服务期自合同签订起满一年，项目按照报价单的方式报价。</w:t>
      </w:r>
    </w:p>
    <w:p>
      <w:pPr>
        <w:pStyle w:val="2"/>
        <w:keepNext/>
        <w:keepLines/>
        <w:pageBreakBefore w:val="0"/>
        <w:widowControl w:val="0"/>
        <w:numPr>
          <w:ilvl w:val="0"/>
          <w:numId w:val="0"/>
        </w:numPr>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2.服务内容及要求</w:t>
      </w:r>
    </w:p>
    <w:p>
      <w:pPr>
        <w:pStyle w:val="3"/>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2.1服务内容</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采购方委托报甲方提供的服务内容、数量如下：</w:t>
      </w:r>
    </w:p>
    <w:tbl>
      <w:tblPr>
        <w:tblStyle w:val="11"/>
        <w:tblpPr w:leftFromText="180" w:rightFromText="180" w:vertAnchor="text" w:horzAnchor="page" w:tblpX="1274" w:tblpY="225"/>
        <w:tblOverlap w:val="never"/>
        <w:tblW w:w="530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15" w:type="dxa"/>
          <w:left w:w="15" w:type="dxa"/>
          <w:bottom w:w="15" w:type="dxa"/>
          <w:right w:w="15" w:type="dxa"/>
        </w:tblCellMar>
      </w:tblPr>
      <w:tblGrid>
        <w:gridCol w:w="600"/>
        <w:gridCol w:w="1050"/>
        <w:gridCol w:w="1935"/>
        <w:gridCol w:w="600"/>
        <w:gridCol w:w="540"/>
        <w:gridCol w:w="870"/>
        <w:gridCol w:w="885"/>
        <w:gridCol w:w="915"/>
        <w:gridCol w:w="14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PrEx>
        <w:trPr>
          <w:trHeight w:val="995" w:hRule="atLeast"/>
        </w:trPr>
        <w:tc>
          <w:tcPr>
            <w:tcW w:w="932"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项目名称</w:t>
            </w:r>
          </w:p>
        </w:tc>
        <w:tc>
          <w:tcPr>
            <w:tcW w:w="4067" w:type="pct"/>
            <w:gridSpan w:val="7"/>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南网绿能科技（广东）有限公司2026年</w:t>
            </w:r>
            <w:r>
              <w:rPr>
                <w:rFonts w:hint="eastAsia" w:cs="Times New Roman"/>
                <w:color w:val="000000"/>
                <w:kern w:val="0"/>
                <w:sz w:val="21"/>
                <w:szCs w:val="21"/>
                <w:lang w:val="en-US" w:eastAsia="zh-CN"/>
              </w:rPr>
              <w:t>输电地线全张力智能修补装备</w:t>
            </w:r>
            <w:r>
              <w:rPr>
                <w:rFonts w:hint="eastAsia" w:ascii="宋体" w:hAnsi="宋体"/>
                <w:color w:val="auto"/>
                <w:sz w:val="21"/>
                <w:szCs w:val="21"/>
                <w:highlight w:val="none"/>
                <w:lang w:val="en-US" w:eastAsia="zh-CN"/>
              </w:rPr>
              <w:t>原材料购置及代加工零星采购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rHeight w:val="513" w:hRule="atLeast"/>
        </w:trPr>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序号</w:t>
            </w:r>
          </w:p>
        </w:tc>
        <w:tc>
          <w:tcPr>
            <w:tcW w:w="5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sz w:val="21"/>
                <w:szCs w:val="21"/>
                <w:highlight w:val="none"/>
                <w:u w:val="none"/>
                <w:lang w:val="en-US"/>
              </w:rPr>
            </w:pPr>
            <w:r>
              <w:rPr>
                <w:rFonts w:hint="eastAsia" w:ascii="宋体" w:hAnsi="宋体" w:eastAsia="宋体" w:cs="宋体"/>
                <w:i w:val="0"/>
                <w:color w:val="000000"/>
                <w:kern w:val="0"/>
                <w:sz w:val="21"/>
                <w:szCs w:val="21"/>
                <w:highlight w:val="none"/>
                <w:u w:val="none"/>
                <w:lang w:val="en-US" w:eastAsia="zh-CN" w:bidi="ar"/>
              </w:rPr>
              <w:t>明细</w:t>
            </w:r>
          </w:p>
        </w:tc>
        <w:tc>
          <w:tcPr>
            <w:tcW w:w="10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规格型号</w:t>
            </w:r>
          </w:p>
        </w:tc>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tabs>
                <w:tab w:val="left" w:pos="407"/>
              </w:tabs>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单位</w:t>
            </w:r>
          </w:p>
        </w:tc>
        <w:tc>
          <w:tcPr>
            <w:tcW w:w="30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数量</w:t>
            </w:r>
          </w:p>
        </w:tc>
        <w:tc>
          <w:tcPr>
            <w:tcW w:w="49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单价限价</w:t>
            </w:r>
          </w:p>
        </w:tc>
        <w:tc>
          <w:tcPr>
            <w:tcW w:w="50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单价报价</w:t>
            </w:r>
          </w:p>
        </w:tc>
        <w:tc>
          <w:tcPr>
            <w:tcW w:w="5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lang w:val="en-US" w:eastAsia="zh-CN"/>
              </w:rPr>
              <w:t>金额小计</w:t>
            </w:r>
          </w:p>
        </w:tc>
        <w:tc>
          <w:tcPr>
            <w:tcW w:w="82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1</w:t>
            </w:r>
          </w:p>
        </w:tc>
        <w:tc>
          <w:tcPr>
            <w:tcW w:w="5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r>
              <w:rPr>
                <w:rFonts w:hint="eastAsia" w:ascii="CESI_SS_GB18030" w:hAnsi="CESI_SS_GB18030" w:eastAsia="CESI_SS_GB18030" w:cs="CESI_SS_GB18030"/>
                <w:color w:val="auto"/>
                <w:sz w:val="21"/>
                <w:szCs w:val="21"/>
                <w:highlight w:val="none"/>
                <w:lang w:val="en-US" w:eastAsia="zh-CN"/>
              </w:rPr>
              <w:t>原材料和零部件采购及加工服务</w:t>
            </w:r>
          </w:p>
        </w:tc>
        <w:tc>
          <w:tcPr>
            <w:tcW w:w="10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按照技术说明书中参数、功能等要求开展</w:t>
            </w:r>
            <w:r>
              <w:rPr>
                <w:rFonts w:hint="eastAsia" w:ascii="宋体" w:hAnsi="宋体" w:cs="宋体"/>
                <w:color w:val="auto"/>
                <w:sz w:val="21"/>
                <w:szCs w:val="21"/>
                <w:highlight w:val="none"/>
                <w:lang w:val="en-US" w:eastAsia="zh-CN"/>
              </w:rPr>
              <w:t>输电地线全张力智能修补装备</w:t>
            </w:r>
            <w:r>
              <w:rPr>
                <w:rFonts w:hint="eastAsia" w:ascii="宋体" w:hAnsi="宋体" w:eastAsia="宋体" w:cs="宋体"/>
                <w:color w:val="auto"/>
                <w:sz w:val="21"/>
                <w:szCs w:val="21"/>
                <w:highlight w:val="none"/>
                <w:lang w:val="en-US" w:eastAsia="zh-CN"/>
              </w:rPr>
              <w:t>相关原材料及零部件的采购与加工</w:t>
            </w:r>
          </w:p>
        </w:tc>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r>
              <w:rPr>
                <w:rFonts w:hint="eastAsia" w:ascii="宋体" w:hAnsi="宋体" w:cs="宋体"/>
                <w:color w:val="auto"/>
                <w:sz w:val="21"/>
                <w:szCs w:val="21"/>
                <w:highlight w:val="none"/>
                <w:lang w:val="en-US" w:eastAsia="zh-CN"/>
              </w:rPr>
              <w:t>套</w:t>
            </w:r>
          </w:p>
        </w:tc>
        <w:tc>
          <w:tcPr>
            <w:tcW w:w="30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r>
              <w:rPr>
                <w:rFonts w:hint="eastAsia" w:ascii="宋体" w:hAnsi="宋体" w:eastAsia="宋体" w:cs="宋体"/>
                <w:i w:val="0"/>
                <w:color w:val="000000"/>
                <w:sz w:val="21"/>
                <w:szCs w:val="21"/>
                <w:highlight w:val="none"/>
                <w:u w:val="none"/>
                <w:lang w:val="en-US" w:eastAsia="zh-CN"/>
              </w:rPr>
              <w:t>1</w:t>
            </w:r>
          </w:p>
        </w:tc>
        <w:tc>
          <w:tcPr>
            <w:tcW w:w="49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sz w:val="21"/>
                <w:szCs w:val="21"/>
                <w:highlight w:val="none"/>
                <w:u w:val="none"/>
                <w:lang w:val="en-US" w:eastAsia="zh-CN"/>
              </w:rPr>
            </w:pPr>
            <w:r>
              <w:rPr>
                <w:rFonts w:hint="eastAsia" w:ascii="宋体" w:hAnsi="宋体" w:cs="宋体"/>
                <w:i w:val="0"/>
                <w:color w:val="000000"/>
                <w:kern w:val="2"/>
                <w:sz w:val="21"/>
                <w:szCs w:val="21"/>
                <w:highlight w:val="none"/>
                <w:u w:val="none"/>
                <w:lang w:val="en-US" w:eastAsia="zh-CN" w:bidi="ar-SA"/>
              </w:rPr>
              <w:t>30000</w:t>
            </w:r>
          </w:p>
        </w:tc>
        <w:tc>
          <w:tcPr>
            <w:tcW w:w="50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p>
        </w:tc>
        <w:tc>
          <w:tcPr>
            <w:tcW w:w="5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default" w:cs="Times New Roman"/>
                <w:sz w:val="21"/>
                <w:szCs w:val="21"/>
                <w:highlight w:val="none"/>
                <w:lang w:val="en-US" w:eastAsia="zh-CN"/>
              </w:rPr>
            </w:pPr>
          </w:p>
        </w:tc>
        <w:tc>
          <w:tcPr>
            <w:tcW w:w="82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default" w:cs="Times New Roman"/>
                <w:sz w:val="21"/>
                <w:szCs w:val="21"/>
                <w:highlight w:val="none"/>
                <w:lang w:val="en-US" w:eastAsia="zh-CN"/>
              </w:rPr>
            </w:pPr>
            <w:r>
              <w:rPr>
                <w:rFonts w:hint="eastAsia" w:ascii="宋体" w:hAnsi="宋体" w:eastAsia="宋体" w:cs="宋体"/>
                <w:color w:val="auto"/>
                <w:sz w:val="21"/>
                <w:szCs w:val="21"/>
                <w:highlight w:val="none"/>
                <w:lang w:val="en-US" w:eastAsia="zh-CN"/>
              </w:rPr>
              <w:t>按照业主方项目需求采购原材料和部件；并参与</w:t>
            </w:r>
            <w:r>
              <w:rPr>
                <w:rFonts w:hint="eastAsia" w:ascii="宋体" w:hAnsi="宋体"/>
                <w:color w:val="auto"/>
                <w:sz w:val="21"/>
                <w:szCs w:val="21"/>
                <w:highlight w:val="none"/>
                <w:lang w:val="en-US" w:eastAsia="zh-CN"/>
              </w:rPr>
              <w:t>项目原材料及零部件的加工。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85" w:hRule="atLeast"/>
        </w:trPr>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2</w:t>
            </w:r>
          </w:p>
        </w:tc>
        <w:tc>
          <w:tcPr>
            <w:tcW w:w="5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after="0" w:line="240" w:lineRule="auto"/>
              <w:jc w:val="center"/>
              <w:rPr>
                <w:rFonts w:hint="default" w:ascii="Calibri" w:hAnsi="Calibri" w:cs="Times New Roman"/>
                <w:sz w:val="21"/>
                <w:szCs w:val="21"/>
                <w:highlight w:val="none"/>
                <w:lang w:val="en-US" w:eastAsia="zh-CN"/>
              </w:rPr>
            </w:pPr>
            <w:r>
              <w:rPr>
                <w:rFonts w:hint="eastAsia" w:ascii="CESI_SS_GB18030" w:hAnsi="CESI_SS_GB18030" w:eastAsia="CESI_SS_GB18030" w:cs="CESI_SS_GB18030"/>
                <w:color w:val="auto"/>
                <w:sz w:val="21"/>
                <w:szCs w:val="21"/>
                <w:highlight w:val="none"/>
                <w:lang w:val="en-US" w:eastAsia="zh-CN"/>
              </w:rPr>
              <w:t>整机安装、调试服务</w:t>
            </w:r>
          </w:p>
        </w:tc>
        <w:tc>
          <w:tcPr>
            <w:tcW w:w="10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240"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输电地线全张力智能修补装备</w:t>
            </w:r>
            <w:r>
              <w:rPr>
                <w:rFonts w:hint="eastAsia" w:ascii="CESI_SS_GB18030" w:hAnsi="CESI_SS_GB18030" w:eastAsia="CESI_SS_GB18030" w:cs="CESI_SS_GB18030"/>
                <w:color w:val="auto"/>
                <w:sz w:val="21"/>
                <w:szCs w:val="21"/>
                <w:highlight w:val="none"/>
                <w:lang w:val="en-US" w:eastAsia="zh-CN"/>
              </w:rPr>
              <w:t>整机安装、调试</w:t>
            </w:r>
            <w:r>
              <w:rPr>
                <w:rFonts w:hint="eastAsia" w:ascii="宋体" w:hAnsi="宋体"/>
                <w:color w:val="auto"/>
                <w:sz w:val="21"/>
                <w:szCs w:val="21"/>
                <w:highlight w:val="none"/>
                <w:lang w:val="en-US" w:eastAsia="zh-CN"/>
              </w:rPr>
              <w:t>，交付改进后样机1台</w:t>
            </w:r>
          </w:p>
        </w:tc>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台</w:t>
            </w:r>
          </w:p>
        </w:tc>
        <w:tc>
          <w:tcPr>
            <w:tcW w:w="30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1</w:t>
            </w:r>
          </w:p>
        </w:tc>
        <w:tc>
          <w:tcPr>
            <w:tcW w:w="49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r>
              <w:rPr>
                <w:rFonts w:hint="eastAsia" w:ascii="宋体" w:hAnsi="宋体" w:cs="宋体"/>
                <w:i w:val="0"/>
                <w:color w:val="000000"/>
                <w:kern w:val="2"/>
                <w:sz w:val="21"/>
                <w:szCs w:val="21"/>
                <w:highlight w:val="none"/>
                <w:u w:val="none"/>
                <w:lang w:val="en-US" w:eastAsia="zh-CN" w:bidi="ar-SA"/>
              </w:rPr>
              <w:t>11000</w:t>
            </w:r>
          </w:p>
        </w:tc>
        <w:tc>
          <w:tcPr>
            <w:tcW w:w="50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p>
        </w:tc>
        <w:tc>
          <w:tcPr>
            <w:tcW w:w="5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default" w:cs="Times New Roman"/>
                <w:sz w:val="21"/>
                <w:szCs w:val="21"/>
                <w:highlight w:val="none"/>
                <w:lang w:val="en-US" w:eastAsia="zh-CN"/>
              </w:rPr>
            </w:pPr>
          </w:p>
        </w:tc>
        <w:tc>
          <w:tcPr>
            <w:tcW w:w="82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sz w:val="21"/>
                <w:szCs w:val="21"/>
                <w:highlight w:val="none"/>
              </w:rPr>
            </w:pPr>
            <w:r>
              <w:rPr>
                <w:rFonts w:hint="eastAsia" w:ascii="宋体" w:hAnsi="宋体"/>
                <w:color w:val="auto"/>
                <w:sz w:val="21"/>
                <w:szCs w:val="21"/>
                <w:highlight w:val="none"/>
                <w:lang w:val="en-US" w:eastAsia="zh-CN"/>
              </w:rPr>
              <w:t>协助配合业主方整机安装、调试、现场试用；交付功能齐全、稳定运行的成套装置。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421" w:hRule="atLeast"/>
        </w:trPr>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i w:val="0"/>
                <w:color w:val="000000"/>
                <w:kern w:val="2"/>
                <w:sz w:val="21"/>
                <w:szCs w:val="21"/>
                <w:highlight w:val="none"/>
                <w:u w:val="none"/>
                <w:lang w:val="en-US" w:eastAsia="zh-CN" w:bidi="ar-SA"/>
              </w:rPr>
            </w:pPr>
            <w:r>
              <w:rPr>
                <w:rFonts w:hint="eastAsia" w:ascii="宋体" w:hAnsi="宋体" w:eastAsia="宋体" w:cs="宋体"/>
                <w:i w:val="0"/>
                <w:color w:val="000000"/>
                <w:sz w:val="21"/>
                <w:szCs w:val="21"/>
                <w:highlight w:val="none"/>
                <w:u w:val="none"/>
                <w:lang w:val="en-US" w:eastAsia="zh-CN"/>
              </w:rPr>
              <w:t>3</w:t>
            </w:r>
          </w:p>
        </w:tc>
        <w:tc>
          <w:tcPr>
            <w:tcW w:w="5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after="0" w:line="240" w:lineRule="auto"/>
              <w:jc w:val="center"/>
              <w:rPr>
                <w:rFonts w:hint="eastAsia" w:ascii="Calibri" w:hAnsi="Calibri" w:eastAsia="宋体" w:cs="Times New Roman"/>
                <w:kern w:val="2"/>
                <w:sz w:val="21"/>
                <w:szCs w:val="21"/>
                <w:highlight w:val="none"/>
                <w:lang w:val="en-US" w:eastAsia="zh-CN" w:bidi="ar-SA"/>
              </w:rPr>
            </w:pPr>
            <w:r>
              <w:rPr>
                <w:rFonts w:hint="eastAsia" w:ascii="Calibri" w:hAnsi="Calibri" w:cs="Times New Roman"/>
                <w:sz w:val="21"/>
                <w:szCs w:val="21"/>
                <w:highlight w:val="none"/>
                <w:lang w:val="en-US" w:eastAsia="zh-CN"/>
              </w:rPr>
              <w:t>第三方检测服务</w:t>
            </w:r>
          </w:p>
        </w:tc>
        <w:tc>
          <w:tcPr>
            <w:tcW w:w="10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after="0" w:line="240" w:lineRule="auto"/>
              <w:jc w:val="left"/>
              <w:rPr>
                <w:rFonts w:hint="eastAsia" w:ascii="Times New Roman" w:hAnsi="Times New Roman" w:eastAsia="宋体" w:cs="Times New Roman"/>
                <w:kern w:val="2"/>
                <w:sz w:val="21"/>
                <w:szCs w:val="21"/>
                <w:highlight w:val="none"/>
                <w:lang w:val="en-US" w:eastAsia="zh-CN" w:bidi="ar-SA"/>
              </w:rPr>
            </w:pPr>
            <w:r>
              <w:rPr>
                <w:rFonts w:hint="eastAsia" w:ascii="宋体" w:hAnsi="宋体"/>
                <w:color w:val="auto"/>
                <w:sz w:val="21"/>
                <w:szCs w:val="21"/>
                <w:highlight w:val="none"/>
                <w:lang w:val="en-US" w:eastAsia="zh-CN"/>
              </w:rPr>
              <w:t>提供输电地线全张力智能修补装备用于第三方测试，交付第三方检测报告1份。</w:t>
            </w:r>
          </w:p>
        </w:tc>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i w:val="0"/>
                <w:color w:val="000000"/>
                <w:kern w:val="2"/>
                <w:sz w:val="21"/>
                <w:szCs w:val="21"/>
                <w:highlight w:val="none"/>
                <w:u w:val="none"/>
                <w:lang w:val="en-US" w:eastAsia="zh-CN" w:bidi="ar-SA"/>
              </w:rPr>
            </w:pPr>
            <w:r>
              <w:rPr>
                <w:rFonts w:hint="eastAsia" w:ascii="宋体" w:hAnsi="宋体" w:eastAsia="宋体" w:cs="宋体"/>
                <w:color w:val="auto"/>
                <w:sz w:val="21"/>
                <w:szCs w:val="21"/>
                <w:highlight w:val="none"/>
                <w:lang w:val="en-US" w:eastAsia="zh-CN"/>
              </w:rPr>
              <w:t>次</w:t>
            </w:r>
          </w:p>
        </w:tc>
        <w:tc>
          <w:tcPr>
            <w:tcW w:w="30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r>
              <w:rPr>
                <w:rFonts w:hint="eastAsia" w:ascii="宋体" w:hAnsi="宋体" w:cs="宋体"/>
                <w:i w:val="0"/>
                <w:color w:val="000000"/>
                <w:sz w:val="21"/>
                <w:szCs w:val="21"/>
                <w:highlight w:val="none"/>
                <w:u w:val="none"/>
                <w:lang w:val="en-US" w:eastAsia="zh-CN"/>
              </w:rPr>
              <w:t>1</w:t>
            </w:r>
          </w:p>
        </w:tc>
        <w:tc>
          <w:tcPr>
            <w:tcW w:w="49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r>
              <w:rPr>
                <w:rFonts w:hint="eastAsia" w:ascii="宋体" w:hAnsi="宋体" w:cs="宋体"/>
                <w:i w:val="0"/>
                <w:color w:val="000000"/>
                <w:kern w:val="2"/>
                <w:sz w:val="21"/>
                <w:szCs w:val="21"/>
                <w:highlight w:val="none"/>
                <w:u w:val="none"/>
                <w:lang w:val="en-US" w:eastAsia="zh-CN" w:bidi="ar-SA"/>
              </w:rPr>
              <w:t>8000</w:t>
            </w:r>
          </w:p>
        </w:tc>
        <w:tc>
          <w:tcPr>
            <w:tcW w:w="50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p>
        </w:tc>
        <w:tc>
          <w:tcPr>
            <w:tcW w:w="5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default" w:ascii="Times New Roman" w:hAnsi="Times New Roman" w:eastAsia="宋体" w:cs="Times New Roman"/>
                <w:kern w:val="2"/>
                <w:sz w:val="21"/>
                <w:szCs w:val="21"/>
                <w:highlight w:val="none"/>
                <w:lang w:val="en-US" w:eastAsia="zh-CN" w:bidi="ar-SA"/>
              </w:rPr>
            </w:pPr>
          </w:p>
        </w:tc>
        <w:tc>
          <w:tcPr>
            <w:tcW w:w="82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Times New Roman" w:hAnsi="Times New Roman" w:eastAsia="宋体" w:cs="Times New Roman"/>
                <w:kern w:val="2"/>
                <w:sz w:val="21"/>
                <w:szCs w:val="21"/>
                <w:highlight w:val="none"/>
                <w:lang w:val="en-US" w:eastAsia="zh-CN" w:bidi="ar-SA"/>
              </w:rPr>
            </w:pPr>
            <w:r>
              <w:rPr>
                <w:rFonts w:hint="eastAsia" w:ascii="宋体" w:hAnsi="宋体"/>
                <w:color w:val="auto"/>
                <w:sz w:val="21"/>
                <w:szCs w:val="21"/>
                <w:highlight w:val="none"/>
                <w:lang w:val="en-US" w:eastAsia="zh-CN"/>
              </w:rPr>
              <w:t>提供第三方检验检测报告。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rHeight w:val="719" w:hRule="atLeast"/>
        </w:trPr>
        <w:tc>
          <w:tcPr>
            <w:tcW w:w="932"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ind w:firstLine="420" w:firstLineChars="200"/>
              <w:jc w:val="both"/>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合计</w:t>
            </w:r>
          </w:p>
        </w:tc>
        <w:tc>
          <w:tcPr>
            <w:tcW w:w="2228" w:type="pct"/>
            <w:gridSpan w:val="4"/>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tabs>
                <w:tab w:val="center" w:pos="1957"/>
              </w:tabs>
              <w:jc w:val="both"/>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大写：</w:t>
            </w:r>
            <w:r>
              <w:rPr>
                <w:rFonts w:hint="eastAsia" w:ascii="宋体" w:hAnsi="宋体" w:cs="宋体"/>
                <w:i w:val="0"/>
                <w:color w:val="000000"/>
                <w:sz w:val="21"/>
                <w:szCs w:val="21"/>
                <w:highlight w:val="none"/>
                <w:u w:val="single"/>
                <w:lang w:val="en-US" w:eastAsia="zh-CN"/>
              </w:rPr>
              <w:t xml:space="preserve">      </w:t>
            </w:r>
            <w:r>
              <w:rPr>
                <w:rFonts w:hint="eastAsia" w:ascii="宋体" w:hAnsi="宋体" w:cs="宋体"/>
                <w:i w:val="0"/>
                <w:color w:val="000000"/>
                <w:kern w:val="0"/>
                <w:sz w:val="21"/>
                <w:szCs w:val="21"/>
                <w:highlight w:val="none"/>
                <w:u w:val="none"/>
                <w:lang w:val="en-US" w:eastAsia="zh-CN" w:bidi="ar"/>
              </w:rPr>
              <w:t>元</w:t>
            </w:r>
          </w:p>
        </w:tc>
        <w:tc>
          <w:tcPr>
            <w:tcW w:w="1016"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default" w:ascii="宋体" w:hAnsi="宋体" w:eastAsia="宋体" w:cs="宋体"/>
                <w:i w:val="0"/>
                <w:color w:val="000000"/>
                <w:sz w:val="21"/>
                <w:szCs w:val="21"/>
                <w:highlight w:val="none"/>
                <w:u w:val="none"/>
                <w:lang w:val="en-US"/>
              </w:rPr>
            </w:pPr>
            <w:r>
              <w:rPr>
                <w:rFonts w:hint="eastAsia" w:ascii="宋体" w:hAnsi="宋体" w:eastAsia="宋体" w:cs="宋体"/>
                <w:i w:val="0"/>
                <w:color w:val="000000"/>
                <w:sz w:val="21"/>
                <w:szCs w:val="21"/>
                <w:highlight w:val="none"/>
                <w:u w:val="none"/>
                <w:lang w:val="en-US" w:eastAsia="zh-CN"/>
              </w:rPr>
              <w:t>小写：</w:t>
            </w:r>
            <w:r>
              <w:rPr>
                <w:rFonts w:hint="eastAsia" w:ascii="宋体" w:hAnsi="宋体" w:cs="宋体"/>
                <w:i w:val="0"/>
                <w:color w:val="000000"/>
                <w:sz w:val="21"/>
                <w:szCs w:val="21"/>
                <w:highlight w:val="none"/>
                <w:u w:val="single"/>
                <w:lang w:val="en-US" w:eastAsia="zh-CN"/>
              </w:rPr>
              <w:t xml:space="preserve">      </w:t>
            </w:r>
            <w:r>
              <w:rPr>
                <w:rFonts w:hint="eastAsia" w:ascii="宋体" w:hAnsi="宋体" w:cs="宋体"/>
                <w:i w:val="0"/>
                <w:color w:val="000000"/>
                <w:sz w:val="21"/>
                <w:szCs w:val="21"/>
                <w:highlight w:val="none"/>
                <w:u w:val="none"/>
                <w:lang w:val="en-US" w:eastAsia="zh-CN"/>
              </w:rPr>
              <w:t>元</w:t>
            </w:r>
          </w:p>
        </w:tc>
        <w:tc>
          <w:tcPr>
            <w:tcW w:w="82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宋体" w:hAnsi="宋体" w:eastAsia="宋体" w:cs="宋体"/>
                <w:i w:val="0"/>
                <w:color w:val="000000"/>
                <w:sz w:val="21"/>
                <w:szCs w:val="21"/>
                <w:highlight w:val="none"/>
                <w:u w:val="none"/>
              </w:rPr>
            </w:pPr>
          </w:p>
        </w:tc>
      </w:tr>
    </w:tbl>
    <w:p>
      <w:pPr>
        <w:pStyle w:val="3"/>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highlight w:val="none"/>
          <w:lang w:val="en-US" w:eastAsia="zh-CN"/>
        </w:rPr>
        <w:t>2.2服务相关要求</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报价方应按采购方对输电地线全张力智能修补装备的相关改进要求提供全套设计、加工、组装及样品试制方案，要求结合绿能科技公司的业务开展相关工作，后续要提供全套产品三维模型、二维工程图纸给采购方。样机需要在签订合同后60个自然日内完成交付。</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（2）报价方应提供输电地线全张力智能修补装备样衣用于整机第三方测试，承担第三方测试产生的所有费用，并交付第三方检测报告1份。</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（4）项目经验收通过后一次性结算与支付，项目结算总额不高于4.9万元。</w:t>
      </w:r>
    </w:p>
    <w:p>
      <w:pPr>
        <w:pStyle w:val="3"/>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bookmarkStart w:id="1" w:name="_Toc10945"/>
      <w:r>
        <w:rPr>
          <w:rFonts w:hint="eastAsia" w:ascii="仿宋_GB2312" w:hAnsi="仿宋_GB2312" w:eastAsia="仿宋_GB2312" w:cs="仿宋_GB2312"/>
          <w:sz w:val="32"/>
          <w:szCs w:val="32"/>
          <w:highlight w:val="none"/>
          <w:lang w:val="en-US" w:eastAsia="zh-CN"/>
        </w:rPr>
        <w:t>2.3安全保密要求</w:t>
      </w:r>
      <w:bookmarkEnd w:id="1"/>
    </w:p>
    <w:p>
      <w:pPr>
        <w:pStyle w:val="17"/>
        <w:numPr>
          <w:ilvl w:val="0"/>
          <w:numId w:val="0"/>
        </w:numPr>
        <w:ind w:leftChars="0" w:firstLine="640" w:firstLineChars="200"/>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（1）供方在服务期间，负有保护本项目的网络安全、信息安全和系统数据安全的义务和责任；负有保护所持有、接触的属于或涉及商业秘密的信息安全的义务和责任。</w:t>
      </w:r>
    </w:p>
    <w:p>
      <w:pPr>
        <w:pStyle w:val="17"/>
        <w:numPr>
          <w:ilvl w:val="0"/>
          <w:numId w:val="0"/>
        </w:numPr>
        <w:ind w:leftChars="0" w:firstLine="640" w:firstLineChars="200"/>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（2）无论何种原因导致合同解除或终止，本项目约定下的保密条款、保密内容及相关的违约责任的约定仍然生效。保密期限为签订合同之后至永久，保密范围为项目所涉及的任何资料。</w:t>
      </w:r>
    </w:p>
    <w:p>
      <w:pPr>
        <w:pStyle w:val="3"/>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bookmarkStart w:id="2" w:name="_Toc15278"/>
      <w:r>
        <w:rPr>
          <w:rFonts w:hint="eastAsia" w:ascii="仿宋_GB2312" w:hAnsi="仿宋_GB2312" w:eastAsia="仿宋_GB2312" w:cs="仿宋_GB2312"/>
          <w:sz w:val="32"/>
          <w:szCs w:val="32"/>
          <w:highlight w:val="none"/>
          <w:lang w:val="en-US" w:eastAsia="zh-CN"/>
        </w:rPr>
        <w:t>2.4项目验收要求</w:t>
      </w:r>
      <w:bookmarkEnd w:id="2"/>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default" w:ascii="仿宋_GB2312" w:hAnsi="仿宋_GB2312" w:eastAsia="仿宋_GB2312" w:cs="仿宋_GB2312"/>
          <w:sz w:val="32"/>
          <w:szCs w:val="32"/>
          <w:highlight w:val="none"/>
          <w:lang w:val="en-US" w:eastAsia="zh-CN"/>
        </w:rPr>
      </w:pPr>
      <w:bookmarkStart w:id="3" w:name="_Toc413948021"/>
      <w:bookmarkEnd w:id="3"/>
      <w:r>
        <w:rPr>
          <w:rFonts w:hint="eastAsia" w:ascii="仿宋_GB2312" w:hAnsi="仿宋_GB2312" w:eastAsia="仿宋_GB2312" w:cs="仿宋_GB2312"/>
          <w:sz w:val="32"/>
          <w:szCs w:val="32"/>
          <w:highlight w:val="none"/>
          <w:lang w:val="en-US" w:eastAsia="zh-CN"/>
        </w:rPr>
        <w:t>按需方的管理制度和要求进行到货验收。</w:t>
      </w:r>
    </w:p>
    <w:p>
      <w:pPr>
        <w:rPr>
          <w:rFonts w:hint="eastAsia"/>
          <w:lang w:val="en-US" w:eastAsia="zh-CN"/>
        </w:rPr>
      </w:pPr>
      <w:r>
        <w:rPr>
          <w:rFonts w:hint="eastAsia"/>
          <w:lang w:val="en-US" w:eastAsia="zh-CN"/>
        </w:rPr>
        <w:br w:type="page"/>
      </w:r>
    </w:p>
    <w:p>
      <w:pPr>
        <w:pStyle w:val="7"/>
        <w:jc w:val="both"/>
        <w:rPr>
          <w:rFonts w:hint="eastAsia" w:ascii="黑体" w:hAnsi="黑体" w:eastAsia="黑体" w:cs="黑体"/>
          <w:b w:val="0"/>
          <w:bCs/>
          <w:lang w:val="en-US" w:eastAsia="zh-CN"/>
        </w:rPr>
      </w:pPr>
      <w:r>
        <w:rPr>
          <w:rFonts w:hint="eastAsia" w:ascii="黑体" w:hAnsi="黑体" w:eastAsia="黑体" w:cs="黑体"/>
          <w:b w:val="0"/>
          <w:bCs/>
          <w:lang w:val="en-US" w:eastAsia="zh-CN"/>
        </w:rPr>
        <w:t>附件</w:t>
      </w:r>
    </w:p>
    <w:p>
      <w:pPr>
        <w:spacing w:after="80" w:line="288" w:lineRule="auto"/>
        <w:jc w:val="center"/>
        <w:rPr>
          <w:rFonts w:hint="eastAsia" w:eastAsia="黑体"/>
          <w:b/>
          <w:sz w:val="32"/>
          <w:lang w:eastAsia="zh-CN"/>
        </w:rPr>
      </w:pPr>
      <w:r>
        <w:rPr>
          <w:rFonts w:hint="eastAsia" w:eastAsia="黑体"/>
          <w:b/>
          <w:sz w:val="32"/>
          <w:lang w:eastAsia="zh-CN"/>
        </w:rPr>
        <w:t>南</w:t>
      </w:r>
      <w:r>
        <w:rPr>
          <w:rFonts w:hint="eastAsia" w:eastAsia="黑体"/>
          <w:b/>
          <w:sz w:val="32"/>
          <w:lang w:val="en-US" w:eastAsia="zh-CN"/>
        </w:rPr>
        <w:t>方电</w:t>
      </w:r>
      <w:r>
        <w:rPr>
          <w:rFonts w:hint="eastAsia" w:eastAsia="黑体"/>
          <w:b/>
          <w:sz w:val="32"/>
          <w:lang w:eastAsia="zh-CN"/>
        </w:rPr>
        <w:t>网绿能科技（广东）有限公司2026年输电地线全张力智能修补装备原材料购置及代加工零星采购</w:t>
      </w:r>
      <w:bookmarkStart w:id="4" w:name="_GoBack"/>
      <w:bookmarkEnd w:id="4"/>
      <w:r>
        <w:rPr>
          <w:rFonts w:hint="eastAsia" w:eastAsia="黑体"/>
          <w:b/>
          <w:sz w:val="32"/>
          <w:lang w:eastAsia="zh-CN"/>
        </w:rPr>
        <w:t>项目</w:t>
      </w:r>
    </w:p>
    <w:p>
      <w:pPr>
        <w:spacing w:after="80" w:line="288" w:lineRule="auto"/>
        <w:jc w:val="center"/>
        <w:rPr>
          <w:lang w:eastAsia="zh-CN"/>
        </w:rPr>
      </w:pPr>
      <w:r>
        <w:rPr>
          <w:rFonts w:hint="eastAsia" w:eastAsia="黑体"/>
          <w:b/>
          <w:sz w:val="32"/>
          <w:lang w:eastAsia="zh-CN"/>
        </w:rPr>
        <w:t>技术说明</w:t>
      </w:r>
      <w:r>
        <w:rPr>
          <w:rFonts w:eastAsia="黑体"/>
          <w:b/>
          <w:sz w:val="32"/>
          <w:lang w:eastAsia="zh-CN"/>
        </w:rPr>
        <w:t>书</w:t>
      </w:r>
    </w:p>
    <w:p>
      <w:pPr>
        <w:spacing w:before="40" w:after="40" w:line="288" w:lineRule="auto"/>
        <w:rPr>
          <w:lang w:eastAsia="zh-CN"/>
        </w:rPr>
      </w:pPr>
      <w:r>
        <w:rPr>
          <w:rFonts w:eastAsia="黑体"/>
          <w:b/>
          <w:sz w:val="24"/>
          <w:lang w:eastAsia="zh-CN"/>
        </w:rPr>
        <w:t>1  项目概述</w:t>
      </w:r>
    </w:p>
    <w:p>
      <w:pPr>
        <w:spacing w:after="40" w:line="300" w:lineRule="auto"/>
        <w:ind w:firstLine="440"/>
        <w:jc w:val="both"/>
        <w:rPr>
          <w:sz w:val="24"/>
          <w:szCs w:val="24"/>
          <w:lang w:eastAsia="zh-CN"/>
        </w:rPr>
      </w:pPr>
      <w:r>
        <w:rPr>
          <w:rFonts w:hint="eastAsia"/>
          <w:sz w:val="24"/>
          <w:szCs w:val="24"/>
          <w:lang w:eastAsia="zh-CN"/>
        </w:rPr>
        <w:t>南方电网绿能科技（广东）有限公司为采购方，报价方为其提供一种输电地线全张力智能修补装备的原材料购置及代加工服务。</w:t>
      </w:r>
      <w:r>
        <w:rPr>
          <w:sz w:val="24"/>
          <w:szCs w:val="24"/>
          <w:lang w:eastAsia="zh-CN"/>
        </w:rPr>
        <w:t>本项目以设备为载体</w:t>
      </w:r>
      <w:r>
        <w:rPr>
          <w:rFonts w:hint="eastAsia"/>
          <w:sz w:val="24"/>
          <w:szCs w:val="24"/>
          <w:lang w:eastAsia="zh-CN"/>
        </w:rPr>
        <w:t>，</w:t>
      </w:r>
      <w:r>
        <w:rPr>
          <w:sz w:val="24"/>
          <w:szCs w:val="24"/>
          <w:lang w:eastAsia="zh-CN"/>
        </w:rPr>
        <w:t>产品由捋线机器人和预绞式接续条安装绕线机器人两部分组成，用于对受损架空输电线路地线进行全张力完全修复。两台机器人均采用无人机吊装完成上下线，可替代传统人工高空作业，避免从业人员在高空和强电磁场中作业的安全风险。产品应用于架空输电线路地线修补领域，飞行及行走作业前均与带电导线保持不小于5m安全距离，操作人员在地面安全区（≥10m）远程操控，全程零接触带电体。</w:t>
      </w:r>
    </w:p>
    <w:p>
      <w:pPr>
        <w:spacing w:before="40" w:after="40" w:line="288" w:lineRule="auto"/>
        <w:rPr>
          <w:lang w:eastAsia="zh-CN"/>
        </w:rPr>
      </w:pPr>
      <w:r>
        <w:rPr>
          <w:rFonts w:eastAsia="黑体"/>
          <w:b/>
          <w:sz w:val="24"/>
          <w:lang w:eastAsia="zh-CN"/>
        </w:rPr>
        <w:t>2  主要技术参数</w:t>
      </w:r>
    </w:p>
    <w:p>
      <w:pPr>
        <w:spacing w:after="40" w:line="288" w:lineRule="auto"/>
        <w:ind w:firstLine="440"/>
        <w:rPr>
          <w:sz w:val="24"/>
          <w:szCs w:val="24"/>
          <w:lang w:eastAsia="zh-CN"/>
        </w:rPr>
      </w:pPr>
      <w:r>
        <w:rPr>
          <w:rFonts w:hint="eastAsia"/>
          <w:sz w:val="24"/>
          <w:szCs w:val="24"/>
          <w:lang w:eastAsia="zh-CN"/>
        </w:rPr>
        <w:t>产品</w:t>
      </w:r>
      <w:r>
        <w:rPr>
          <w:sz w:val="24"/>
          <w:szCs w:val="24"/>
          <w:lang w:eastAsia="zh-CN"/>
        </w:rPr>
        <w:t>主要技术参数如下：</w:t>
      </w:r>
    </w:p>
    <w:tbl>
      <w:tblPr>
        <w:tblStyle w:val="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7"/>
        <w:gridCol w:w="1479"/>
        <w:gridCol w:w="852"/>
        <w:gridCol w:w="1917"/>
        <w:gridCol w:w="1918"/>
        <w:gridCol w:w="16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 w:type="pct"/>
          </w:tcPr>
          <w:p>
            <w:pPr>
              <w:spacing w:after="0" w:line="240" w:lineRule="auto"/>
              <w:jc w:val="center"/>
              <w:rPr>
                <w:sz w:val="24"/>
                <w:szCs w:val="24"/>
              </w:rPr>
            </w:pPr>
            <w:r>
              <w:rPr>
                <w:rFonts w:eastAsia="宋体"/>
                <w:b/>
                <w:sz w:val="24"/>
                <w:szCs w:val="24"/>
              </w:rPr>
              <w:t>序号</w:t>
            </w:r>
          </w:p>
        </w:tc>
        <w:tc>
          <w:tcPr>
            <w:tcW w:w="868" w:type="pct"/>
          </w:tcPr>
          <w:p>
            <w:pPr>
              <w:spacing w:after="0" w:line="240" w:lineRule="auto"/>
              <w:jc w:val="center"/>
              <w:rPr>
                <w:sz w:val="24"/>
                <w:szCs w:val="24"/>
              </w:rPr>
            </w:pPr>
            <w:r>
              <w:rPr>
                <w:rFonts w:eastAsia="宋体"/>
                <w:b/>
                <w:sz w:val="24"/>
                <w:szCs w:val="24"/>
              </w:rPr>
              <w:t>参数名称</w:t>
            </w:r>
          </w:p>
        </w:tc>
        <w:tc>
          <w:tcPr>
            <w:tcW w:w="500" w:type="pct"/>
          </w:tcPr>
          <w:p>
            <w:pPr>
              <w:spacing w:after="0" w:line="240" w:lineRule="auto"/>
              <w:jc w:val="center"/>
              <w:rPr>
                <w:sz w:val="24"/>
                <w:szCs w:val="24"/>
              </w:rPr>
            </w:pPr>
            <w:r>
              <w:rPr>
                <w:rFonts w:eastAsia="宋体"/>
                <w:b/>
                <w:sz w:val="24"/>
                <w:szCs w:val="24"/>
              </w:rPr>
              <w:t>单位</w:t>
            </w:r>
          </w:p>
        </w:tc>
        <w:tc>
          <w:tcPr>
            <w:tcW w:w="1125" w:type="pct"/>
          </w:tcPr>
          <w:p>
            <w:pPr>
              <w:spacing w:after="0" w:line="240" w:lineRule="auto"/>
              <w:jc w:val="center"/>
              <w:rPr>
                <w:sz w:val="24"/>
                <w:szCs w:val="24"/>
              </w:rPr>
            </w:pPr>
            <w:r>
              <w:rPr>
                <w:rFonts w:eastAsia="宋体"/>
                <w:b/>
                <w:sz w:val="24"/>
                <w:szCs w:val="24"/>
              </w:rPr>
              <w:t>捋线机器人</w:t>
            </w:r>
          </w:p>
        </w:tc>
        <w:tc>
          <w:tcPr>
            <w:tcW w:w="1125" w:type="pct"/>
          </w:tcPr>
          <w:p>
            <w:pPr>
              <w:spacing w:after="0" w:line="240" w:lineRule="auto"/>
              <w:jc w:val="center"/>
              <w:rPr>
                <w:sz w:val="24"/>
                <w:szCs w:val="24"/>
              </w:rPr>
            </w:pPr>
            <w:r>
              <w:rPr>
                <w:rFonts w:eastAsia="宋体"/>
                <w:b/>
                <w:sz w:val="24"/>
                <w:szCs w:val="24"/>
              </w:rPr>
              <w:t>绕线机器人</w:t>
            </w:r>
          </w:p>
        </w:tc>
        <w:tc>
          <w:tcPr>
            <w:tcW w:w="968" w:type="pct"/>
          </w:tcPr>
          <w:p>
            <w:pPr>
              <w:spacing w:after="0" w:line="240" w:lineRule="auto"/>
              <w:jc w:val="center"/>
              <w:rPr>
                <w:sz w:val="24"/>
                <w:szCs w:val="24"/>
              </w:rPr>
            </w:pPr>
            <w:r>
              <w:rPr>
                <w:rFonts w:eastAsia="宋体"/>
                <w:b/>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 w:type="pct"/>
          </w:tcPr>
          <w:p>
            <w:pPr>
              <w:spacing w:after="0" w:line="240" w:lineRule="auto"/>
              <w:jc w:val="center"/>
              <w:rPr>
                <w:sz w:val="24"/>
                <w:szCs w:val="24"/>
              </w:rPr>
            </w:pPr>
            <w:r>
              <w:rPr>
                <w:rFonts w:eastAsia="宋体"/>
                <w:sz w:val="24"/>
                <w:szCs w:val="24"/>
              </w:rPr>
              <w:t>1</w:t>
            </w:r>
          </w:p>
        </w:tc>
        <w:tc>
          <w:tcPr>
            <w:tcW w:w="868" w:type="pct"/>
          </w:tcPr>
          <w:p>
            <w:pPr>
              <w:spacing w:after="0" w:line="240" w:lineRule="auto"/>
              <w:jc w:val="center"/>
              <w:rPr>
                <w:sz w:val="24"/>
                <w:szCs w:val="24"/>
              </w:rPr>
            </w:pPr>
            <w:r>
              <w:rPr>
                <w:rFonts w:eastAsia="宋体"/>
                <w:sz w:val="24"/>
                <w:szCs w:val="24"/>
              </w:rPr>
              <w:t>尺寸</w:t>
            </w:r>
          </w:p>
        </w:tc>
        <w:tc>
          <w:tcPr>
            <w:tcW w:w="500" w:type="pct"/>
          </w:tcPr>
          <w:p>
            <w:pPr>
              <w:spacing w:after="0" w:line="240" w:lineRule="auto"/>
              <w:jc w:val="center"/>
              <w:rPr>
                <w:sz w:val="24"/>
                <w:szCs w:val="24"/>
              </w:rPr>
            </w:pPr>
            <w:r>
              <w:rPr>
                <w:rFonts w:eastAsia="宋体"/>
                <w:sz w:val="24"/>
                <w:szCs w:val="24"/>
              </w:rPr>
              <w:t>mm</w:t>
            </w:r>
          </w:p>
        </w:tc>
        <w:tc>
          <w:tcPr>
            <w:tcW w:w="1125" w:type="pct"/>
          </w:tcPr>
          <w:p>
            <w:pPr>
              <w:spacing w:after="0" w:line="240" w:lineRule="auto"/>
              <w:jc w:val="center"/>
              <w:rPr>
                <w:sz w:val="24"/>
                <w:szCs w:val="24"/>
              </w:rPr>
            </w:pPr>
            <w:r>
              <w:rPr>
                <w:rFonts w:eastAsia="宋体"/>
                <w:sz w:val="24"/>
                <w:szCs w:val="24"/>
              </w:rPr>
              <w:t>587×389×480</w:t>
            </w:r>
          </w:p>
        </w:tc>
        <w:tc>
          <w:tcPr>
            <w:tcW w:w="1125" w:type="pct"/>
          </w:tcPr>
          <w:p>
            <w:pPr>
              <w:spacing w:after="0" w:line="240" w:lineRule="auto"/>
              <w:jc w:val="center"/>
              <w:rPr>
                <w:sz w:val="24"/>
                <w:szCs w:val="24"/>
              </w:rPr>
            </w:pPr>
            <w:r>
              <w:rPr>
                <w:rFonts w:eastAsia="宋体"/>
                <w:sz w:val="24"/>
                <w:szCs w:val="24"/>
              </w:rPr>
              <w:t>2141×583×637</w:t>
            </w:r>
          </w:p>
        </w:tc>
        <w:tc>
          <w:tcPr>
            <w:tcW w:w="968" w:type="pct"/>
          </w:tcPr>
          <w:p>
            <w:pPr>
              <w:spacing w:after="0" w:line="240" w:lineRule="auto"/>
              <w:jc w:val="center"/>
              <w:rPr>
                <w:sz w:val="24"/>
                <w:szCs w:val="24"/>
              </w:rPr>
            </w:pPr>
            <w:r>
              <w:rPr>
                <w:rFonts w:eastAsia="宋体"/>
                <w:sz w:val="24"/>
                <w:szCs w:val="24"/>
              </w:rPr>
              <w:t>不含吊装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 w:type="pct"/>
          </w:tcPr>
          <w:p>
            <w:pPr>
              <w:spacing w:after="0" w:line="240" w:lineRule="auto"/>
              <w:jc w:val="center"/>
              <w:rPr>
                <w:sz w:val="24"/>
                <w:szCs w:val="24"/>
              </w:rPr>
            </w:pPr>
            <w:r>
              <w:rPr>
                <w:rFonts w:eastAsia="宋体"/>
                <w:sz w:val="24"/>
                <w:szCs w:val="24"/>
              </w:rPr>
              <w:t>2</w:t>
            </w:r>
          </w:p>
        </w:tc>
        <w:tc>
          <w:tcPr>
            <w:tcW w:w="868" w:type="pct"/>
          </w:tcPr>
          <w:p>
            <w:pPr>
              <w:spacing w:after="0" w:line="240" w:lineRule="auto"/>
              <w:jc w:val="center"/>
              <w:rPr>
                <w:sz w:val="24"/>
                <w:szCs w:val="24"/>
              </w:rPr>
            </w:pPr>
            <w:r>
              <w:rPr>
                <w:rFonts w:eastAsia="宋体"/>
                <w:sz w:val="24"/>
                <w:szCs w:val="24"/>
              </w:rPr>
              <w:t>重量</w:t>
            </w:r>
          </w:p>
        </w:tc>
        <w:tc>
          <w:tcPr>
            <w:tcW w:w="500" w:type="pct"/>
          </w:tcPr>
          <w:p>
            <w:pPr>
              <w:spacing w:after="0" w:line="240" w:lineRule="auto"/>
              <w:jc w:val="center"/>
              <w:rPr>
                <w:sz w:val="24"/>
                <w:szCs w:val="24"/>
              </w:rPr>
            </w:pPr>
            <w:r>
              <w:rPr>
                <w:rFonts w:eastAsia="宋体"/>
                <w:sz w:val="24"/>
                <w:szCs w:val="24"/>
              </w:rPr>
              <w:t>kg</w:t>
            </w:r>
          </w:p>
        </w:tc>
        <w:tc>
          <w:tcPr>
            <w:tcW w:w="1125" w:type="pct"/>
          </w:tcPr>
          <w:p>
            <w:pPr>
              <w:spacing w:after="0" w:line="240" w:lineRule="auto"/>
              <w:jc w:val="center"/>
              <w:rPr>
                <w:sz w:val="24"/>
                <w:szCs w:val="24"/>
              </w:rPr>
            </w:pPr>
            <w:r>
              <w:rPr>
                <w:rFonts w:eastAsia="宋体"/>
                <w:sz w:val="24"/>
                <w:szCs w:val="24"/>
              </w:rPr>
              <w:t>≤20</w:t>
            </w:r>
          </w:p>
        </w:tc>
        <w:tc>
          <w:tcPr>
            <w:tcW w:w="1125" w:type="pct"/>
          </w:tcPr>
          <w:p>
            <w:pPr>
              <w:spacing w:after="0" w:line="240" w:lineRule="auto"/>
              <w:jc w:val="center"/>
              <w:rPr>
                <w:sz w:val="24"/>
                <w:szCs w:val="24"/>
              </w:rPr>
            </w:pPr>
            <w:r>
              <w:rPr>
                <w:rFonts w:eastAsia="宋体"/>
                <w:sz w:val="24"/>
                <w:szCs w:val="24"/>
              </w:rPr>
              <w:t>≤36</w:t>
            </w:r>
          </w:p>
        </w:tc>
        <w:tc>
          <w:tcPr>
            <w:tcW w:w="968" w:type="pct"/>
          </w:tcPr>
          <w:p>
            <w:pPr>
              <w:spacing w:after="0" w:line="240" w:lineRule="auto"/>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 w:type="pct"/>
          </w:tcPr>
          <w:p>
            <w:pPr>
              <w:spacing w:after="0" w:line="240" w:lineRule="auto"/>
              <w:jc w:val="center"/>
              <w:rPr>
                <w:sz w:val="24"/>
                <w:szCs w:val="24"/>
              </w:rPr>
            </w:pPr>
            <w:r>
              <w:rPr>
                <w:rFonts w:eastAsia="宋体"/>
                <w:sz w:val="24"/>
                <w:szCs w:val="24"/>
              </w:rPr>
              <w:t>3</w:t>
            </w:r>
          </w:p>
        </w:tc>
        <w:tc>
          <w:tcPr>
            <w:tcW w:w="868" w:type="pct"/>
          </w:tcPr>
          <w:p>
            <w:pPr>
              <w:spacing w:after="0" w:line="240" w:lineRule="auto"/>
              <w:jc w:val="center"/>
              <w:rPr>
                <w:sz w:val="24"/>
                <w:szCs w:val="24"/>
              </w:rPr>
            </w:pPr>
            <w:r>
              <w:rPr>
                <w:rFonts w:eastAsia="宋体"/>
                <w:sz w:val="24"/>
                <w:szCs w:val="24"/>
              </w:rPr>
              <w:t>爬坡能力</w:t>
            </w:r>
          </w:p>
        </w:tc>
        <w:tc>
          <w:tcPr>
            <w:tcW w:w="500" w:type="pct"/>
          </w:tcPr>
          <w:p>
            <w:pPr>
              <w:spacing w:after="0" w:line="240" w:lineRule="auto"/>
              <w:jc w:val="center"/>
              <w:rPr>
                <w:sz w:val="24"/>
                <w:szCs w:val="24"/>
              </w:rPr>
            </w:pPr>
            <w:r>
              <w:rPr>
                <w:rFonts w:eastAsia="宋体"/>
                <w:sz w:val="24"/>
                <w:szCs w:val="24"/>
              </w:rPr>
              <w:t>°</w:t>
            </w:r>
          </w:p>
        </w:tc>
        <w:tc>
          <w:tcPr>
            <w:tcW w:w="1125" w:type="pct"/>
          </w:tcPr>
          <w:p>
            <w:pPr>
              <w:spacing w:after="0" w:line="240" w:lineRule="auto"/>
              <w:jc w:val="center"/>
              <w:rPr>
                <w:sz w:val="24"/>
                <w:szCs w:val="24"/>
              </w:rPr>
            </w:pPr>
            <w:r>
              <w:rPr>
                <w:rFonts w:eastAsia="宋体"/>
                <w:sz w:val="24"/>
                <w:szCs w:val="24"/>
              </w:rPr>
              <w:t>30</w:t>
            </w:r>
          </w:p>
        </w:tc>
        <w:tc>
          <w:tcPr>
            <w:tcW w:w="1125" w:type="pct"/>
          </w:tcPr>
          <w:p>
            <w:pPr>
              <w:spacing w:after="0" w:line="240" w:lineRule="auto"/>
              <w:jc w:val="center"/>
              <w:rPr>
                <w:sz w:val="24"/>
                <w:szCs w:val="24"/>
              </w:rPr>
            </w:pPr>
            <w:r>
              <w:rPr>
                <w:rFonts w:eastAsia="宋体"/>
                <w:sz w:val="24"/>
                <w:szCs w:val="24"/>
              </w:rPr>
              <w:t>30</w:t>
            </w:r>
          </w:p>
        </w:tc>
        <w:tc>
          <w:tcPr>
            <w:tcW w:w="968" w:type="pct"/>
          </w:tcPr>
          <w:p>
            <w:pPr>
              <w:spacing w:after="0" w:line="240" w:lineRule="auto"/>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 w:type="pct"/>
          </w:tcPr>
          <w:p>
            <w:pPr>
              <w:spacing w:after="0" w:line="240" w:lineRule="auto"/>
              <w:jc w:val="center"/>
              <w:rPr>
                <w:sz w:val="24"/>
                <w:szCs w:val="24"/>
              </w:rPr>
            </w:pPr>
            <w:r>
              <w:rPr>
                <w:rFonts w:eastAsia="宋体"/>
                <w:sz w:val="24"/>
                <w:szCs w:val="24"/>
              </w:rPr>
              <w:t>4</w:t>
            </w:r>
          </w:p>
        </w:tc>
        <w:tc>
          <w:tcPr>
            <w:tcW w:w="868" w:type="pct"/>
          </w:tcPr>
          <w:p>
            <w:pPr>
              <w:spacing w:after="0" w:line="240" w:lineRule="auto"/>
              <w:jc w:val="center"/>
              <w:rPr>
                <w:sz w:val="24"/>
                <w:szCs w:val="24"/>
              </w:rPr>
            </w:pPr>
            <w:r>
              <w:rPr>
                <w:rFonts w:eastAsia="宋体"/>
                <w:sz w:val="24"/>
                <w:szCs w:val="24"/>
              </w:rPr>
              <w:t>平均行驶速度</w:t>
            </w:r>
          </w:p>
        </w:tc>
        <w:tc>
          <w:tcPr>
            <w:tcW w:w="500" w:type="pct"/>
          </w:tcPr>
          <w:p>
            <w:pPr>
              <w:spacing w:after="0" w:line="240" w:lineRule="auto"/>
              <w:jc w:val="center"/>
              <w:rPr>
                <w:sz w:val="24"/>
                <w:szCs w:val="24"/>
              </w:rPr>
            </w:pPr>
            <w:r>
              <w:rPr>
                <w:rFonts w:eastAsia="宋体"/>
                <w:sz w:val="24"/>
                <w:szCs w:val="24"/>
              </w:rPr>
              <w:t>m/s</w:t>
            </w:r>
          </w:p>
        </w:tc>
        <w:tc>
          <w:tcPr>
            <w:tcW w:w="1125" w:type="pct"/>
          </w:tcPr>
          <w:p>
            <w:pPr>
              <w:spacing w:after="0" w:line="240" w:lineRule="auto"/>
              <w:jc w:val="center"/>
              <w:rPr>
                <w:sz w:val="24"/>
                <w:szCs w:val="24"/>
              </w:rPr>
            </w:pPr>
            <w:r>
              <w:rPr>
                <w:rFonts w:eastAsia="宋体"/>
                <w:sz w:val="24"/>
                <w:szCs w:val="24"/>
              </w:rPr>
              <w:t>0.5</w:t>
            </w:r>
          </w:p>
        </w:tc>
        <w:tc>
          <w:tcPr>
            <w:tcW w:w="1125" w:type="pct"/>
          </w:tcPr>
          <w:p>
            <w:pPr>
              <w:spacing w:after="0" w:line="240" w:lineRule="auto"/>
              <w:jc w:val="center"/>
              <w:rPr>
                <w:sz w:val="24"/>
                <w:szCs w:val="24"/>
              </w:rPr>
            </w:pPr>
            <w:r>
              <w:rPr>
                <w:rFonts w:eastAsia="宋体"/>
                <w:sz w:val="24"/>
                <w:szCs w:val="24"/>
              </w:rPr>
              <w:t>0.5</w:t>
            </w:r>
          </w:p>
        </w:tc>
        <w:tc>
          <w:tcPr>
            <w:tcW w:w="968" w:type="pct"/>
          </w:tcPr>
          <w:p>
            <w:pPr>
              <w:spacing w:after="0" w:line="240" w:lineRule="auto"/>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 w:type="pct"/>
          </w:tcPr>
          <w:p>
            <w:pPr>
              <w:spacing w:after="0" w:line="240" w:lineRule="auto"/>
              <w:jc w:val="center"/>
              <w:rPr>
                <w:sz w:val="24"/>
                <w:szCs w:val="24"/>
              </w:rPr>
            </w:pPr>
            <w:r>
              <w:rPr>
                <w:rFonts w:eastAsia="宋体"/>
                <w:sz w:val="24"/>
                <w:szCs w:val="24"/>
              </w:rPr>
              <w:t>5</w:t>
            </w:r>
          </w:p>
        </w:tc>
        <w:tc>
          <w:tcPr>
            <w:tcW w:w="868" w:type="pct"/>
          </w:tcPr>
          <w:p>
            <w:pPr>
              <w:spacing w:after="0" w:line="240" w:lineRule="auto"/>
              <w:jc w:val="center"/>
              <w:rPr>
                <w:sz w:val="24"/>
                <w:szCs w:val="24"/>
              </w:rPr>
            </w:pPr>
            <w:r>
              <w:rPr>
                <w:rFonts w:eastAsia="宋体"/>
                <w:sz w:val="24"/>
                <w:szCs w:val="24"/>
              </w:rPr>
              <w:t>最大行驶速度</w:t>
            </w:r>
          </w:p>
        </w:tc>
        <w:tc>
          <w:tcPr>
            <w:tcW w:w="500" w:type="pct"/>
          </w:tcPr>
          <w:p>
            <w:pPr>
              <w:spacing w:after="0" w:line="240" w:lineRule="auto"/>
              <w:jc w:val="center"/>
              <w:rPr>
                <w:sz w:val="24"/>
                <w:szCs w:val="24"/>
              </w:rPr>
            </w:pPr>
            <w:r>
              <w:rPr>
                <w:rFonts w:eastAsia="宋体"/>
                <w:sz w:val="24"/>
                <w:szCs w:val="24"/>
              </w:rPr>
              <w:t>m/s</w:t>
            </w:r>
          </w:p>
        </w:tc>
        <w:tc>
          <w:tcPr>
            <w:tcW w:w="1125" w:type="pct"/>
          </w:tcPr>
          <w:p>
            <w:pPr>
              <w:spacing w:after="0" w:line="240" w:lineRule="auto"/>
              <w:jc w:val="center"/>
              <w:rPr>
                <w:sz w:val="24"/>
                <w:szCs w:val="24"/>
              </w:rPr>
            </w:pPr>
            <w:r>
              <w:rPr>
                <w:rFonts w:eastAsia="宋体"/>
                <w:sz w:val="24"/>
                <w:szCs w:val="24"/>
              </w:rPr>
              <w:t>1</w:t>
            </w:r>
          </w:p>
        </w:tc>
        <w:tc>
          <w:tcPr>
            <w:tcW w:w="1125" w:type="pct"/>
          </w:tcPr>
          <w:p>
            <w:pPr>
              <w:spacing w:after="0" w:line="240" w:lineRule="auto"/>
              <w:jc w:val="center"/>
              <w:rPr>
                <w:sz w:val="24"/>
                <w:szCs w:val="24"/>
              </w:rPr>
            </w:pPr>
            <w:r>
              <w:rPr>
                <w:rFonts w:eastAsia="宋体"/>
                <w:sz w:val="24"/>
                <w:szCs w:val="24"/>
              </w:rPr>
              <w:t>1</w:t>
            </w:r>
          </w:p>
        </w:tc>
        <w:tc>
          <w:tcPr>
            <w:tcW w:w="968" w:type="pct"/>
          </w:tcPr>
          <w:p>
            <w:pPr>
              <w:spacing w:after="0" w:line="240" w:lineRule="auto"/>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 w:type="pct"/>
          </w:tcPr>
          <w:p>
            <w:pPr>
              <w:spacing w:after="0" w:line="240" w:lineRule="auto"/>
              <w:jc w:val="center"/>
              <w:rPr>
                <w:sz w:val="24"/>
                <w:szCs w:val="24"/>
              </w:rPr>
            </w:pPr>
            <w:r>
              <w:rPr>
                <w:rFonts w:eastAsia="宋体"/>
                <w:sz w:val="24"/>
                <w:szCs w:val="24"/>
              </w:rPr>
              <w:t>6</w:t>
            </w:r>
          </w:p>
        </w:tc>
        <w:tc>
          <w:tcPr>
            <w:tcW w:w="868" w:type="pct"/>
          </w:tcPr>
          <w:p>
            <w:pPr>
              <w:spacing w:after="0" w:line="240" w:lineRule="auto"/>
              <w:jc w:val="center"/>
              <w:rPr>
                <w:sz w:val="24"/>
                <w:szCs w:val="24"/>
              </w:rPr>
            </w:pPr>
            <w:r>
              <w:rPr>
                <w:rFonts w:eastAsia="宋体"/>
                <w:sz w:val="24"/>
                <w:szCs w:val="24"/>
              </w:rPr>
              <w:t>平均作业时间</w:t>
            </w:r>
          </w:p>
        </w:tc>
        <w:tc>
          <w:tcPr>
            <w:tcW w:w="500" w:type="pct"/>
          </w:tcPr>
          <w:p>
            <w:pPr>
              <w:spacing w:after="0" w:line="240" w:lineRule="auto"/>
              <w:jc w:val="center"/>
              <w:rPr>
                <w:sz w:val="24"/>
                <w:szCs w:val="24"/>
              </w:rPr>
            </w:pPr>
            <w:r>
              <w:rPr>
                <w:rFonts w:eastAsia="宋体"/>
                <w:sz w:val="24"/>
                <w:szCs w:val="24"/>
              </w:rPr>
              <w:t>min</w:t>
            </w:r>
          </w:p>
        </w:tc>
        <w:tc>
          <w:tcPr>
            <w:tcW w:w="1125" w:type="pct"/>
          </w:tcPr>
          <w:p>
            <w:pPr>
              <w:spacing w:after="0" w:line="240" w:lineRule="auto"/>
              <w:jc w:val="center"/>
              <w:rPr>
                <w:sz w:val="24"/>
                <w:szCs w:val="24"/>
              </w:rPr>
            </w:pPr>
            <w:r>
              <w:rPr>
                <w:rFonts w:eastAsia="宋体"/>
                <w:sz w:val="24"/>
                <w:szCs w:val="24"/>
              </w:rPr>
              <w:t>10</w:t>
            </w:r>
          </w:p>
        </w:tc>
        <w:tc>
          <w:tcPr>
            <w:tcW w:w="1125" w:type="pct"/>
          </w:tcPr>
          <w:p>
            <w:pPr>
              <w:spacing w:after="0" w:line="240" w:lineRule="auto"/>
              <w:jc w:val="center"/>
              <w:rPr>
                <w:sz w:val="24"/>
                <w:szCs w:val="24"/>
              </w:rPr>
            </w:pPr>
            <w:r>
              <w:rPr>
                <w:rFonts w:eastAsia="宋体"/>
                <w:sz w:val="24"/>
                <w:szCs w:val="24"/>
              </w:rPr>
              <w:t>15</w:t>
            </w:r>
          </w:p>
        </w:tc>
        <w:tc>
          <w:tcPr>
            <w:tcW w:w="968" w:type="pct"/>
          </w:tcPr>
          <w:p>
            <w:pPr>
              <w:spacing w:after="0" w:line="240" w:lineRule="auto"/>
              <w:jc w:val="center"/>
              <w:rPr>
                <w:sz w:val="24"/>
                <w:szCs w:val="24"/>
              </w:rPr>
            </w:pPr>
            <w:r>
              <w:rPr>
                <w:rFonts w:eastAsia="宋体"/>
                <w:sz w:val="24"/>
                <w:szCs w:val="24"/>
              </w:rPr>
              <w:t>2m散股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 w:type="pct"/>
          </w:tcPr>
          <w:p>
            <w:pPr>
              <w:spacing w:after="0" w:line="240" w:lineRule="auto"/>
              <w:jc w:val="center"/>
              <w:rPr>
                <w:sz w:val="24"/>
                <w:szCs w:val="24"/>
              </w:rPr>
            </w:pPr>
            <w:r>
              <w:rPr>
                <w:rFonts w:eastAsia="宋体"/>
                <w:sz w:val="24"/>
                <w:szCs w:val="24"/>
              </w:rPr>
              <w:t>7</w:t>
            </w:r>
          </w:p>
        </w:tc>
        <w:tc>
          <w:tcPr>
            <w:tcW w:w="868" w:type="pct"/>
          </w:tcPr>
          <w:p>
            <w:pPr>
              <w:spacing w:after="0" w:line="240" w:lineRule="auto"/>
              <w:jc w:val="center"/>
              <w:rPr>
                <w:sz w:val="24"/>
                <w:szCs w:val="24"/>
              </w:rPr>
            </w:pPr>
            <w:r>
              <w:rPr>
                <w:rFonts w:eastAsia="宋体"/>
                <w:sz w:val="24"/>
                <w:szCs w:val="24"/>
              </w:rPr>
              <w:t>适用地线</w:t>
            </w:r>
          </w:p>
        </w:tc>
        <w:tc>
          <w:tcPr>
            <w:tcW w:w="500" w:type="pct"/>
          </w:tcPr>
          <w:p>
            <w:pPr>
              <w:spacing w:after="0" w:line="240" w:lineRule="auto"/>
              <w:jc w:val="center"/>
              <w:rPr>
                <w:sz w:val="24"/>
                <w:szCs w:val="24"/>
              </w:rPr>
            </w:pPr>
            <w:r>
              <w:rPr>
                <w:rFonts w:eastAsia="宋体"/>
                <w:sz w:val="24"/>
                <w:szCs w:val="24"/>
              </w:rPr>
              <w:t>mm²</w:t>
            </w:r>
          </w:p>
        </w:tc>
        <w:tc>
          <w:tcPr>
            <w:tcW w:w="1125" w:type="pct"/>
          </w:tcPr>
          <w:p>
            <w:pPr>
              <w:spacing w:after="0" w:line="240" w:lineRule="auto"/>
              <w:jc w:val="center"/>
              <w:rPr>
                <w:sz w:val="24"/>
                <w:szCs w:val="24"/>
              </w:rPr>
            </w:pPr>
            <w:r>
              <w:rPr>
                <w:rFonts w:eastAsia="宋体"/>
                <w:sz w:val="24"/>
                <w:szCs w:val="24"/>
              </w:rPr>
              <w:t>50-240</w:t>
            </w:r>
          </w:p>
        </w:tc>
        <w:tc>
          <w:tcPr>
            <w:tcW w:w="1125" w:type="pct"/>
          </w:tcPr>
          <w:p>
            <w:pPr>
              <w:spacing w:after="0" w:line="240" w:lineRule="auto"/>
              <w:jc w:val="center"/>
              <w:rPr>
                <w:sz w:val="24"/>
                <w:szCs w:val="24"/>
              </w:rPr>
            </w:pPr>
            <w:r>
              <w:rPr>
                <w:rFonts w:eastAsia="宋体"/>
                <w:sz w:val="24"/>
                <w:szCs w:val="24"/>
              </w:rPr>
              <w:t>50-240</w:t>
            </w:r>
          </w:p>
        </w:tc>
        <w:tc>
          <w:tcPr>
            <w:tcW w:w="968" w:type="pct"/>
          </w:tcPr>
          <w:p>
            <w:pPr>
              <w:spacing w:after="0" w:line="240" w:lineRule="auto"/>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 w:type="pct"/>
          </w:tcPr>
          <w:p>
            <w:pPr>
              <w:spacing w:after="0" w:line="240" w:lineRule="auto"/>
              <w:jc w:val="center"/>
              <w:rPr>
                <w:sz w:val="24"/>
                <w:szCs w:val="24"/>
              </w:rPr>
            </w:pPr>
            <w:r>
              <w:rPr>
                <w:rFonts w:eastAsia="宋体"/>
                <w:sz w:val="24"/>
                <w:szCs w:val="24"/>
              </w:rPr>
              <w:t>8</w:t>
            </w:r>
          </w:p>
        </w:tc>
        <w:tc>
          <w:tcPr>
            <w:tcW w:w="868" w:type="pct"/>
          </w:tcPr>
          <w:p>
            <w:pPr>
              <w:spacing w:after="0" w:line="240" w:lineRule="auto"/>
              <w:jc w:val="center"/>
              <w:rPr>
                <w:sz w:val="24"/>
                <w:szCs w:val="24"/>
              </w:rPr>
            </w:pPr>
            <w:r>
              <w:rPr>
                <w:rFonts w:eastAsia="宋体"/>
                <w:sz w:val="24"/>
                <w:szCs w:val="24"/>
              </w:rPr>
              <w:t>电池容量</w:t>
            </w:r>
          </w:p>
        </w:tc>
        <w:tc>
          <w:tcPr>
            <w:tcW w:w="500" w:type="pct"/>
          </w:tcPr>
          <w:p>
            <w:pPr>
              <w:spacing w:after="0" w:line="240" w:lineRule="auto"/>
              <w:jc w:val="center"/>
              <w:rPr>
                <w:sz w:val="24"/>
                <w:szCs w:val="24"/>
              </w:rPr>
            </w:pPr>
            <w:r>
              <w:rPr>
                <w:rFonts w:eastAsia="宋体"/>
                <w:sz w:val="24"/>
                <w:szCs w:val="24"/>
              </w:rPr>
              <w:t>Ah</w:t>
            </w:r>
          </w:p>
        </w:tc>
        <w:tc>
          <w:tcPr>
            <w:tcW w:w="1125" w:type="pct"/>
          </w:tcPr>
          <w:p>
            <w:pPr>
              <w:spacing w:after="0" w:line="240" w:lineRule="auto"/>
              <w:jc w:val="center"/>
              <w:rPr>
                <w:sz w:val="24"/>
                <w:szCs w:val="24"/>
              </w:rPr>
            </w:pPr>
            <w:r>
              <w:rPr>
                <w:rFonts w:eastAsia="宋体"/>
                <w:sz w:val="24"/>
                <w:szCs w:val="24"/>
              </w:rPr>
              <w:t>10</w:t>
            </w:r>
          </w:p>
        </w:tc>
        <w:tc>
          <w:tcPr>
            <w:tcW w:w="1125" w:type="pct"/>
          </w:tcPr>
          <w:p>
            <w:pPr>
              <w:spacing w:after="0" w:line="240" w:lineRule="auto"/>
              <w:jc w:val="center"/>
              <w:rPr>
                <w:sz w:val="24"/>
                <w:szCs w:val="24"/>
              </w:rPr>
            </w:pPr>
            <w:r>
              <w:rPr>
                <w:rFonts w:eastAsia="宋体"/>
                <w:sz w:val="24"/>
                <w:szCs w:val="24"/>
              </w:rPr>
              <w:t>10</w:t>
            </w:r>
          </w:p>
        </w:tc>
        <w:tc>
          <w:tcPr>
            <w:tcW w:w="968" w:type="pct"/>
          </w:tcPr>
          <w:p>
            <w:pPr>
              <w:spacing w:after="0" w:line="240" w:lineRule="auto"/>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 w:type="pct"/>
          </w:tcPr>
          <w:p>
            <w:pPr>
              <w:spacing w:after="0" w:line="240" w:lineRule="auto"/>
              <w:jc w:val="center"/>
              <w:rPr>
                <w:sz w:val="24"/>
                <w:szCs w:val="24"/>
              </w:rPr>
            </w:pPr>
            <w:r>
              <w:rPr>
                <w:rFonts w:eastAsia="宋体"/>
                <w:sz w:val="24"/>
                <w:szCs w:val="24"/>
              </w:rPr>
              <w:t>9</w:t>
            </w:r>
          </w:p>
        </w:tc>
        <w:tc>
          <w:tcPr>
            <w:tcW w:w="868" w:type="pct"/>
          </w:tcPr>
          <w:p>
            <w:pPr>
              <w:spacing w:after="0" w:line="240" w:lineRule="auto"/>
              <w:jc w:val="center"/>
              <w:rPr>
                <w:sz w:val="24"/>
                <w:szCs w:val="24"/>
              </w:rPr>
            </w:pPr>
            <w:r>
              <w:rPr>
                <w:rFonts w:eastAsia="宋体"/>
                <w:sz w:val="24"/>
                <w:szCs w:val="24"/>
              </w:rPr>
              <w:t>电池续航能力</w:t>
            </w:r>
          </w:p>
        </w:tc>
        <w:tc>
          <w:tcPr>
            <w:tcW w:w="500" w:type="pct"/>
          </w:tcPr>
          <w:p>
            <w:pPr>
              <w:spacing w:after="0" w:line="240" w:lineRule="auto"/>
              <w:jc w:val="center"/>
              <w:rPr>
                <w:sz w:val="24"/>
                <w:szCs w:val="24"/>
              </w:rPr>
            </w:pPr>
            <w:r>
              <w:rPr>
                <w:rFonts w:eastAsia="宋体"/>
                <w:sz w:val="24"/>
                <w:szCs w:val="24"/>
              </w:rPr>
              <w:t>h</w:t>
            </w:r>
          </w:p>
        </w:tc>
        <w:tc>
          <w:tcPr>
            <w:tcW w:w="1125" w:type="pct"/>
          </w:tcPr>
          <w:p>
            <w:pPr>
              <w:spacing w:after="0" w:line="240" w:lineRule="auto"/>
              <w:jc w:val="center"/>
              <w:rPr>
                <w:sz w:val="24"/>
                <w:szCs w:val="24"/>
              </w:rPr>
            </w:pPr>
            <w:r>
              <w:rPr>
                <w:rFonts w:eastAsia="宋体"/>
                <w:sz w:val="24"/>
                <w:szCs w:val="24"/>
              </w:rPr>
              <w:t>≥4</w:t>
            </w:r>
          </w:p>
        </w:tc>
        <w:tc>
          <w:tcPr>
            <w:tcW w:w="1125" w:type="pct"/>
          </w:tcPr>
          <w:p>
            <w:pPr>
              <w:spacing w:after="0" w:line="240" w:lineRule="auto"/>
              <w:jc w:val="center"/>
              <w:rPr>
                <w:sz w:val="24"/>
                <w:szCs w:val="24"/>
              </w:rPr>
            </w:pPr>
            <w:r>
              <w:rPr>
                <w:rFonts w:eastAsia="宋体"/>
                <w:sz w:val="24"/>
                <w:szCs w:val="24"/>
              </w:rPr>
              <w:t>≥4</w:t>
            </w:r>
          </w:p>
        </w:tc>
        <w:tc>
          <w:tcPr>
            <w:tcW w:w="968" w:type="pct"/>
          </w:tcPr>
          <w:p>
            <w:pPr>
              <w:spacing w:after="0" w:line="240" w:lineRule="auto"/>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 w:type="pct"/>
          </w:tcPr>
          <w:p>
            <w:pPr>
              <w:spacing w:after="0" w:line="240" w:lineRule="auto"/>
              <w:jc w:val="center"/>
              <w:rPr>
                <w:sz w:val="24"/>
                <w:szCs w:val="24"/>
              </w:rPr>
            </w:pPr>
            <w:r>
              <w:rPr>
                <w:rFonts w:eastAsia="宋体"/>
                <w:sz w:val="24"/>
                <w:szCs w:val="24"/>
              </w:rPr>
              <w:t>10</w:t>
            </w:r>
          </w:p>
        </w:tc>
        <w:tc>
          <w:tcPr>
            <w:tcW w:w="868" w:type="pct"/>
          </w:tcPr>
          <w:p>
            <w:pPr>
              <w:spacing w:after="0" w:line="240" w:lineRule="auto"/>
              <w:jc w:val="center"/>
              <w:rPr>
                <w:sz w:val="24"/>
                <w:szCs w:val="24"/>
              </w:rPr>
            </w:pPr>
            <w:r>
              <w:rPr>
                <w:rFonts w:eastAsia="宋体"/>
                <w:sz w:val="24"/>
                <w:szCs w:val="24"/>
              </w:rPr>
              <w:t>续航里程</w:t>
            </w:r>
          </w:p>
        </w:tc>
        <w:tc>
          <w:tcPr>
            <w:tcW w:w="500" w:type="pct"/>
          </w:tcPr>
          <w:p>
            <w:pPr>
              <w:spacing w:after="0" w:line="240" w:lineRule="auto"/>
              <w:jc w:val="center"/>
              <w:rPr>
                <w:sz w:val="24"/>
                <w:szCs w:val="24"/>
              </w:rPr>
            </w:pPr>
            <w:r>
              <w:rPr>
                <w:rFonts w:eastAsia="宋体"/>
                <w:sz w:val="24"/>
                <w:szCs w:val="24"/>
              </w:rPr>
              <w:t>km</w:t>
            </w:r>
          </w:p>
        </w:tc>
        <w:tc>
          <w:tcPr>
            <w:tcW w:w="1125" w:type="pct"/>
          </w:tcPr>
          <w:p>
            <w:pPr>
              <w:spacing w:after="0" w:line="240" w:lineRule="auto"/>
              <w:jc w:val="center"/>
              <w:rPr>
                <w:sz w:val="24"/>
                <w:szCs w:val="24"/>
              </w:rPr>
            </w:pPr>
            <w:r>
              <w:rPr>
                <w:rFonts w:eastAsia="宋体"/>
                <w:sz w:val="24"/>
                <w:szCs w:val="24"/>
              </w:rPr>
              <w:t>≥2</w:t>
            </w:r>
          </w:p>
        </w:tc>
        <w:tc>
          <w:tcPr>
            <w:tcW w:w="1125" w:type="pct"/>
          </w:tcPr>
          <w:p>
            <w:pPr>
              <w:spacing w:after="0" w:line="240" w:lineRule="auto"/>
              <w:jc w:val="center"/>
              <w:rPr>
                <w:sz w:val="24"/>
                <w:szCs w:val="24"/>
              </w:rPr>
            </w:pPr>
            <w:r>
              <w:rPr>
                <w:rFonts w:eastAsia="宋体"/>
                <w:sz w:val="24"/>
                <w:szCs w:val="24"/>
              </w:rPr>
              <w:t>≥2</w:t>
            </w:r>
          </w:p>
        </w:tc>
        <w:tc>
          <w:tcPr>
            <w:tcW w:w="968" w:type="pct"/>
          </w:tcPr>
          <w:p>
            <w:pPr>
              <w:spacing w:after="0" w:line="240" w:lineRule="auto"/>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 w:type="pct"/>
          </w:tcPr>
          <w:p>
            <w:pPr>
              <w:spacing w:after="0" w:line="240" w:lineRule="auto"/>
              <w:jc w:val="center"/>
              <w:rPr>
                <w:sz w:val="24"/>
                <w:szCs w:val="24"/>
              </w:rPr>
            </w:pPr>
            <w:r>
              <w:rPr>
                <w:rFonts w:eastAsia="宋体"/>
                <w:sz w:val="24"/>
                <w:szCs w:val="24"/>
              </w:rPr>
              <w:t>11</w:t>
            </w:r>
          </w:p>
        </w:tc>
        <w:tc>
          <w:tcPr>
            <w:tcW w:w="868" w:type="pct"/>
          </w:tcPr>
          <w:p>
            <w:pPr>
              <w:spacing w:after="0" w:line="240" w:lineRule="auto"/>
              <w:jc w:val="center"/>
              <w:rPr>
                <w:sz w:val="24"/>
                <w:szCs w:val="24"/>
              </w:rPr>
            </w:pPr>
            <w:r>
              <w:rPr>
                <w:rFonts w:eastAsia="宋体"/>
                <w:sz w:val="24"/>
                <w:szCs w:val="24"/>
              </w:rPr>
              <w:t>工作电压</w:t>
            </w:r>
          </w:p>
        </w:tc>
        <w:tc>
          <w:tcPr>
            <w:tcW w:w="500" w:type="pct"/>
          </w:tcPr>
          <w:p>
            <w:pPr>
              <w:spacing w:after="0" w:line="240" w:lineRule="auto"/>
              <w:jc w:val="center"/>
              <w:rPr>
                <w:sz w:val="24"/>
                <w:szCs w:val="24"/>
              </w:rPr>
            </w:pPr>
            <w:r>
              <w:rPr>
                <w:rFonts w:eastAsia="宋体"/>
                <w:sz w:val="24"/>
                <w:szCs w:val="24"/>
              </w:rPr>
              <w:t>V</w:t>
            </w:r>
          </w:p>
        </w:tc>
        <w:tc>
          <w:tcPr>
            <w:tcW w:w="1125" w:type="pct"/>
          </w:tcPr>
          <w:p>
            <w:pPr>
              <w:spacing w:after="0" w:line="240" w:lineRule="auto"/>
              <w:jc w:val="center"/>
              <w:rPr>
                <w:sz w:val="24"/>
                <w:szCs w:val="24"/>
              </w:rPr>
            </w:pPr>
            <w:r>
              <w:rPr>
                <w:rFonts w:eastAsia="宋体"/>
                <w:sz w:val="24"/>
                <w:szCs w:val="24"/>
              </w:rPr>
              <w:t>36</w:t>
            </w:r>
          </w:p>
        </w:tc>
        <w:tc>
          <w:tcPr>
            <w:tcW w:w="1125" w:type="pct"/>
          </w:tcPr>
          <w:p>
            <w:pPr>
              <w:spacing w:after="0" w:line="240" w:lineRule="auto"/>
              <w:jc w:val="center"/>
              <w:rPr>
                <w:sz w:val="24"/>
                <w:szCs w:val="24"/>
              </w:rPr>
            </w:pPr>
            <w:r>
              <w:rPr>
                <w:rFonts w:eastAsia="宋体"/>
                <w:sz w:val="24"/>
                <w:szCs w:val="24"/>
              </w:rPr>
              <w:t>36</w:t>
            </w:r>
          </w:p>
        </w:tc>
        <w:tc>
          <w:tcPr>
            <w:tcW w:w="968" w:type="pct"/>
          </w:tcPr>
          <w:p>
            <w:pPr>
              <w:spacing w:after="0" w:line="240" w:lineRule="auto"/>
              <w:jc w:val="center"/>
              <w:rPr>
                <w:sz w:val="24"/>
                <w:szCs w:val="24"/>
              </w:rPr>
            </w:pPr>
            <w:r>
              <w:rPr>
                <w:rFonts w:eastAsia="宋体"/>
                <w:sz w:val="24"/>
                <w:szCs w:val="24"/>
              </w:rPr>
              <w:t>锂电池供电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 w:type="pct"/>
          </w:tcPr>
          <w:p>
            <w:pPr>
              <w:spacing w:after="0" w:line="240" w:lineRule="auto"/>
              <w:jc w:val="center"/>
              <w:rPr>
                <w:sz w:val="24"/>
                <w:szCs w:val="24"/>
              </w:rPr>
            </w:pPr>
            <w:r>
              <w:rPr>
                <w:rFonts w:eastAsia="宋体"/>
                <w:sz w:val="24"/>
                <w:szCs w:val="24"/>
              </w:rPr>
              <w:t>12</w:t>
            </w:r>
          </w:p>
        </w:tc>
        <w:tc>
          <w:tcPr>
            <w:tcW w:w="868" w:type="pct"/>
          </w:tcPr>
          <w:p>
            <w:pPr>
              <w:spacing w:after="0" w:line="240" w:lineRule="auto"/>
              <w:jc w:val="center"/>
              <w:rPr>
                <w:sz w:val="24"/>
                <w:szCs w:val="24"/>
              </w:rPr>
            </w:pPr>
            <w:r>
              <w:rPr>
                <w:rFonts w:eastAsia="宋体"/>
                <w:sz w:val="24"/>
                <w:szCs w:val="24"/>
              </w:rPr>
              <w:t>通信方式</w:t>
            </w:r>
          </w:p>
        </w:tc>
        <w:tc>
          <w:tcPr>
            <w:tcW w:w="500" w:type="pct"/>
          </w:tcPr>
          <w:p>
            <w:pPr>
              <w:spacing w:after="0" w:line="240" w:lineRule="auto"/>
              <w:jc w:val="center"/>
              <w:rPr>
                <w:sz w:val="24"/>
                <w:szCs w:val="24"/>
              </w:rPr>
            </w:pPr>
            <w:r>
              <w:rPr>
                <w:rFonts w:eastAsia="宋体"/>
                <w:sz w:val="24"/>
                <w:szCs w:val="24"/>
              </w:rPr>
              <w:t>/</w:t>
            </w:r>
          </w:p>
        </w:tc>
        <w:tc>
          <w:tcPr>
            <w:tcW w:w="1125" w:type="pct"/>
          </w:tcPr>
          <w:p>
            <w:pPr>
              <w:spacing w:after="0" w:line="240" w:lineRule="auto"/>
              <w:jc w:val="center"/>
              <w:rPr>
                <w:sz w:val="24"/>
                <w:szCs w:val="24"/>
              </w:rPr>
            </w:pPr>
            <w:r>
              <w:rPr>
                <w:rFonts w:eastAsia="宋体"/>
                <w:sz w:val="24"/>
                <w:szCs w:val="24"/>
              </w:rPr>
              <w:t>图传/DTU透传</w:t>
            </w:r>
          </w:p>
        </w:tc>
        <w:tc>
          <w:tcPr>
            <w:tcW w:w="1125" w:type="pct"/>
          </w:tcPr>
          <w:p>
            <w:pPr>
              <w:spacing w:after="0" w:line="240" w:lineRule="auto"/>
              <w:jc w:val="center"/>
              <w:rPr>
                <w:sz w:val="24"/>
                <w:szCs w:val="24"/>
              </w:rPr>
            </w:pPr>
            <w:r>
              <w:rPr>
                <w:rFonts w:eastAsia="宋体"/>
                <w:sz w:val="24"/>
                <w:szCs w:val="24"/>
              </w:rPr>
              <w:t>图传/DTU透传</w:t>
            </w:r>
          </w:p>
        </w:tc>
        <w:tc>
          <w:tcPr>
            <w:tcW w:w="968" w:type="pct"/>
          </w:tcPr>
          <w:p>
            <w:pPr>
              <w:spacing w:after="0" w:line="240" w:lineRule="auto"/>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 w:type="pct"/>
          </w:tcPr>
          <w:p>
            <w:pPr>
              <w:spacing w:after="0" w:line="240" w:lineRule="auto"/>
              <w:jc w:val="center"/>
              <w:rPr>
                <w:sz w:val="24"/>
                <w:szCs w:val="24"/>
              </w:rPr>
            </w:pPr>
            <w:r>
              <w:rPr>
                <w:rFonts w:eastAsia="宋体"/>
                <w:sz w:val="24"/>
                <w:szCs w:val="24"/>
              </w:rPr>
              <w:t>13</w:t>
            </w:r>
          </w:p>
        </w:tc>
        <w:tc>
          <w:tcPr>
            <w:tcW w:w="868" w:type="pct"/>
          </w:tcPr>
          <w:p>
            <w:pPr>
              <w:spacing w:after="0" w:line="240" w:lineRule="auto"/>
              <w:jc w:val="center"/>
              <w:rPr>
                <w:sz w:val="24"/>
                <w:szCs w:val="24"/>
              </w:rPr>
            </w:pPr>
            <w:r>
              <w:rPr>
                <w:rFonts w:eastAsia="宋体"/>
                <w:sz w:val="24"/>
                <w:szCs w:val="24"/>
              </w:rPr>
              <w:t>防护等级</w:t>
            </w:r>
          </w:p>
        </w:tc>
        <w:tc>
          <w:tcPr>
            <w:tcW w:w="500" w:type="pct"/>
          </w:tcPr>
          <w:p>
            <w:pPr>
              <w:spacing w:after="0" w:line="240" w:lineRule="auto"/>
              <w:jc w:val="center"/>
              <w:rPr>
                <w:sz w:val="24"/>
                <w:szCs w:val="24"/>
              </w:rPr>
            </w:pPr>
            <w:r>
              <w:rPr>
                <w:rFonts w:eastAsia="宋体"/>
                <w:sz w:val="24"/>
                <w:szCs w:val="24"/>
              </w:rPr>
              <w:t>/</w:t>
            </w:r>
          </w:p>
        </w:tc>
        <w:tc>
          <w:tcPr>
            <w:tcW w:w="1125" w:type="pct"/>
          </w:tcPr>
          <w:p>
            <w:pPr>
              <w:spacing w:after="0" w:line="240" w:lineRule="auto"/>
              <w:jc w:val="center"/>
              <w:rPr>
                <w:sz w:val="24"/>
                <w:szCs w:val="24"/>
              </w:rPr>
            </w:pPr>
            <w:r>
              <w:rPr>
                <w:rFonts w:eastAsia="宋体"/>
                <w:sz w:val="24"/>
                <w:szCs w:val="24"/>
              </w:rPr>
              <w:t>IP55</w:t>
            </w:r>
          </w:p>
        </w:tc>
        <w:tc>
          <w:tcPr>
            <w:tcW w:w="1125" w:type="pct"/>
          </w:tcPr>
          <w:p>
            <w:pPr>
              <w:spacing w:after="0" w:line="240" w:lineRule="auto"/>
              <w:jc w:val="center"/>
              <w:rPr>
                <w:sz w:val="24"/>
                <w:szCs w:val="24"/>
              </w:rPr>
            </w:pPr>
            <w:r>
              <w:rPr>
                <w:rFonts w:eastAsia="宋体"/>
                <w:sz w:val="24"/>
                <w:szCs w:val="24"/>
              </w:rPr>
              <w:t>IP55</w:t>
            </w:r>
          </w:p>
        </w:tc>
        <w:tc>
          <w:tcPr>
            <w:tcW w:w="968" w:type="pct"/>
          </w:tcPr>
          <w:p>
            <w:pPr>
              <w:spacing w:after="0" w:line="240" w:lineRule="auto"/>
              <w:jc w:val="center"/>
              <w:rPr>
                <w:sz w:val="24"/>
                <w:szCs w:val="24"/>
              </w:rPr>
            </w:pPr>
          </w:p>
        </w:tc>
      </w:tr>
    </w:tbl>
    <w:p>
      <w:pPr>
        <w:spacing w:before="80" w:after="40" w:line="288" w:lineRule="auto"/>
      </w:pPr>
      <w:r>
        <w:rPr>
          <w:rFonts w:eastAsia="黑体"/>
          <w:b/>
          <w:sz w:val="24"/>
        </w:rPr>
        <w:t>3  功能要求</w:t>
      </w:r>
    </w:p>
    <w:p>
      <w:pPr>
        <w:spacing w:after="40" w:line="300" w:lineRule="auto"/>
        <w:ind w:firstLine="440"/>
        <w:jc w:val="both"/>
        <w:rPr>
          <w:sz w:val="24"/>
          <w:szCs w:val="24"/>
          <w:lang w:eastAsia="zh-CN"/>
        </w:rPr>
      </w:pPr>
      <w:r>
        <w:rPr>
          <w:sz w:val="24"/>
          <w:szCs w:val="24"/>
          <w:lang w:eastAsia="zh-CN"/>
        </w:rPr>
        <w:t>捋线机器人：具备故障点快速定位功能，通过捋线+临时固定作业机构，将单股或多股下垂断股捋起收拢回槽并进行临时固定，避免断股散股在后续接续条修补过程中脱出。</w:t>
      </w:r>
    </w:p>
    <w:p>
      <w:pPr>
        <w:spacing w:after="40" w:line="300" w:lineRule="auto"/>
        <w:ind w:firstLine="440"/>
        <w:jc w:val="both"/>
        <w:rPr>
          <w:lang w:eastAsia="zh-CN"/>
        </w:rPr>
      </w:pPr>
      <w:r>
        <w:rPr>
          <w:sz w:val="24"/>
          <w:szCs w:val="24"/>
          <w:lang w:eastAsia="zh-CN"/>
        </w:rPr>
        <w:t>绕线机器人：具备故障点快速定位功能，驱动绕线盘机构自中部向两侧缠绕，将预绞式接续条包缠至断股散股位置，实现线路加强型完全修补，修补后对地线张力等机械性能进行补全。两台机器人均应具备无人机吊装自主上线、低速平稳行走、遇障自动减速/停车、防打滑防脱轨及图传/DTU透传通讯等功能，并适应户外风雨、高低温等恶劣环境</w:t>
      </w:r>
      <w:r>
        <w:rPr>
          <w:lang w:eastAsia="zh-CN"/>
        </w:rPr>
        <w:t>。</w:t>
      </w:r>
    </w:p>
    <w:p>
      <w:pPr>
        <w:spacing w:before="80" w:after="40" w:line="288" w:lineRule="auto"/>
        <w:rPr>
          <w:lang w:eastAsia="zh-CN"/>
        </w:rPr>
      </w:pPr>
      <w:r>
        <w:rPr>
          <w:rFonts w:eastAsia="黑体"/>
          <w:b/>
          <w:sz w:val="24"/>
          <w:lang w:eastAsia="zh-CN"/>
        </w:rPr>
        <w:t>4  验收与结算</w:t>
      </w:r>
    </w:p>
    <w:p>
      <w:pPr>
        <w:spacing w:after="0" w:line="300" w:lineRule="auto"/>
        <w:ind w:firstLine="480" w:firstLineChars="200"/>
        <w:jc w:val="both"/>
        <w:rPr>
          <w:sz w:val="24"/>
          <w:szCs w:val="24"/>
          <w:lang w:eastAsia="zh-CN"/>
        </w:rPr>
      </w:pPr>
      <w:r>
        <w:rPr>
          <w:rFonts w:hint="eastAsia"/>
          <w:sz w:val="24"/>
          <w:szCs w:val="24"/>
          <w:lang w:eastAsia="zh-CN"/>
        </w:rPr>
        <w:t>按需方管理制度和要求进行到货验收；项目经验收通过后一次性结算与支付</w:t>
      </w:r>
      <w:r>
        <w:rPr>
          <w:sz w:val="24"/>
          <w:szCs w:val="24"/>
          <w:lang w:eastAsia="zh-CN"/>
        </w:rPr>
        <w:t>。</w:t>
      </w:r>
    </w:p>
    <w:p>
      <w:pPr>
        <w:rPr>
          <w:rFonts w:hint="default"/>
          <w:lang w:val="en-US" w:eastAsia="zh-CN"/>
        </w:rPr>
      </w:pPr>
    </w:p>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A55CA7E-EA5B-4EF1-93EC-5698E749ED0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D888507F-1F41-4FD5-8F8C-22A515A5AF8B}"/>
  </w:font>
  <w:font w:name="微软雅黑">
    <w:panose1 w:val="020B0503020204020204"/>
    <w:charset w:val="86"/>
    <w:family w:val="auto"/>
    <w:pitch w:val="default"/>
    <w:sig w:usb0="80000287" w:usb1="2ACF3C50" w:usb2="00000016" w:usb3="00000000" w:csb0="0004001F" w:csb1="00000000"/>
  </w:font>
  <w:font w:name="方正小标宋_GBK">
    <w:panose1 w:val="03000509000000000000"/>
    <w:charset w:val="86"/>
    <w:family w:val="auto"/>
    <w:pitch w:val="default"/>
    <w:sig w:usb0="00000001" w:usb1="080E0000" w:usb2="00000000" w:usb3="00000000" w:csb0="00040000" w:csb1="00000000"/>
    <w:embedRegular r:id="rId3" w:fontKey="{C910A34E-9623-46D9-A9D4-FD01670B03F6}"/>
  </w:font>
  <w:font w:name="仿宋_GB2312">
    <w:panose1 w:val="02010609030101010101"/>
    <w:charset w:val="86"/>
    <w:family w:val="auto"/>
    <w:pitch w:val="default"/>
    <w:sig w:usb0="00000001" w:usb1="080E0000" w:usb2="00000000" w:usb3="00000000" w:csb0="00040000" w:csb1="00000000"/>
    <w:embedRegular r:id="rId4" w:fontKey="{5761A6DB-0DFC-435E-BC41-5E2E918199B6}"/>
  </w:font>
  <w:font w:name="CESI_SS_GB18030">
    <w:altName w:val="宋体"/>
    <w:panose1 w:val="02000500000000000000"/>
    <w:charset w:val="86"/>
    <w:family w:val="auto"/>
    <w:pitch w:val="default"/>
    <w:sig w:usb0="00000000" w:usb1="00000000" w:usb2="00000016" w:usb3="00000000" w:csb0="0004000F" w:csb1="00000000"/>
    <w:embedRegular r:id="rId5" w:fontKey="{D11919C8-81CF-4860-B09D-12A615ABF645}"/>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8"/>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VmMWU1MmU3NWM3N2NmZTcyOGNjYzlhODkwMzEwOGMifQ=="/>
  </w:docVars>
  <w:rsids>
    <w:rsidRoot w:val="00172A27"/>
    <w:rsid w:val="00E33444"/>
    <w:rsid w:val="01422732"/>
    <w:rsid w:val="02223D56"/>
    <w:rsid w:val="02C350D2"/>
    <w:rsid w:val="033F1951"/>
    <w:rsid w:val="039C7E97"/>
    <w:rsid w:val="04506958"/>
    <w:rsid w:val="048B377C"/>
    <w:rsid w:val="062702A8"/>
    <w:rsid w:val="06C9422E"/>
    <w:rsid w:val="07406F39"/>
    <w:rsid w:val="0769037B"/>
    <w:rsid w:val="097035F9"/>
    <w:rsid w:val="09732F58"/>
    <w:rsid w:val="09BE4A8F"/>
    <w:rsid w:val="0A0C1573"/>
    <w:rsid w:val="0BB50C90"/>
    <w:rsid w:val="0D73132E"/>
    <w:rsid w:val="0DCB0476"/>
    <w:rsid w:val="0E7A51CD"/>
    <w:rsid w:val="0EE526EA"/>
    <w:rsid w:val="0EEF6D6E"/>
    <w:rsid w:val="0F2E5DDF"/>
    <w:rsid w:val="102655E1"/>
    <w:rsid w:val="12BE5808"/>
    <w:rsid w:val="12CB30C7"/>
    <w:rsid w:val="15914F7B"/>
    <w:rsid w:val="15A510A7"/>
    <w:rsid w:val="15EF0FCE"/>
    <w:rsid w:val="16124FC5"/>
    <w:rsid w:val="169D4817"/>
    <w:rsid w:val="16C9740F"/>
    <w:rsid w:val="171E4FDB"/>
    <w:rsid w:val="17231CAA"/>
    <w:rsid w:val="173043C7"/>
    <w:rsid w:val="17320A4C"/>
    <w:rsid w:val="1882698E"/>
    <w:rsid w:val="189D326A"/>
    <w:rsid w:val="18AB7130"/>
    <w:rsid w:val="19A928E0"/>
    <w:rsid w:val="1A1B7FC6"/>
    <w:rsid w:val="1A1E286B"/>
    <w:rsid w:val="1AD84D6E"/>
    <w:rsid w:val="1B087B35"/>
    <w:rsid w:val="1B5A7C65"/>
    <w:rsid w:val="1B7067BA"/>
    <w:rsid w:val="1B8B7D54"/>
    <w:rsid w:val="1BF65BDF"/>
    <w:rsid w:val="1C9F4679"/>
    <w:rsid w:val="1CFD76A5"/>
    <w:rsid w:val="1F1A1404"/>
    <w:rsid w:val="1F311F01"/>
    <w:rsid w:val="21374317"/>
    <w:rsid w:val="21722B2B"/>
    <w:rsid w:val="217B46FD"/>
    <w:rsid w:val="21851F92"/>
    <w:rsid w:val="21B300CF"/>
    <w:rsid w:val="22856B0A"/>
    <w:rsid w:val="24E67F93"/>
    <w:rsid w:val="256622E7"/>
    <w:rsid w:val="26C3134B"/>
    <w:rsid w:val="2716696E"/>
    <w:rsid w:val="275A2466"/>
    <w:rsid w:val="284B72B3"/>
    <w:rsid w:val="288F5E9D"/>
    <w:rsid w:val="29365CAD"/>
    <w:rsid w:val="29AA01EA"/>
    <w:rsid w:val="2A0400B6"/>
    <w:rsid w:val="2A3740C8"/>
    <w:rsid w:val="2AAA1BA4"/>
    <w:rsid w:val="2AAF417D"/>
    <w:rsid w:val="2ACF41CB"/>
    <w:rsid w:val="2B131A7E"/>
    <w:rsid w:val="2B146C5A"/>
    <w:rsid w:val="2B8F2E4C"/>
    <w:rsid w:val="2E8D76D6"/>
    <w:rsid w:val="2F0A3A24"/>
    <w:rsid w:val="2F3B4EEB"/>
    <w:rsid w:val="2F867E16"/>
    <w:rsid w:val="3087283B"/>
    <w:rsid w:val="30C10112"/>
    <w:rsid w:val="31555403"/>
    <w:rsid w:val="31E34D8C"/>
    <w:rsid w:val="32ED471A"/>
    <w:rsid w:val="337367C1"/>
    <w:rsid w:val="341C1B03"/>
    <w:rsid w:val="346E3EE9"/>
    <w:rsid w:val="35386C3E"/>
    <w:rsid w:val="35C66F40"/>
    <w:rsid w:val="361F1221"/>
    <w:rsid w:val="36944320"/>
    <w:rsid w:val="376E24B9"/>
    <w:rsid w:val="37F830A1"/>
    <w:rsid w:val="382755B1"/>
    <w:rsid w:val="3838207C"/>
    <w:rsid w:val="390C0398"/>
    <w:rsid w:val="394924CF"/>
    <w:rsid w:val="39B76556"/>
    <w:rsid w:val="39D53485"/>
    <w:rsid w:val="39FC3121"/>
    <w:rsid w:val="3B9C46D3"/>
    <w:rsid w:val="3BCE2161"/>
    <w:rsid w:val="3C1020AE"/>
    <w:rsid w:val="3C174A4A"/>
    <w:rsid w:val="3CD14092"/>
    <w:rsid w:val="3D2077B5"/>
    <w:rsid w:val="3E4145DA"/>
    <w:rsid w:val="3E485E32"/>
    <w:rsid w:val="3E560401"/>
    <w:rsid w:val="3F6004F9"/>
    <w:rsid w:val="3F6A5E19"/>
    <w:rsid w:val="3F871796"/>
    <w:rsid w:val="3FE57098"/>
    <w:rsid w:val="40802243"/>
    <w:rsid w:val="40857B77"/>
    <w:rsid w:val="41480D2F"/>
    <w:rsid w:val="414975BC"/>
    <w:rsid w:val="4157061F"/>
    <w:rsid w:val="416A331D"/>
    <w:rsid w:val="427A5563"/>
    <w:rsid w:val="43AF71D5"/>
    <w:rsid w:val="44F22B38"/>
    <w:rsid w:val="455B74FC"/>
    <w:rsid w:val="45B5636D"/>
    <w:rsid w:val="45C60413"/>
    <w:rsid w:val="485E1E46"/>
    <w:rsid w:val="48A37E1F"/>
    <w:rsid w:val="48F61F9F"/>
    <w:rsid w:val="49647D77"/>
    <w:rsid w:val="49760C27"/>
    <w:rsid w:val="498176A7"/>
    <w:rsid w:val="4D502B15"/>
    <w:rsid w:val="4D5D40FA"/>
    <w:rsid w:val="4E76382D"/>
    <w:rsid w:val="4EBE5040"/>
    <w:rsid w:val="4F8B1BBF"/>
    <w:rsid w:val="4FF02E34"/>
    <w:rsid w:val="503813E7"/>
    <w:rsid w:val="50433BDF"/>
    <w:rsid w:val="50770396"/>
    <w:rsid w:val="50DA34CF"/>
    <w:rsid w:val="511366B1"/>
    <w:rsid w:val="51B52289"/>
    <w:rsid w:val="526B2842"/>
    <w:rsid w:val="52BB456C"/>
    <w:rsid w:val="536C331E"/>
    <w:rsid w:val="53E4465E"/>
    <w:rsid w:val="55393E6B"/>
    <w:rsid w:val="566B4385"/>
    <w:rsid w:val="57196B0A"/>
    <w:rsid w:val="582D0A07"/>
    <w:rsid w:val="59837DAB"/>
    <w:rsid w:val="59864AEC"/>
    <w:rsid w:val="59EA7E2A"/>
    <w:rsid w:val="5A53777D"/>
    <w:rsid w:val="5B17578F"/>
    <w:rsid w:val="5CC1509B"/>
    <w:rsid w:val="5CEF5C7C"/>
    <w:rsid w:val="5D656145"/>
    <w:rsid w:val="5D8E679F"/>
    <w:rsid w:val="5DA46C2D"/>
    <w:rsid w:val="5E7B7098"/>
    <w:rsid w:val="5EC6163E"/>
    <w:rsid w:val="60765F74"/>
    <w:rsid w:val="610E1B29"/>
    <w:rsid w:val="61A471A2"/>
    <w:rsid w:val="61F53312"/>
    <w:rsid w:val="620F042E"/>
    <w:rsid w:val="63140209"/>
    <w:rsid w:val="63D805B9"/>
    <w:rsid w:val="644D7345"/>
    <w:rsid w:val="64EF75A6"/>
    <w:rsid w:val="6534761E"/>
    <w:rsid w:val="6569460E"/>
    <w:rsid w:val="65DC2D1D"/>
    <w:rsid w:val="664E3DBE"/>
    <w:rsid w:val="66B9772A"/>
    <w:rsid w:val="66F21AA4"/>
    <w:rsid w:val="6832131A"/>
    <w:rsid w:val="690F44C9"/>
    <w:rsid w:val="6B761D3E"/>
    <w:rsid w:val="6BB64299"/>
    <w:rsid w:val="6E3B205D"/>
    <w:rsid w:val="6E6901FB"/>
    <w:rsid w:val="6EE36ECA"/>
    <w:rsid w:val="6F491927"/>
    <w:rsid w:val="6F810491"/>
    <w:rsid w:val="705A407C"/>
    <w:rsid w:val="70F320AC"/>
    <w:rsid w:val="716B6228"/>
    <w:rsid w:val="72E32531"/>
    <w:rsid w:val="74040EA5"/>
    <w:rsid w:val="740C5027"/>
    <w:rsid w:val="74604ED0"/>
    <w:rsid w:val="75BC5488"/>
    <w:rsid w:val="76050FAF"/>
    <w:rsid w:val="760A7538"/>
    <w:rsid w:val="768A6D70"/>
    <w:rsid w:val="77084C62"/>
    <w:rsid w:val="77AA4A6D"/>
    <w:rsid w:val="782868AB"/>
    <w:rsid w:val="784A3F46"/>
    <w:rsid w:val="78B95140"/>
    <w:rsid w:val="78BE391B"/>
    <w:rsid w:val="79337682"/>
    <w:rsid w:val="79C80AC1"/>
    <w:rsid w:val="79CA11DC"/>
    <w:rsid w:val="7A91206F"/>
    <w:rsid w:val="7A97447A"/>
    <w:rsid w:val="7B395012"/>
    <w:rsid w:val="7C386C10"/>
    <w:rsid w:val="7C79189C"/>
    <w:rsid w:val="7CA911FE"/>
    <w:rsid w:val="7E154B2B"/>
    <w:rsid w:val="7E2C248C"/>
    <w:rsid w:val="7E4B3434"/>
    <w:rsid w:val="7EE36A72"/>
    <w:rsid w:val="7F5D4081"/>
    <w:rsid w:val="7F835160"/>
    <w:rsid w:val="7F8675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400" w:lineRule="exact"/>
      <w:jc w:val="both"/>
    </w:pPr>
    <w:rPr>
      <w:rFonts w:ascii="Times New Roman" w:hAnsi="Times New Roman" w:eastAsia="宋体" w:cs="Times New Roman"/>
      <w:kern w:val="2"/>
      <w:sz w:val="24"/>
      <w:szCs w:val="22"/>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400" w:lineRule="exact"/>
      <w:outlineLvl w:val="0"/>
    </w:pPr>
    <w:rPr>
      <w:b/>
      <w:kern w:val="44"/>
      <w:sz w:val="30"/>
    </w:rPr>
  </w:style>
  <w:style w:type="paragraph" w:styleId="3">
    <w:name w:val="heading 2"/>
    <w:basedOn w:val="1"/>
    <w:next w:val="1"/>
    <w:unhideWhenUsed/>
    <w:qFormat/>
    <w:uiPriority w:val="0"/>
    <w:pPr>
      <w:keepNext/>
      <w:keepLines/>
      <w:spacing w:before="260" w:beforeLines="0" w:beforeAutospacing="0" w:after="260" w:afterLines="0" w:afterAutospacing="0" w:line="240" w:lineRule="auto"/>
      <w:outlineLvl w:val="1"/>
    </w:pPr>
    <w:rPr>
      <w:rFonts w:ascii="Arial" w:hAnsi="Arial" w:eastAsia="宋体"/>
      <w:b/>
      <w:sz w:val="25"/>
    </w:rPr>
  </w:style>
  <w:style w:type="paragraph" w:styleId="4">
    <w:name w:val="heading 3"/>
    <w:basedOn w:val="1"/>
    <w:next w:val="1"/>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7"/>
    <w:qFormat/>
    <w:uiPriority w:val="0"/>
    <w:pPr>
      <w:spacing w:after="120" w:afterLines="0" w:afterAutospacing="0"/>
    </w:pPr>
  </w:style>
  <w:style w:type="paragraph" w:styleId="7">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table" w:styleId="12">
    <w:name w:val="Table Grid"/>
    <w:basedOn w:val="11"/>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0"/>
    <w:rPr>
      <w:b/>
    </w:rPr>
  </w:style>
  <w:style w:type="character" w:customStyle="1" w:styleId="15">
    <w:name w:val="font11"/>
    <w:basedOn w:val="13"/>
    <w:qFormat/>
    <w:uiPriority w:val="0"/>
    <w:rPr>
      <w:rFonts w:hint="default" w:ascii="Arial" w:hAnsi="Arial" w:cs="Arial"/>
      <w:color w:val="000000"/>
      <w:sz w:val="22"/>
      <w:szCs w:val="22"/>
      <w:u w:val="none"/>
    </w:rPr>
  </w:style>
  <w:style w:type="character" w:customStyle="1" w:styleId="16">
    <w:name w:val="font01"/>
    <w:basedOn w:val="13"/>
    <w:qFormat/>
    <w:uiPriority w:val="0"/>
    <w:rPr>
      <w:rFonts w:ascii="微软雅黑" w:hAnsi="微软雅黑" w:eastAsia="微软雅黑" w:cs="微软雅黑"/>
      <w:color w:val="000000"/>
      <w:sz w:val="22"/>
      <w:szCs w:val="22"/>
      <w:u w:val="none"/>
    </w:rPr>
  </w:style>
  <w:style w:type="paragraph" w:customStyle="1" w:styleId="17">
    <w:name w:val="列出段落1"/>
    <w:basedOn w:val="1"/>
    <w:qFormat/>
    <w:uiPriority w:val="34"/>
    <w:pPr>
      <w:widowControl/>
      <w:spacing w:line="360" w:lineRule="auto"/>
      <w:ind w:firstLine="420" w:firstLineChars="200"/>
    </w:pPr>
    <w:rPr>
      <w:rFonts w:ascii="Calibri" w:hAnsi="Calibri"/>
      <w:kern w:val="0"/>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890</Words>
  <Characters>919</Characters>
  <Lines>0</Lines>
  <Paragraphs>0</Paragraphs>
  <TotalTime>0</TotalTime>
  <ScaleCrop>false</ScaleCrop>
  <LinksUpToDate>false</LinksUpToDate>
  <CharactersWithSpaces>931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2024-09-09T06:04:00Z</dcterms:created>
  <dc:creator>刘伟</dc:creator>
  <cp:lastModifiedBy>吴张炜</cp:lastModifiedBy>
  <cp:lastPrinted>2025-03-06T07:46:00Z</cp:lastPrinted>
  <dcterms:modified xsi:type="dcterms:W3CDTF">2026-10-19T07:13:59Z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5E8BC582237C4ACB9E5D86341061F2BA</vt:lpwstr>
  </property>
  <property fmtid="{D5CDD505-2E9C-101B-9397-08002B2CF9AE}" pid="4" name="KSOTemplateDocerSaveRecord">
    <vt:lpwstr>eyJoZGlkIjoiNTVlYmM4YWE3Zjk1MzI2MGViMWRiNDY4ZmZkMjRkYzgiLCJ1c2VySWQiOiIxMzA3Nzc3NjY2In0=</vt:lpwstr>
  </property>
</Properties>
</file>