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/>
        <w:keepLines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bookmarkStart w:id="0" w:name="_Hlk77898732"/>
      <w:bookmarkEnd w:id="0"/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南方电网绿能科技（广东）有限公司2026年配电网光储智能并联（混联）稳压装置原材料购置及代加工零星采购项目技术规范书</w:t>
      </w:r>
    </w:p>
    <w:p>
      <w:pPr>
        <w:pStyle w:val="2"/>
        <w:keepNext/>
        <w:keepLines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1.采购范围</w:t>
      </w:r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南方电网绿能科技（广东）有限公司为采购方，报价方为采购方提供配电网光储智能并联（混联）稳压装置原材料购置及代加工服务。采购方、报价方双方签订服务合同，服务期自合同签订起满一年，项目按照报价单的方式报价。</w:t>
      </w:r>
    </w:p>
    <w:p>
      <w:pPr>
        <w:pStyle w:val="2"/>
        <w:keepNext/>
        <w:keepLines/>
        <w:pageBreakBefore w:val="0"/>
        <w:widowControl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2.服务内容及要求</w:t>
      </w:r>
    </w:p>
    <w:p>
      <w:pPr>
        <w:pStyle w:val="3"/>
        <w:keepNext/>
        <w:keepLines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2.1服务内容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采购方委托报甲方提供的服务内容、数量如下：</w:t>
      </w:r>
    </w:p>
    <w:tbl>
      <w:tblPr>
        <w:tblStyle w:val="11"/>
        <w:tblpPr w:leftFromText="180" w:rightFromText="180" w:vertAnchor="text" w:horzAnchor="page" w:tblpX="1274" w:tblpY="225"/>
        <w:tblOverlap w:val="never"/>
        <w:tblW w:w="530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0"/>
        <w:gridCol w:w="1050"/>
        <w:gridCol w:w="1935"/>
        <w:gridCol w:w="600"/>
        <w:gridCol w:w="540"/>
        <w:gridCol w:w="870"/>
        <w:gridCol w:w="885"/>
        <w:gridCol w:w="915"/>
        <w:gridCol w:w="14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5" w:hRule="atLeast"/>
        </w:trPr>
        <w:tc>
          <w:tcPr>
            <w:tcW w:w="93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4067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南方电网绿能科技（广东）有限公司2026年</w:t>
            </w:r>
            <w:r>
              <w:rPr>
                <w:rFonts w:hint="eastAsia" w:cs="Times New Roman"/>
                <w:color w:val="000000"/>
                <w:kern w:val="0"/>
                <w:sz w:val="21"/>
                <w:szCs w:val="21"/>
                <w:lang w:val="en-US" w:eastAsia="zh-CN"/>
              </w:rPr>
              <w:t>配电网光储智能并联（混联）稳压装置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原材料购</w:t>
            </w:r>
            <w:bookmarkStart w:id="4" w:name="_GoBack"/>
            <w:bookmarkEnd w:id="4"/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置及代加工零星采购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5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单价限价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单价报价</w:t>
            </w:r>
          </w:p>
        </w:tc>
        <w:tc>
          <w:tcPr>
            <w:tcW w:w="5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金额小计</w:t>
            </w:r>
          </w:p>
        </w:tc>
        <w:tc>
          <w:tcPr>
            <w:tcW w:w="8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5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CESI_SS_GB18030" w:hAnsi="CESI_SS_GB18030" w:eastAsia="CESI_SS_GB18030" w:cs="CESI_SS_GB18030"/>
                <w:color w:val="auto"/>
                <w:sz w:val="21"/>
                <w:szCs w:val="21"/>
                <w:highlight w:val="none"/>
                <w:lang w:val="en-US" w:eastAsia="zh-CN"/>
              </w:rPr>
              <w:t>原材料和零部件采购及加工服务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按照技术说明书中参数、功能等要求开展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稳压装置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相关原材料及零部件的采购与加工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30000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5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left"/>
              <w:rPr>
                <w:rFonts w:hint="default" w:cs="Times New Roman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left"/>
              <w:rPr>
                <w:rFonts w:hint="default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按照业主方项目需求采购原材料和部件；并参与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项目原材料及零部件的加工。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5" w:hRule="atLeast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5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Calibri" w:hAnsi="Calibri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CESI_SS_GB18030" w:hAnsi="CESI_SS_GB18030" w:eastAsia="CESI_SS_GB18030" w:cs="CESI_SS_GB18030"/>
                <w:color w:val="auto"/>
                <w:sz w:val="21"/>
                <w:szCs w:val="21"/>
                <w:highlight w:val="none"/>
                <w:lang w:val="en-US" w:eastAsia="zh-CN"/>
              </w:rPr>
              <w:t>整机安装、调试服务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稳压装置</w:t>
            </w:r>
            <w:r>
              <w:rPr>
                <w:rFonts w:hint="eastAsia" w:ascii="CESI_SS_GB18030" w:hAnsi="CESI_SS_GB18030" w:eastAsia="CESI_SS_GB18030" w:cs="CESI_SS_GB18030"/>
                <w:color w:val="auto"/>
                <w:sz w:val="21"/>
                <w:szCs w:val="21"/>
                <w:highlight w:val="none"/>
                <w:lang w:val="en-US" w:eastAsia="zh-CN"/>
              </w:rPr>
              <w:t>整机安装、调试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，交付改进后样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机2台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次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11000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5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left"/>
              <w:rPr>
                <w:rFonts w:hint="default" w:cs="Times New Roman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left"/>
              <w:rPr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协助配合业主方整机安装、调试、现场试用；交付功能齐全、稳定运行的成套装置。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21" w:hRule="atLeast"/>
        </w:trPr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5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Calibri" w:hAnsi="Calibri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sz w:val="21"/>
                <w:szCs w:val="21"/>
                <w:highlight w:val="none"/>
                <w:lang w:val="en-US" w:eastAsia="zh-CN"/>
              </w:rPr>
              <w:t>第三方检测服务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left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提供稳压装置用于第三方测试，交付第三方检测报告1份。</w:t>
            </w:r>
          </w:p>
        </w:tc>
        <w:tc>
          <w:tcPr>
            <w:tcW w:w="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4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8000</w:t>
            </w:r>
          </w:p>
        </w:tc>
        <w:tc>
          <w:tcPr>
            <w:tcW w:w="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5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8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left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提供第三方检验检测报告。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9" w:hRule="atLeast"/>
        </w:trPr>
        <w:tc>
          <w:tcPr>
            <w:tcW w:w="93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2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2228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center" w:pos="1957"/>
              </w:tabs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大写：</w:t>
            </w: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元</w:t>
            </w:r>
          </w:p>
        </w:tc>
        <w:tc>
          <w:tcPr>
            <w:tcW w:w="101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小写：</w:t>
            </w: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元</w:t>
            </w:r>
          </w:p>
        </w:tc>
        <w:tc>
          <w:tcPr>
            <w:tcW w:w="8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</w:tbl>
    <w:p>
      <w:pPr>
        <w:pStyle w:val="3"/>
        <w:keepNext/>
        <w:keepLines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2.2服务相关要求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1）报价方应按采购方对稳压装置的相关改进要求提供全套设计、加工、组装及样品试制方案，要求结合绿能科技公司的业务开展相关工作，后续要提供全套产品三维模型、二维工程图纸给采购方。样机需要在签订合同后60个自然日内完成交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（2）报价方应提供稳压装置样衣用于整机第三方测试，承担第三方测试产生的所有费用，并交付第三方检测报告1份。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（4）项目经验收通过后一次性结算与支付，项目结算总额不高于4.9万元。</w:t>
      </w:r>
    </w:p>
    <w:p>
      <w:pPr>
        <w:pStyle w:val="3"/>
        <w:keepNext/>
        <w:keepLines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bookmarkStart w:id="1" w:name="_Toc10945"/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2.3安全保密要求</w:t>
      </w:r>
      <w:bookmarkEnd w:id="1"/>
    </w:p>
    <w:p>
      <w:pPr>
        <w:pStyle w:val="17"/>
        <w:numPr>
          <w:ilvl w:val="0"/>
          <w:numId w:val="0"/>
        </w:numPr>
        <w:ind w:leftChars="0"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（1）供方在服务期间，负有保护本项目的网络安全、信息安全和系统数据安全的义务和责任；负有保护所持有、接触的属于或涉及商业秘密的信息安全的义务和责任。</w:t>
      </w:r>
    </w:p>
    <w:p>
      <w:pPr>
        <w:pStyle w:val="17"/>
        <w:numPr>
          <w:ilvl w:val="0"/>
          <w:numId w:val="0"/>
        </w:numPr>
        <w:ind w:leftChars="0"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（2）无论何种原因导致合同解除或终止，本项目约定下的保密条款、保密内容及相关的违约责任的约定仍然生效。保密期限为签订合同之后至永久，保密范围为项目所涉及的任何资料。</w:t>
      </w:r>
    </w:p>
    <w:p>
      <w:pPr>
        <w:pStyle w:val="3"/>
        <w:keepNext/>
        <w:keepLines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bookmarkStart w:id="2" w:name="_Toc15278"/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2.4项目验收要求</w:t>
      </w:r>
      <w:bookmarkEnd w:id="2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bookmarkStart w:id="3" w:name="_Toc413948021"/>
      <w:bookmarkEnd w:id="3"/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按需方的管理制度和要求进行到货验收。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>
      <w:pPr>
        <w:pStyle w:val="7"/>
        <w:jc w:val="both"/>
        <w:rPr>
          <w:rFonts w:hint="eastAsia" w:ascii="黑体" w:hAnsi="黑体" w:eastAsia="黑体" w:cs="黑体"/>
          <w:b w:val="0"/>
          <w:bCs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lang w:val="en-US" w:eastAsia="zh-CN"/>
        </w:rPr>
        <w:t>附件</w:t>
      </w:r>
    </w:p>
    <w:p>
      <w:pPr>
        <w:spacing w:before="0" w:after="100" w:line="264" w:lineRule="auto"/>
        <w:jc w:val="center"/>
      </w:pPr>
      <w:r>
        <w:rPr>
          <w:rFonts w:hint="eastAsia" w:ascii="Times New Roman" w:hAnsi="Times New Roman" w:eastAsia="黑体"/>
          <w:b/>
          <w:color w:val="000000"/>
          <w:sz w:val="28"/>
          <w:lang w:eastAsia="zh-CN"/>
        </w:rPr>
        <w:t>南方电网绿能科技</w:t>
      </w:r>
      <w:r>
        <w:rPr>
          <w:rFonts w:ascii="Times New Roman" w:hAnsi="Times New Roman" w:eastAsia="黑体"/>
          <w:b/>
          <w:color w:val="000000"/>
          <w:sz w:val="28"/>
        </w:rPr>
        <w:t>（广东）有限公司2026年配电网光储智能</w:t>
      </w:r>
      <w:r>
        <w:rPr>
          <w:rFonts w:ascii="Times New Roman" w:hAnsi="Times New Roman" w:eastAsia="黑体"/>
          <w:b/>
          <w:color w:val="000000"/>
          <w:sz w:val="28"/>
        </w:rPr>
        <w:br w:type="textWrapping"/>
      </w:r>
      <w:r>
        <w:rPr>
          <w:rFonts w:ascii="Times New Roman" w:hAnsi="Times New Roman" w:eastAsia="黑体"/>
          <w:b/>
          <w:color w:val="000000"/>
          <w:sz w:val="28"/>
        </w:rPr>
        <w:t>并联（混联）稳压装置原材料购置及代加工零星采购项目技术说明书</w:t>
      </w:r>
    </w:p>
    <w:p>
      <w:pPr>
        <w:spacing w:before="40" w:after="20" w:line="264" w:lineRule="auto"/>
      </w:pPr>
      <w:r>
        <w:rPr>
          <w:rFonts w:ascii="Times New Roman" w:hAnsi="Times New Roman" w:eastAsia="黑体"/>
          <w:b/>
          <w:color w:val="000000"/>
          <w:sz w:val="23"/>
        </w:rPr>
        <w:t>1 项目概述</w:t>
      </w:r>
    </w:p>
    <w:p>
      <w:pPr>
        <w:spacing w:after="0" w:line="276" w:lineRule="auto"/>
        <w:ind w:firstLine="420"/>
        <w:jc w:val="both"/>
      </w:pPr>
      <w:r>
        <w:rPr>
          <w:rFonts w:ascii="Times New Roman" w:hAnsi="Times New Roman" w:eastAsia="宋体"/>
          <w:b w:val="0"/>
          <w:color w:val="000000"/>
          <w:sz w:val="21"/>
        </w:rPr>
        <w:t>南方电网绿能科技（广东）有限公司为采购方，报价方为其提供配电网光储智能并联（混联）稳压装置的原材料购置及代加工服务。装置采用“光伏＋储能”绿色智能微储能方案，以“混联＋并联”方式接入电网，结合L-SVG与DVR混合补偿，实时动态监测节点电压与视在功率差缺值，补偿有功功率并小范围补偿无功功率，相当于新增智能接入电源点，将用户端电压抬升至正常水平，从根本上治理农村配电网末端长期“低电压”问题。</w:t>
      </w:r>
    </w:p>
    <w:p>
      <w:pPr>
        <w:spacing w:before="40" w:after="20" w:line="264" w:lineRule="auto"/>
      </w:pPr>
      <w:r>
        <w:rPr>
          <w:rFonts w:ascii="Times New Roman" w:hAnsi="Times New Roman" w:eastAsia="黑体"/>
          <w:b/>
          <w:color w:val="000000"/>
          <w:sz w:val="23"/>
        </w:rPr>
        <w:t>2 主要技术参数</w:t>
      </w:r>
    </w:p>
    <w:tbl>
      <w:tblPr>
        <w:tblStyle w:val="1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1"/>
        <w:gridCol w:w="69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701" w:type="dxa"/>
            <w:shd w:val="clear" w:color="auto" w:fill="D9D9D9"/>
            <w:vAlign w:val="center"/>
          </w:tcPr>
          <w:p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黑体"/>
                <w:b/>
                <w:color w:val="000000"/>
                <w:sz w:val="21"/>
              </w:rPr>
              <w:t>参数项</w:t>
            </w:r>
          </w:p>
        </w:tc>
        <w:tc>
          <w:tcPr>
            <w:tcW w:w="7370" w:type="dxa"/>
            <w:shd w:val="clear" w:color="auto" w:fill="D9D9D9"/>
            <w:vAlign w:val="center"/>
          </w:tcPr>
          <w:p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黑体"/>
                <w:b/>
                <w:color w:val="000000"/>
                <w:sz w:val="21"/>
              </w:rPr>
              <w:t>技术参数要求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工作电压</w:t>
            </w:r>
          </w:p>
        </w:tc>
        <w:tc>
          <w:tcPr>
            <w:tcW w:w="7370" w:type="dxa"/>
            <w:vAlign w:val="center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应用于0.4kV低压配电网末端线路的低电压治理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7" w:hRule="atLeast"/>
          <w:jc w:val="center"/>
        </w:trPr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接入方式</w:t>
            </w:r>
          </w:p>
        </w:tc>
        <w:tc>
          <w:tcPr>
            <w:tcW w:w="7370" w:type="dxa"/>
            <w:vAlign w:val="center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“光伏＋储能”，以“混联＋并联”方式接入电网，形成智能微储能接入电源点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电压补偿</w:t>
            </w:r>
          </w:p>
        </w:tc>
        <w:tc>
          <w:tcPr>
            <w:tcW w:w="7370" w:type="dxa"/>
            <w:vAlign w:val="center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结合L-SVG与DVR混合补偿，实时动态监测节点电压与视在功率差缺值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电压提升</w:t>
            </w:r>
          </w:p>
        </w:tc>
        <w:tc>
          <w:tcPr>
            <w:tcW w:w="7370" w:type="dxa"/>
            <w:vAlign w:val="center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投运后平均电压提高约60V，末端最低电压稳定于195V以上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装置类型</w:t>
            </w:r>
          </w:p>
        </w:tc>
        <w:tc>
          <w:tcPr>
            <w:tcW w:w="7370" w:type="dxa"/>
            <w:vAlign w:val="center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配电网光储智能并联稳压装置、串联稳压装置各1套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可复用性</w:t>
            </w:r>
          </w:p>
        </w:tc>
        <w:tc>
          <w:tcPr>
            <w:tcW w:w="7370" w:type="dxa"/>
            <w:vAlign w:val="center"/>
          </w:tcPr>
          <w:p>
            <w:pPr>
              <w:spacing w:after="0" w:line="240" w:lineRule="auto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可拆卸、重复利用，施工周期约0.5天，适配新农村配网场景</w:t>
            </w:r>
          </w:p>
        </w:tc>
      </w:tr>
    </w:tbl>
    <w:p>
      <w:pPr>
        <w:spacing w:before="40" w:after="20" w:line="264" w:lineRule="auto"/>
      </w:pPr>
      <w:r>
        <w:rPr>
          <w:rFonts w:ascii="Times New Roman" w:hAnsi="Times New Roman" w:eastAsia="黑体"/>
          <w:b/>
          <w:color w:val="000000"/>
          <w:sz w:val="23"/>
        </w:rPr>
        <w:t>3 功能要求</w:t>
      </w:r>
    </w:p>
    <w:p>
      <w:pPr>
        <w:spacing w:after="0" w:line="276" w:lineRule="auto"/>
        <w:ind w:firstLine="420"/>
        <w:jc w:val="both"/>
      </w:pPr>
      <w:r>
        <w:rPr>
          <w:rFonts w:ascii="Times New Roman" w:hAnsi="Times New Roman" w:eastAsia="宋体"/>
          <w:b w:val="0"/>
          <w:color w:val="000000"/>
          <w:sz w:val="21"/>
        </w:rPr>
        <w:t>3.1 智能电压补偿：实时动态监测节点电压与视在功率差缺值，补偿有功功率并小范围补偿无功功率，将用户端电压精准抬升至正常水平。</w:t>
      </w:r>
    </w:p>
    <w:p>
      <w:pPr>
        <w:spacing w:after="0" w:line="276" w:lineRule="auto"/>
        <w:ind w:firstLine="420"/>
        <w:jc w:val="both"/>
      </w:pPr>
      <w:r>
        <w:rPr>
          <w:rFonts w:ascii="Times New Roman" w:hAnsi="Times New Roman" w:eastAsia="宋体"/>
          <w:b w:val="0"/>
          <w:color w:val="000000"/>
          <w:sz w:val="21"/>
        </w:rPr>
        <w:t>3.2 光储绿色接入：以“光伏＋储能”绿色智能微储能装置混联＋并联接入电网，相当于新增智能接入电源点，无需扩容线路。</w:t>
      </w:r>
    </w:p>
    <w:p>
      <w:pPr>
        <w:spacing w:after="0" w:line="276" w:lineRule="auto"/>
        <w:ind w:firstLine="420"/>
        <w:jc w:val="both"/>
      </w:pPr>
      <w:r>
        <w:rPr>
          <w:rFonts w:ascii="Times New Roman" w:hAnsi="Times New Roman" w:eastAsia="宋体"/>
          <w:b w:val="0"/>
          <w:color w:val="000000"/>
          <w:sz w:val="21"/>
        </w:rPr>
        <w:t>3.3 低电压治理：针对供电半径长、长期存在“低电压”的0.4kV线路末端实施根本性治理，保障农村大功率电器稳定运行。</w:t>
      </w:r>
    </w:p>
    <w:p>
      <w:pPr>
        <w:spacing w:after="0" w:line="276" w:lineRule="auto"/>
        <w:ind w:firstLine="420"/>
        <w:jc w:val="both"/>
      </w:pPr>
      <w:r>
        <w:rPr>
          <w:rFonts w:ascii="Times New Roman" w:hAnsi="Times New Roman" w:eastAsia="宋体"/>
          <w:b w:val="0"/>
          <w:color w:val="000000"/>
          <w:sz w:val="21"/>
        </w:rPr>
        <w:t>3.4 快速灵活部署：施工周期短、可拆卸重复利用，投资成本约为传统线路改造的50%甚至更低，适配新农村配网场景。</w:t>
      </w:r>
    </w:p>
    <w:p>
      <w:pPr>
        <w:spacing w:before="40" w:after="20" w:line="264" w:lineRule="auto"/>
      </w:pPr>
      <w:r>
        <w:rPr>
          <w:rFonts w:ascii="Times New Roman" w:hAnsi="Times New Roman" w:eastAsia="黑体"/>
          <w:b/>
          <w:color w:val="000000"/>
          <w:sz w:val="23"/>
        </w:rPr>
        <w:t>4 交付成果</w:t>
      </w:r>
    </w:p>
    <w:p>
      <w:pPr>
        <w:spacing w:after="0" w:line="276" w:lineRule="auto"/>
        <w:ind w:firstLine="420"/>
        <w:jc w:val="both"/>
      </w:pPr>
      <w:r>
        <w:rPr>
          <w:rFonts w:ascii="Times New Roman" w:hAnsi="Times New Roman" w:eastAsia="宋体"/>
          <w:b w:val="0"/>
          <w:color w:val="000000"/>
          <w:sz w:val="21"/>
        </w:rPr>
        <w:t>4.1 实物样品：交付配电网光储智能并联稳压装置、串联稳压装置样品各1件。</w:t>
      </w:r>
    </w:p>
    <w:p>
      <w:pPr>
        <w:spacing w:after="0" w:line="276" w:lineRule="auto"/>
        <w:ind w:firstLine="420"/>
        <w:jc w:val="both"/>
      </w:pPr>
      <w:r>
        <w:rPr>
          <w:rFonts w:ascii="Times New Roman" w:hAnsi="Times New Roman" w:eastAsia="宋体"/>
          <w:b w:val="0"/>
          <w:color w:val="000000"/>
          <w:sz w:val="21"/>
        </w:rPr>
        <w:t>4.2 技术文档：提供全套技术设计方案、使用说明书等技术资料。</w:t>
      </w:r>
    </w:p>
    <w:p>
      <w:pPr>
        <w:spacing w:after="0" w:line="276" w:lineRule="auto"/>
        <w:ind w:firstLine="420"/>
        <w:jc w:val="both"/>
      </w:pPr>
      <w:r>
        <w:rPr>
          <w:rFonts w:ascii="Times New Roman" w:hAnsi="Times New Roman" w:eastAsia="宋体"/>
          <w:b w:val="0"/>
          <w:color w:val="000000"/>
          <w:sz w:val="21"/>
        </w:rPr>
        <w:t>4.3 检测报告：提供第三方检验检测报告1份。</w:t>
      </w:r>
    </w:p>
    <w:p>
      <w:pPr>
        <w:spacing w:before="40" w:after="20" w:line="264" w:lineRule="auto"/>
      </w:pPr>
      <w:r>
        <w:rPr>
          <w:rFonts w:ascii="Times New Roman" w:hAnsi="Times New Roman" w:eastAsia="黑体"/>
          <w:b/>
          <w:color w:val="000000"/>
          <w:sz w:val="23"/>
        </w:rPr>
        <w:t>5 验收与结算</w:t>
      </w:r>
    </w:p>
    <w:p>
      <w:pPr>
        <w:spacing w:after="0" w:line="276" w:lineRule="auto"/>
        <w:ind w:firstLine="420"/>
        <w:jc w:val="both"/>
        <w:rPr>
          <w:rFonts w:hint="eastAsia" w:eastAsia="宋体"/>
          <w:lang w:eastAsia="zh-CN"/>
        </w:rPr>
      </w:pPr>
      <w:r>
        <w:rPr>
          <w:rFonts w:ascii="Times New Roman" w:hAnsi="Times New Roman" w:eastAsia="宋体"/>
          <w:b w:val="0"/>
          <w:color w:val="000000"/>
          <w:sz w:val="21"/>
        </w:rPr>
        <w:t>按需方管理制度和要求进行到货验收；项目经验收通过后一次性结算与支付</w:t>
      </w:r>
      <w:r>
        <w:rPr>
          <w:rFonts w:hint="eastAsia" w:ascii="Times New Roman" w:hAnsi="Times New Roman" w:eastAsia="宋体"/>
          <w:b w:val="0"/>
          <w:color w:val="000000"/>
          <w:sz w:val="21"/>
          <w:lang w:eastAsia="zh-CN"/>
        </w:rPr>
        <w:t>。</w:t>
      </w:r>
    </w:p>
    <w:p>
      <w:pPr>
        <w:rPr>
          <w:rFonts w:hint="eastAsia"/>
          <w:lang w:val="en-US" w:eastAsia="zh-CN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3ED9709-51B7-42A0-A4F6-C6D703CA03A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7AAD08B9-4DE3-4162-BE8B-1DA1FD8D34A5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BD4036CB-02D7-4AD6-AF73-DA0A1B725F6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C92BEC0B-95B2-4FDB-845E-709FBEE7A092}"/>
  </w:font>
  <w:font w:name="CESI_SS_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  <w:embedRegular r:id="rId5" w:fontKey="{E99C35C9-A793-4EF4-98DB-06BBF5C533E6}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VmMWU1MmU3NWM3N2NmZTcyOGNjYzlhODkwMzEwOGMifQ=="/>
  </w:docVars>
  <w:rsids>
    <w:rsidRoot w:val="00172A27"/>
    <w:rsid w:val="00E33444"/>
    <w:rsid w:val="01422732"/>
    <w:rsid w:val="02223D56"/>
    <w:rsid w:val="02C350D2"/>
    <w:rsid w:val="033F1951"/>
    <w:rsid w:val="039C7E97"/>
    <w:rsid w:val="04506958"/>
    <w:rsid w:val="048B377C"/>
    <w:rsid w:val="062702A8"/>
    <w:rsid w:val="066E0BE5"/>
    <w:rsid w:val="06C9422E"/>
    <w:rsid w:val="07406F39"/>
    <w:rsid w:val="0769037B"/>
    <w:rsid w:val="097035F9"/>
    <w:rsid w:val="09732F58"/>
    <w:rsid w:val="09BE4A8F"/>
    <w:rsid w:val="0A0C1573"/>
    <w:rsid w:val="0AA3226E"/>
    <w:rsid w:val="0BB50C90"/>
    <w:rsid w:val="0D73132E"/>
    <w:rsid w:val="0DCB0476"/>
    <w:rsid w:val="0E7A51CD"/>
    <w:rsid w:val="0EE526EA"/>
    <w:rsid w:val="0EEF6D6E"/>
    <w:rsid w:val="0F2E5DDF"/>
    <w:rsid w:val="102655E1"/>
    <w:rsid w:val="11E132E5"/>
    <w:rsid w:val="12BE5808"/>
    <w:rsid w:val="12CB30C7"/>
    <w:rsid w:val="15914F7B"/>
    <w:rsid w:val="15A510A7"/>
    <w:rsid w:val="15EF0FCE"/>
    <w:rsid w:val="16124FC5"/>
    <w:rsid w:val="169D4817"/>
    <w:rsid w:val="16C9740F"/>
    <w:rsid w:val="171E4FDB"/>
    <w:rsid w:val="17231CAA"/>
    <w:rsid w:val="173043C7"/>
    <w:rsid w:val="17320A4C"/>
    <w:rsid w:val="1882698E"/>
    <w:rsid w:val="189D326A"/>
    <w:rsid w:val="18AB7130"/>
    <w:rsid w:val="19A928E0"/>
    <w:rsid w:val="1A1B7FC6"/>
    <w:rsid w:val="1A1E286B"/>
    <w:rsid w:val="1AD84D6E"/>
    <w:rsid w:val="1AEE43A9"/>
    <w:rsid w:val="1B087B35"/>
    <w:rsid w:val="1B5A7C65"/>
    <w:rsid w:val="1B7067BA"/>
    <w:rsid w:val="1B8B7D54"/>
    <w:rsid w:val="1BF65BDF"/>
    <w:rsid w:val="1C9F4679"/>
    <w:rsid w:val="1CBB6352"/>
    <w:rsid w:val="1CFD76A5"/>
    <w:rsid w:val="1D271DC8"/>
    <w:rsid w:val="1F1A1404"/>
    <w:rsid w:val="1F311F01"/>
    <w:rsid w:val="21374317"/>
    <w:rsid w:val="21722B2B"/>
    <w:rsid w:val="217B46FD"/>
    <w:rsid w:val="21851F92"/>
    <w:rsid w:val="21B300CF"/>
    <w:rsid w:val="24E67F93"/>
    <w:rsid w:val="256622E7"/>
    <w:rsid w:val="26C3134B"/>
    <w:rsid w:val="2716696E"/>
    <w:rsid w:val="275A2466"/>
    <w:rsid w:val="284B72B3"/>
    <w:rsid w:val="288F5E9D"/>
    <w:rsid w:val="29365CAD"/>
    <w:rsid w:val="29AA01EA"/>
    <w:rsid w:val="2A0400B6"/>
    <w:rsid w:val="2A3740C8"/>
    <w:rsid w:val="2AAA1BA4"/>
    <w:rsid w:val="2AAF417D"/>
    <w:rsid w:val="2ACF41CB"/>
    <w:rsid w:val="2B131A7E"/>
    <w:rsid w:val="2B146C5A"/>
    <w:rsid w:val="2B8F2E4C"/>
    <w:rsid w:val="2E8D76D6"/>
    <w:rsid w:val="2F0A3A24"/>
    <w:rsid w:val="2F3B4EEB"/>
    <w:rsid w:val="2F867E16"/>
    <w:rsid w:val="30C10112"/>
    <w:rsid w:val="31555403"/>
    <w:rsid w:val="31E34D8C"/>
    <w:rsid w:val="32ED471A"/>
    <w:rsid w:val="337367C1"/>
    <w:rsid w:val="341C1B03"/>
    <w:rsid w:val="346E3EE9"/>
    <w:rsid w:val="35386C3E"/>
    <w:rsid w:val="361F1221"/>
    <w:rsid w:val="36944320"/>
    <w:rsid w:val="37F830A1"/>
    <w:rsid w:val="382755B1"/>
    <w:rsid w:val="3838207C"/>
    <w:rsid w:val="390C0398"/>
    <w:rsid w:val="394924CF"/>
    <w:rsid w:val="39B76556"/>
    <w:rsid w:val="39D53485"/>
    <w:rsid w:val="39FC3121"/>
    <w:rsid w:val="3B5E2A01"/>
    <w:rsid w:val="3BCA09A8"/>
    <w:rsid w:val="3BCE2161"/>
    <w:rsid w:val="3C1020AE"/>
    <w:rsid w:val="3C174A4A"/>
    <w:rsid w:val="3CD14092"/>
    <w:rsid w:val="3D2077B5"/>
    <w:rsid w:val="3E4145DA"/>
    <w:rsid w:val="3E485E32"/>
    <w:rsid w:val="3E560401"/>
    <w:rsid w:val="3F6004F9"/>
    <w:rsid w:val="3F6A5E19"/>
    <w:rsid w:val="3F871796"/>
    <w:rsid w:val="3FE57098"/>
    <w:rsid w:val="40802243"/>
    <w:rsid w:val="40857B77"/>
    <w:rsid w:val="41480D2F"/>
    <w:rsid w:val="414975BC"/>
    <w:rsid w:val="4157061F"/>
    <w:rsid w:val="416A331D"/>
    <w:rsid w:val="427A5563"/>
    <w:rsid w:val="43AF71D5"/>
    <w:rsid w:val="44974F2C"/>
    <w:rsid w:val="44F22B38"/>
    <w:rsid w:val="455B74FC"/>
    <w:rsid w:val="45B5636D"/>
    <w:rsid w:val="485E1E46"/>
    <w:rsid w:val="48A37E1F"/>
    <w:rsid w:val="48F61F9F"/>
    <w:rsid w:val="49647D77"/>
    <w:rsid w:val="49760C27"/>
    <w:rsid w:val="498176A7"/>
    <w:rsid w:val="4D502B15"/>
    <w:rsid w:val="4D5D40FA"/>
    <w:rsid w:val="4E6D2B88"/>
    <w:rsid w:val="4E76382D"/>
    <w:rsid w:val="4EBE5040"/>
    <w:rsid w:val="4F8B1BBF"/>
    <w:rsid w:val="4FF02E34"/>
    <w:rsid w:val="50433BDF"/>
    <w:rsid w:val="50770396"/>
    <w:rsid w:val="50DA34CF"/>
    <w:rsid w:val="511366B1"/>
    <w:rsid w:val="51B52289"/>
    <w:rsid w:val="526B2842"/>
    <w:rsid w:val="531D66D7"/>
    <w:rsid w:val="536C331E"/>
    <w:rsid w:val="53E4465E"/>
    <w:rsid w:val="55393E6B"/>
    <w:rsid w:val="55486AED"/>
    <w:rsid w:val="566B4385"/>
    <w:rsid w:val="57196B0A"/>
    <w:rsid w:val="582D0A07"/>
    <w:rsid w:val="59837DAB"/>
    <w:rsid w:val="59864AEC"/>
    <w:rsid w:val="59B46D9B"/>
    <w:rsid w:val="59EA7E2A"/>
    <w:rsid w:val="5A53777D"/>
    <w:rsid w:val="5B17578F"/>
    <w:rsid w:val="5CC1509B"/>
    <w:rsid w:val="5CEF5C7C"/>
    <w:rsid w:val="5D656145"/>
    <w:rsid w:val="5D8E679F"/>
    <w:rsid w:val="5DA46C2D"/>
    <w:rsid w:val="5E7B7098"/>
    <w:rsid w:val="5EC6163E"/>
    <w:rsid w:val="60765F74"/>
    <w:rsid w:val="610E1B29"/>
    <w:rsid w:val="61A471A2"/>
    <w:rsid w:val="61F53312"/>
    <w:rsid w:val="620F042E"/>
    <w:rsid w:val="63140209"/>
    <w:rsid w:val="63CF4045"/>
    <w:rsid w:val="63D805B9"/>
    <w:rsid w:val="64EF75A6"/>
    <w:rsid w:val="6534761E"/>
    <w:rsid w:val="6569460E"/>
    <w:rsid w:val="65DC2D1D"/>
    <w:rsid w:val="664E3DBE"/>
    <w:rsid w:val="66B9772A"/>
    <w:rsid w:val="66F21AA4"/>
    <w:rsid w:val="6832131A"/>
    <w:rsid w:val="690F44C9"/>
    <w:rsid w:val="6B2036AC"/>
    <w:rsid w:val="6B761D3E"/>
    <w:rsid w:val="6BB64299"/>
    <w:rsid w:val="6E3B205D"/>
    <w:rsid w:val="6E6901FB"/>
    <w:rsid w:val="6EE36ECA"/>
    <w:rsid w:val="6EF83545"/>
    <w:rsid w:val="6F491927"/>
    <w:rsid w:val="6F810491"/>
    <w:rsid w:val="705A407C"/>
    <w:rsid w:val="70F320AC"/>
    <w:rsid w:val="72E32531"/>
    <w:rsid w:val="74040EA5"/>
    <w:rsid w:val="740C5027"/>
    <w:rsid w:val="74604ED0"/>
    <w:rsid w:val="75BC5488"/>
    <w:rsid w:val="76050FAF"/>
    <w:rsid w:val="760A7538"/>
    <w:rsid w:val="768A6D70"/>
    <w:rsid w:val="77084C62"/>
    <w:rsid w:val="77AA4A6D"/>
    <w:rsid w:val="782868AB"/>
    <w:rsid w:val="784A3F46"/>
    <w:rsid w:val="78B95140"/>
    <w:rsid w:val="78BE391B"/>
    <w:rsid w:val="79337682"/>
    <w:rsid w:val="79C80AC1"/>
    <w:rsid w:val="79CA11DC"/>
    <w:rsid w:val="7A91206F"/>
    <w:rsid w:val="7A97447A"/>
    <w:rsid w:val="7B395012"/>
    <w:rsid w:val="7C386C10"/>
    <w:rsid w:val="7C79189C"/>
    <w:rsid w:val="7CA911FE"/>
    <w:rsid w:val="7E154B2B"/>
    <w:rsid w:val="7E221091"/>
    <w:rsid w:val="7E2C248C"/>
    <w:rsid w:val="7E4B3434"/>
    <w:rsid w:val="7EE36A72"/>
    <w:rsid w:val="7F5D4081"/>
    <w:rsid w:val="7F867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400" w:lineRule="exact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400" w:lineRule="exact"/>
      <w:outlineLvl w:val="0"/>
    </w:pPr>
    <w:rPr>
      <w:b/>
      <w:kern w:val="44"/>
      <w:sz w:val="30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240" w:lineRule="auto"/>
      <w:outlineLvl w:val="1"/>
    </w:pPr>
    <w:rPr>
      <w:rFonts w:ascii="Arial" w:hAnsi="Arial" w:eastAsia="宋体"/>
      <w:b/>
      <w:sz w:val="25"/>
    </w:rPr>
  </w:style>
  <w:style w:type="paragraph" w:styleId="4">
    <w:name w:val="heading 3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next w:val="7"/>
    <w:qFormat/>
    <w:uiPriority w:val="0"/>
    <w:pPr>
      <w:spacing w:after="120" w:afterLines="0" w:afterAutospacing="0"/>
    </w:pPr>
  </w:style>
  <w:style w:type="paragraph" w:styleId="7">
    <w:name w:val="Title"/>
    <w:basedOn w:val="1"/>
    <w:next w:val="1"/>
    <w:qFormat/>
    <w:uiPriority w:val="1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2">
    <w:name w:val="Table Grid"/>
    <w:basedOn w:val="11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uiPriority w:val="0"/>
    <w:rPr>
      <w:b/>
    </w:rPr>
  </w:style>
  <w:style w:type="character" w:customStyle="1" w:styleId="15">
    <w:name w:val="font11"/>
    <w:basedOn w:val="13"/>
    <w:qFormat/>
    <w:uiPriority w:val="0"/>
    <w:rPr>
      <w:rFonts w:hint="default" w:ascii="Arial" w:hAnsi="Arial" w:cs="Arial"/>
      <w:color w:val="000000"/>
      <w:sz w:val="22"/>
      <w:szCs w:val="22"/>
      <w:u w:val="none"/>
    </w:rPr>
  </w:style>
  <w:style w:type="character" w:customStyle="1" w:styleId="16">
    <w:name w:val="font01"/>
    <w:basedOn w:val="13"/>
    <w:qFormat/>
    <w:uiPriority w:val="0"/>
    <w:rPr>
      <w:rFonts w:ascii="微软雅黑" w:hAnsi="微软雅黑" w:eastAsia="微软雅黑" w:cs="微软雅黑"/>
      <w:color w:val="000000"/>
      <w:sz w:val="22"/>
      <w:szCs w:val="22"/>
      <w:u w:val="none"/>
    </w:rPr>
  </w:style>
  <w:style w:type="paragraph" w:customStyle="1" w:styleId="17">
    <w:name w:val="列出段落1"/>
    <w:basedOn w:val="1"/>
    <w:qFormat/>
    <w:uiPriority w:val="34"/>
    <w:pPr>
      <w:widowControl/>
      <w:spacing w:line="360" w:lineRule="auto"/>
      <w:ind w:firstLine="420" w:firstLineChars="200"/>
    </w:pPr>
    <w:rPr>
      <w:rFonts w:ascii="Calibri" w:hAnsi="Calibri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878</Words>
  <Characters>908</Characters>
  <Lines>0</Lines>
  <Paragraphs>0</Paragraphs>
  <TotalTime>1</TotalTime>
  <ScaleCrop>false</ScaleCrop>
  <LinksUpToDate>false</LinksUpToDate>
  <CharactersWithSpaces>920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2024-09-09T06:04:00Z</dcterms:created>
  <dc:creator>刘伟</dc:creator>
  <cp:lastModifiedBy>吴张炜</cp:lastModifiedBy>
  <cp:lastPrinted>2025-03-06T07:46:00Z</cp:lastPrinted>
  <dcterms:modified xsi:type="dcterms:W3CDTF">2026-10-20T02:23:32Z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5E8BC582237C4ACB9E5D86341061F2BA</vt:lpwstr>
  </property>
  <property fmtid="{D5CDD505-2E9C-101B-9397-08002B2CF9AE}" pid="4" name="KSOTemplateDocerSaveRecord">
    <vt:lpwstr>eyJoZGlkIjoiZTkyZWQ0NTljOWU1ZTQwMGY0NDkwYzc5YTA1NWM0NGEiLCJ1c2VySWQiOiIzMDU4OTYxMTkifQ==</vt:lpwstr>
  </property>
</Properties>
</file>