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jc w:val="center"/>
        <w:textAlignment w:val="auto"/>
        <w:rPr>
          <w:rFonts w:hint="eastAsia" w:ascii="方正小标宋_GBK" w:hAnsi="方正小标宋_GBK" w:eastAsia="方正小标宋_GBK" w:cs="方正小标宋_GBK"/>
          <w:b w:val="0"/>
          <w:bCs w:val="0"/>
          <w:sz w:val="44"/>
          <w:szCs w:val="44"/>
          <w:lang w:val="en-US" w:eastAsia="zh-CN"/>
        </w:rPr>
      </w:pPr>
      <w:bookmarkStart w:id="0" w:name="_Hlk77898732"/>
      <w:bookmarkEnd w:id="0"/>
      <w:r>
        <w:rPr>
          <w:rFonts w:hint="eastAsia" w:ascii="方正小标宋_GBK" w:hAnsi="方正小标宋_GBK" w:eastAsia="方正小标宋_GBK" w:cs="方正小标宋_GBK"/>
          <w:b w:val="0"/>
          <w:bCs w:val="0"/>
          <w:sz w:val="44"/>
          <w:szCs w:val="44"/>
          <w:lang w:val="en-US" w:eastAsia="zh-CN"/>
        </w:rPr>
        <w:t>南方电网绿能科技（广东）有限公司2026年面向复杂应急场景的新型防护服装原材料购置及代加工零星采购项目技术规范书</w:t>
      </w:r>
    </w:p>
    <w:p>
      <w:pPr>
        <w:pStyle w:val="2"/>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1.采购范围</w:t>
      </w:r>
    </w:p>
    <w:p>
      <w:pPr>
        <w:pStyle w:val="6"/>
        <w:pageBreakBefore w:val="0"/>
        <w:widowControl w:val="0"/>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南方电网绿能科技（广东）有限公司为采购方，报价方为采购方提供面向复杂应急场景的新型防护服装原材料购置及代加工服务。采购方、报价方双方签订服务合同，服务期自合同签订起满一年，项目按照报价单的方式报价。</w:t>
      </w:r>
    </w:p>
    <w:p>
      <w:pPr>
        <w:pStyle w:val="2"/>
        <w:keepNext/>
        <w:keepLines/>
        <w:pageBreakBefore w:val="0"/>
        <w:widowControl w:val="0"/>
        <w:numPr>
          <w:ilvl w:val="0"/>
          <w:numId w:val="0"/>
        </w:numPr>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2.服务内容及要求</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2.1服务内容</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采购方委托报甲方提供的服务内容、数量如下：</w:t>
      </w:r>
    </w:p>
    <w:tbl>
      <w:tblPr>
        <w:tblStyle w:val="11"/>
        <w:tblpPr w:leftFromText="180" w:rightFromText="180" w:vertAnchor="text" w:horzAnchor="page" w:tblpX="1274" w:tblpY="225"/>
        <w:tblOverlap w:val="never"/>
        <w:tblW w:w="530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Layout w:type="fixed"/>
        <w:tblCellMar>
          <w:top w:w="15" w:type="dxa"/>
          <w:left w:w="15" w:type="dxa"/>
          <w:bottom w:w="15" w:type="dxa"/>
          <w:right w:w="15" w:type="dxa"/>
        </w:tblCellMar>
      </w:tblPr>
      <w:tblGrid>
        <w:gridCol w:w="600"/>
        <w:gridCol w:w="1050"/>
        <w:gridCol w:w="1935"/>
        <w:gridCol w:w="600"/>
        <w:gridCol w:w="540"/>
        <w:gridCol w:w="870"/>
        <w:gridCol w:w="885"/>
        <w:gridCol w:w="915"/>
        <w:gridCol w:w="14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95"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项目名称</w:t>
            </w:r>
          </w:p>
        </w:tc>
        <w:tc>
          <w:tcPr>
            <w:tcW w:w="4067" w:type="pct"/>
            <w:gridSpan w:val="7"/>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南网绿能科技（广东）有限公司2026年</w:t>
            </w:r>
            <w:r>
              <w:rPr>
                <w:rFonts w:hint="eastAsia" w:ascii="Times New Roman" w:hAnsi="Times New Roman" w:eastAsia="宋体" w:cs="Times New Roman"/>
                <w:color w:val="000000"/>
                <w:kern w:val="0"/>
                <w:sz w:val="21"/>
                <w:szCs w:val="21"/>
                <w:lang w:val="en-US" w:eastAsia="zh-CN"/>
              </w:rPr>
              <w:t>面向复杂应急场景的新型防护服装</w:t>
            </w:r>
            <w:r>
              <w:rPr>
                <w:rFonts w:hint="eastAsia" w:ascii="宋体" w:hAnsi="宋体"/>
                <w:color w:val="auto"/>
                <w:sz w:val="21"/>
                <w:szCs w:val="21"/>
                <w:highlight w:val="none"/>
                <w:lang w:val="en-US" w:eastAsia="zh-CN"/>
              </w:rPr>
              <w:t>原材料购置及代加工零星采购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513"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序号</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kern w:val="0"/>
                <w:sz w:val="21"/>
                <w:szCs w:val="21"/>
                <w:highlight w:val="none"/>
                <w:u w:val="none"/>
                <w:lang w:val="en-US" w:eastAsia="zh-CN" w:bidi="ar"/>
              </w:rPr>
              <w:t>明细</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规格型号</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left" w:pos="407"/>
              </w:tabs>
              <w:jc w:val="center"/>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单位</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kern w:val="0"/>
                <w:sz w:val="21"/>
                <w:szCs w:val="21"/>
                <w:highlight w:val="none"/>
                <w:u w:val="none"/>
                <w:lang w:val="en-US" w:eastAsia="zh-CN" w:bidi="ar"/>
              </w:rPr>
              <w:t>数量</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单价限价</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单价报价</w:t>
            </w: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sz w:val="21"/>
                <w:szCs w:val="21"/>
                <w:highlight w:val="none"/>
                <w:u w:val="none"/>
              </w:rPr>
            </w:pPr>
            <w:r>
              <w:rPr>
                <w:rFonts w:hint="eastAsia" w:ascii="宋体" w:hAnsi="宋体" w:eastAsia="宋体" w:cs="宋体"/>
                <w:i w:val="0"/>
                <w:color w:val="000000"/>
                <w:sz w:val="21"/>
                <w:szCs w:val="21"/>
                <w:highlight w:val="none"/>
                <w:u w:val="none"/>
                <w:lang w:val="en-US" w:eastAsia="zh-CN"/>
              </w:rPr>
              <w:t>金额小计</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jc w:val="center"/>
              <w:textAlignment w:val="center"/>
              <w:rPr>
                <w:rFonts w:hint="eastAsia"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90"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1</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CESI_SS_GB18030" w:hAnsi="CESI_SS_GB18030" w:eastAsia="CESI_SS_GB18030" w:cs="CESI_SS_GB18030"/>
                <w:color w:val="auto"/>
                <w:sz w:val="21"/>
                <w:szCs w:val="21"/>
                <w:highlight w:val="none"/>
                <w:lang w:val="en-US" w:eastAsia="zh-CN"/>
              </w:rPr>
              <w:t>原材料和零部件采购及加工服务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按照技术说明书中参数、功能等要求开展新型防护服装相关原材料及零部件的采购与加工</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color w:val="auto"/>
                <w:sz w:val="21"/>
                <w:szCs w:val="21"/>
                <w:highlight w:val="none"/>
                <w:lang w:val="en-US" w:eastAsia="zh-CN"/>
              </w:rPr>
              <w:t>套</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cs="宋体"/>
                <w:i w:val="0"/>
                <w:color w:val="000000"/>
                <w:kern w:val="2"/>
                <w:sz w:val="21"/>
                <w:szCs w:val="21"/>
                <w:highlight w:val="none"/>
                <w:u w:val="none"/>
                <w:lang w:val="en-US" w:eastAsia="zh-CN" w:bidi="ar-SA"/>
              </w:rPr>
              <w:t>20000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r>
              <w:rPr>
                <w:rFonts w:hint="eastAsia" w:ascii="宋体" w:hAnsi="宋体" w:eastAsia="宋体" w:cs="宋体"/>
                <w:color w:val="auto"/>
                <w:sz w:val="21"/>
                <w:szCs w:val="21"/>
                <w:highlight w:val="none"/>
                <w:lang w:val="en-US" w:eastAsia="zh-CN"/>
              </w:rPr>
              <w:t>按照业主方项目需求采购原材料和部件；并参与</w:t>
            </w:r>
            <w:r>
              <w:rPr>
                <w:rFonts w:hint="eastAsia" w:ascii="宋体" w:hAnsi="宋体"/>
                <w:color w:val="auto"/>
                <w:sz w:val="21"/>
                <w:szCs w:val="21"/>
                <w:highlight w:val="none"/>
                <w:lang w:val="en-US" w:eastAsia="zh-CN"/>
              </w:rPr>
              <w:t>项目原材料及零部件的加工。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385"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sz w:val="21"/>
                <w:szCs w:val="21"/>
                <w:highlight w:val="none"/>
                <w:u w:val="none"/>
                <w:lang w:val="en-US" w:eastAsia="zh-CN"/>
              </w:rPr>
            </w:pPr>
            <w:r>
              <w:rPr>
                <w:rFonts w:hint="eastAsia" w:ascii="宋体" w:hAnsi="宋体" w:eastAsia="宋体" w:cs="宋体"/>
                <w:i w:val="0"/>
                <w:color w:val="000000"/>
                <w:sz w:val="21"/>
                <w:szCs w:val="21"/>
                <w:highlight w:val="none"/>
                <w:u w:val="none"/>
                <w:lang w:val="en-US" w:eastAsia="zh-CN"/>
              </w:rPr>
              <w:t>2</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default" w:ascii="Calibri" w:hAnsi="Calibri" w:cs="Times New Roman"/>
                <w:sz w:val="21"/>
                <w:szCs w:val="21"/>
                <w:highlight w:val="none"/>
                <w:lang w:val="en-US" w:eastAsia="zh-CN"/>
              </w:rPr>
            </w:pPr>
            <w:r>
              <w:rPr>
                <w:rFonts w:hint="eastAsia" w:ascii="CESI_SS_GB18030" w:hAnsi="CESI_SS_GB18030" w:eastAsia="CESI_SS_GB18030" w:cs="CESI_SS_GB18030"/>
                <w:color w:val="auto"/>
                <w:sz w:val="21"/>
                <w:szCs w:val="21"/>
                <w:highlight w:val="none"/>
                <w:lang w:val="en-US" w:eastAsia="zh-CN"/>
              </w:rPr>
              <w:t>整衣打板试制、样衣测试服务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新型防护服装结构设计、版型优化与样品试制，交付改进后样衣</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件</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color w:val="auto"/>
                <w:sz w:val="21"/>
                <w:szCs w:val="21"/>
                <w:highlight w:val="none"/>
                <w:lang w:val="en-US" w:eastAsia="zh-CN"/>
              </w:rPr>
              <w:t>件</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sz w:val="21"/>
                <w:szCs w:val="21"/>
                <w:highlight w:val="none"/>
                <w:u w:val="none"/>
                <w:lang w:val="en-US" w:eastAsia="zh-CN"/>
              </w:rPr>
            </w:pPr>
            <w:r>
              <w:rPr>
                <w:rFonts w:hint="eastAsia" w:ascii="宋体" w:hAnsi="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20000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cs="Times New Roman"/>
                <w:sz w:val="21"/>
                <w:szCs w:val="21"/>
                <w:highlight w:val="none"/>
                <w:lang w:val="en-US" w:eastAsia="zh-CN"/>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sz w:val="21"/>
                <w:szCs w:val="21"/>
                <w:highlight w:val="none"/>
              </w:rPr>
            </w:pPr>
            <w:r>
              <w:rPr>
                <w:rFonts w:hint="eastAsia" w:ascii="宋体" w:hAnsi="宋体"/>
                <w:color w:val="auto"/>
                <w:sz w:val="21"/>
                <w:szCs w:val="21"/>
                <w:highlight w:val="none"/>
                <w:lang w:val="en-US" w:eastAsia="zh-CN"/>
              </w:rPr>
              <w:t>协助配合业主方整衣打板试制样衣并开展现场试用；交付功能齐全、稳定运行的成衣。</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1421" w:hRule="atLeast"/>
        </w:trPr>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3</w:t>
            </w:r>
          </w:p>
        </w:tc>
        <w:tc>
          <w:tcPr>
            <w:tcW w:w="5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center"/>
              <w:rPr>
                <w:rFonts w:hint="eastAsia" w:ascii="Calibri" w:hAnsi="Calibri" w:eastAsia="宋体" w:cs="Times New Roman"/>
                <w:kern w:val="2"/>
                <w:sz w:val="21"/>
                <w:szCs w:val="21"/>
                <w:highlight w:val="none"/>
                <w:lang w:val="en-US" w:eastAsia="zh-CN" w:bidi="ar-SA"/>
              </w:rPr>
            </w:pPr>
            <w:r>
              <w:rPr>
                <w:rFonts w:hint="eastAsia" w:ascii="Calibri" w:hAnsi="Calibri" w:cs="Times New Roman"/>
                <w:sz w:val="21"/>
                <w:szCs w:val="21"/>
                <w:highlight w:val="none"/>
                <w:lang w:val="en-US" w:eastAsia="zh-CN"/>
              </w:rPr>
              <w:t>第三方检测服务</w:t>
            </w:r>
          </w:p>
        </w:tc>
        <w:tc>
          <w:tcPr>
            <w:tcW w:w="1093"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spacing w:after="0" w:line="240" w:lineRule="auto"/>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提供新型防护服装用于第三方测试，交付第三方检测报告1份。</w:t>
            </w:r>
          </w:p>
        </w:tc>
        <w:tc>
          <w:tcPr>
            <w:tcW w:w="338"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color w:val="auto"/>
                <w:sz w:val="21"/>
                <w:szCs w:val="21"/>
                <w:highlight w:val="none"/>
                <w:lang w:val="en-US" w:eastAsia="zh-CN"/>
              </w:rPr>
              <w:t>次</w:t>
            </w:r>
          </w:p>
        </w:tc>
        <w:tc>
          <w:tcPr>
            <w:tcW w:w="305"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eastAsia="宋体" w:cs="宋体"/>
                <w:i w:val="0"/>
                <w:color w:val="000000"/>
                <w:sz w:val="21"/>
                <w:szCs w:val="21"/>
                <w:highlight w:val="none"/>
                <w:u w:val="none"/>
                <w:lang w:val="en-US" w:eastAsia="zh-CN"/>
              </w:rPr>
              <w:t>1</w:t>
            </w:r>
          </w:p>
        </w:tc>
        <w:tc>
          <w:tcPr>
            <w:tcW w:w="491"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eastAsia" w:ascii="宋体" w:hAnsi="宋体" w:eastAsia="宋体" w:cs="宋体"/>
                <w:i w:val="0"/>
                <w:color w:val="000000"/>
                <w:kern w:val="2"/>
                <w:sz w:val="21"/>
                <w:szCs w:val="21"/>
                <w:highlight w:val="none"/>
                <w:u w:val="none"/>
                <w:lang w:val="en-US" w:eastAsia="zh-CN" w:bidi="ar-SA"/>
              </w:rPr>
            </w:pPr>
            <w:r>
              <w:rPr>
                <w:rFonts w:hint="eastAsia" w:ascii="宋体" w:hAnsi="宋体" w:cs="宋体"/>
                <w:i w:val="0"/>
                <w:color w:val="000000"/>
                <w:kern w:val="2"/>
                <w:sz w:val="21"/>
                <w:szCs w:val="21"/>
                <w:highlight w:val="none"/>
                <w:u w:val="none"/>
                <w:lang w:val="en-US" w:eastAsia="zh-CN" w:bidi="ar-SA"/>
              </w:rPr>
              <w:t>9</w:t>
            </w:r>
            <w:r>
              <w:rPr>
                <w:rFonts w:hint="eastAsia" w:ascii="宋体" w:hAnsi="宋体" w:eastAsia="宋体" w:cs="宋体"/>
                <w:i w:val="0"/>
                <w:color w:val="000000"/>
                <w:kern w:val="2"/>
                <w:sz w:val="21"/>
                <w:szCs w:val="21"/>
                <w:highlight w:val="none"/>
                <w:u w:val="none"/>
                <w:lang w:val="en-US" w:eastAsia="zh-CN" w:bidi="ar-SA"/>
              </w:rPr>
              <w:t>000</w:t>
            </w:r>
          </w:p>
        </w:tc>
        <w:tc>
          <w:tcPr>
            <w:tcW w:w="500"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center"/>
              <w:rPr>
                <w:rFonts w:hint="default" w:ascii="宋体" w:hAnsi="宋体" w:eastAsia="宋体" w:cs="宋体"/>
                <w:i w:val="0"/>
                <w:color w:val="000000"/>
                <w:kern w:val="2"/>
                <w:sz w:val="21"/>
                <w:szCs w:val="21"/>
                <w:highlight w:val="none"/>
                <w:u w:val="none"/>
                <w:lang w:val="en-US" w:eastAsia="zh-CN" w:bidi="ar-SA"/>
              </w:rPr>
            </w:pPr>
          </w:p>
        </w:tc>
        <w:tc>
          <w:tcPr>
            <w:tcW w:w="516"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Times New Roman" w:hAnsi="Times New Roman" w:eastAsia="宋体" w:cs="Times New Roman"/>
                <w:kern w:val="2"/>
                <w:sz w:val="21"/>
                <w:szCs w:val="21"/>
                <w:highlight w:val="none"/>
                <w:lang w:val="en-US" w:eastAsia="zh-CN" w:bidi="ar-SA"/>
              </w:rPr>
            </w:pP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Times New Roman" w:hAnsi="Times New Roman" w:eastAsia="宋体" w:cs="Times New Roman"/>
                <w:kern w:val="2"/>
                <w:sz w:val="21"/>
                <w:szCs w:val="21"/>
                <w:highlight w:val="none"/>
                <w:lang w:val="en-US" w:eastAsia="zh-CN" w:bidi="ar-SA"/>
              </w:rPr>
            </w:pPr>
            <w:r>
              <w:rPr>
                <w:rFonts w:hint="eastAsia" w:ascii="宋体" w:hAnsi="宋体"/>
                <w:color w:val="auto"/>
                <w:sz w:val="21"/>
                <w:szCs w:val="21"/>
                <w:highlight w:val="none"/>
                <w:lang w:val="en-US" w:eastAsia="zh-CN"/>
              </w:rPr>
              <w:t>提供第三方检验检测报告。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hemeFill="background1"/>
          <w:tblCellMar>
            <w:top w:w="15" w:type="dxa"/>
            <w:left w:w="15" w:type="dxa"/>
            <w:bottom w:w="15" w:type="dxa"/>
            <w:right w:w="15" w:type="dxa"/>
          </w:tblCellMar>
        </w:tblPrEx>
        <w:trPr>
          <w:trHeight w:val="719" w:hRule="atLeast"/>
        </w:trPr>
        <w:tc>
          <w:tcPr>
            <w:tcW w:w="932"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ind w:firstLine="420" w:firstLineChars="200"/>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合计</w:t>
            </w:r>
          </w:p>
        </w:tc>
        <w:tc>
          <w:tcPr>
            <w:tcW w:w="2228" w:type="pct"/>
            <w:gridSpan w:val="4"/>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keepNext w:val="0"/>
              <w:keepLines w:val="0"/>
              <w:widowControl/>
              <w:suppressLineNumbers w:val="0"/>
              <w:tabs>
                <w:tab w:val="center" w:pos="1957"/>
              </w:tabs>
              <w:jc w:val="both"/>
              <w:textAlignment w:val="center"/>
              <w:rPr>
                <w:rFonts w:hint="default" w:ascii="宋体" w:hAnsi="宋体" w:eastAsia="宋体" w:cs="宋体"/>
                <w:i w:val="0"/>
                <w:color w:val="000000"/>
                <w:kern w:val="0"/>
                <w:sz w:val="21"/>
                <w:szCs w:val="21"/>
                <w:highlight w:val="none"/>
                <w:u w:val="none"/>
                <w:lang w:val="en-US" w:eastAsia="zh-CN" w:bidi="ar"/>
              </w:rPr>
            </w:pPr>
            <w:r>
              <w:rPr>
                <w:rFonts w:hint="eastAsia" w:ascii="宋体" w:hAnsi="宋体" w:eastAsia="宋体" w:cs="宋体"/>
                <w:i w:val="0"/>
                <w:color w:val="000000"/>
                <w:kern w:val="0"/>
                <w:sz w:val="21"/>
                <w:szCs w:val="21"/>
                <w:highlight w:val="none"/>
                <w:u w:val="none"/>
                <w:lang w:val="en-US" w:eastAsia="zh-CN" w:bidi="ar"/>
              </w:rPr>
              <w:t>大写：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kern w:val="0"/>
                <w:sz w:val="21"/>
                <w:szCs w:val="21"/>
                <w:highlight w:val="none"/>
                <w:u w:val="none"/>
                <w:lang w:val="en-US" w:eastAsia="zh-CN" w:bidi="ar"/>
              </w:rPr>
              <w:t>元</w:t>
            </w:r>
          </w:p>
        </w:tc>
        <w:tc>
          <w:tcPr>
            <w:tcW w:w="1016" w:type="pct"/>
            <w:gridSpan w:val="2"/>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default" w:ascii="宋体" w:hAnsi="宋体" w:eastAsia="宋体" w:cs="宋体"/>
                <w:i w:val="0"/>
                <w:color w:val="000000"/>
                <w:sz w:val="21"/>
                <w:szCs w:val="21"/>
                <w:highlight w:val="none"/>
                <w:u w:val="none"/>
                <w:lang w:val="en-US"/>
              </w:rPr>
            </w:pPr>
            <w:r>
              <w:rPr>
                <w:rFonts w:hint="eastAsia" w:ascii="宋体" w:hAnsi="宋体" w:eastAsia="宋体" w:cs="宋体"/>
                <w:i w:val="0"/>
                <w:color w:val="000000"/>
                <w:sz w:val="21"/>
                <w:szCs w:val="21"/>
                <w:highlight w:val="none"/>
                <w:u w:val="none"/>
                <w:lang w:val="en-US" w:eastAsia="zh-CN"/>
              </w:rPr>
              <w:t>小写：</w:t>
            </w:r>
            <w:r>
              <w:rPr>
                <w:rFonts w:hint="eastAsia" w:ascii="宋体" w:hAnsi="宋体" w:cs="宋体"/>
                <w:i w:val="0"/>
                <w:color w:val="000000"/>
                <w:sz w:val="21"/>
                <w:szCs w:val="21"/>
                <w:highlight w:val="none"/>
                <w:u w:val="single"/>
                <w:lang w:val="en-US" w:eastAsia="zh-CN"/>
              </w:rPr>
              <w:t xml:space="preserve">      </w:t>
            </w:r>
            <w:r>
              <w:rPr>
                <w:rFonts w:hint="eastAsia" w:ascii="宋体" w:hAnsi="宋体" w:cs="宋体"/>
                <w:i w:val="0"/>
                <w:color w:val="000000"/>
                <w:sz w:val="21"/>
                <w:szCs w:val="21"/>
                <w:highlight w:val="none"/>
                <w:u w:val="none"/>
                <w:lang w:val="en-US" w:eastAsia="zh-CN"/>
              </w:rPr>
              <w:t>元</w:t>
            </w:r>
          </w:p>
        </w:tc>
        <w:tc>
          <w:tcPr>
            <w:tcW w:w="822" w:type="pct"/>
            <w:tcBorders>
              <w:top w:val="single" w:color="000000" w:sz="4" w:space="0"/>
              <w:left w:val="single" w:color="000000" w:sz="4" w:space="0"/>
              <w:bottom w:val="single" w:color="000000" w:sz="4" w:space="0"/>
              <w:right w:val="single" w:color="000000" w:sz="4" w:space="0"/>
            </w:tcBorders>
            <w:shd w:val="clear" w:color="auto" w:fill="FFFFFF" w:themeFill="background1"/>
            <w:vAlign w:val="center"/>
          </w:tcPr>
          <w:p>
            <w:pPr>
              <w:jc w:val="left"/>
              <w:rPr>
                <w:rFonts w:hint="eastAsia" w:ascii="宋体" w:hAnsi="宋体" w:eastAsia="宋体" w:cs="宋体"/>
                <w:i w:val="0"/>
                <w:color w:val="000000"/>
                <w:sz w:val="21"/>
                <w:szCs w:val="21"/>
                <w:highlight w:val="none"/>
                <w:u w:val="none"/>
              </w:rPr>
            </w:pPr>
          </w:p>
        </w:tc>
      </w:tr>
    </w:tbl>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highlight w:val="none"/>
          <w:lang w:val="en-US" w:eastAsia="zh-CN"/>
        </w:rPr>
        <w:t>2.2服务相关要求</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报价方应按采购方对新型防护服装的相关改进要求提供全套设计、加工、组装及样品试制方案，要求结合绿能科技公司的业务开展相关工作，后续要提供全套产品三维模型、二维工程图纸给采购方。样衣需要在签订合同后60个自然日内完成交付。</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（2）报价方应提供新型防护服装样衣用于整机第三方测试，承担第三方测试产生的所有费用，并交付第三方检测报告1份。</w:t>
      </w:r>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（4）项目经验收通过后一次性结算与支付，项目结算总额不高于4.9万元。</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1" w:name="_Toc10945"/>
      <w:r>
        <w:rPr>
          <w:rFonts w:hint="eastAsia" w:ascii="仿宋_GB2312" w:hAnsi="仿宋_GB2312" w:eastAsia="仿宋_GB2312" w:cs="仿宋_GB2312"/>
          <w:sz w:val="32"/>
          <w:szCs w:val="32"/>
          <w:highlight w:val="none"/>
          <w:lang w:val="en-US" w:eastAsia="zh-CN"/>
        </w:rPr>
        <w:t>2.3安全保密要求</w:t>
      </w:r>
      <w:bookmarkEnd w:id="1"/>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（1）供方在服务期间，负有保护本项目的网络安全、信息安全和系统数据安全的义务和责任；负有保护所持有、接触的属于或涉及商业秘密的信息安全的义务和责任。</w:t>
      </w:r>
    </w:p>
    <w:p>
      <w:pPr>
        <w:pStyle w:val="17"/>
        <w:numPr>
          <w:ilvl w:val="0"/>
          <w:numId w:val="0"/>
        </w:numPr>
        <w:ind w:leftChars="0" w:firstLine="640" w:firstLineChars="200"/>
        <w:rPr>
          <w:rFonts w:hint="eastAsia" w:ascii="仿宋_GB2312" w:hAnsi="仿宋_GB2312" w:eastAsia="仿宋_GB2312" w:cs="仿宋_GB2312"/>
          <w:kern w:val="2"/>
          <w:sz w:val="32"/>
          <w:szCs w:val="32"/>
          <w:highlight w:val="none"/>
          <w:lang w:val="en-US" w:eastAsia="zh-CN" w:bidi="ar-SA"/>
        </w:rPr>
      </w:pPr>
      <w:r>
        <w:rPr>
          <w:rFonts w:hint="eastAsia" w:ascii="仿宋_GB2312" w:hAnsi="仿宋_GB2312" w:eastAsia="仿宋_GB2312" w:cs="仿宋_GB2312"/>
          <w:kern w:val="2"/>
          <w:sz w:val="32"/>
          <w:szCs w:val="32"/>
          <w:highlight w:val="none"/>
          <w:lang w:val="en-US" w:eastAsia="zh-CN" w:bidi="ar-SA"/>
        </w:rPr>
        <w:t>（2）无论何种原因导致合同解除或终止，本项目约定下的保密条款、保密内容及相关的违约责任的约定仍然生效。保密期限为签订合同之后至永久，保密范围为项目所涉及的任何资料。</w:t>
      </w:r>
    </w:p>
    <w:p>
      <w:pPr>
        <w:pStyle w:val="3"/>
        <w:keepNext/>
        <w:keepLines/>
        <w:pageBreakBefore w:val="0"/>
        <w:widowControl w:val="0"/>
        <w:shd w:val="clear"/>
        <w:kinsoku/>
        <w:wordWrap/>
        <w:overflowPunct/>
        <w:topLinePunct w:val="0"/>
        <w:autoSpaceDE/>
        <w:autoSpaceDN/>
        <w:bidi w:val="0"/>
        <w:adjustRightInd/>
        <w:snapToGrid/>
        <w:spacing w:before="0" w:beforeLines="0" w:after="0" w:afterLines="0" w:line="560" w:lineRule="exact"/>
        <w:textAlignment w:val="auto"/>
        <w:rPr>
          <w:rFonts w:hint="eastAsia" w:ascii="仿宋_GB2312" w:hAnsi="仿宋_GB2312" w:eastAsia="仿宋_GB2312" w:cs="仿宋_GB2312"/>
          <w:sz w:val="32"/>
          <w:szCs w:val="32"/>
          <w:highlight w:val="none"/>
          <w:lang w:val="en-US" w:eastAsia="zh-CN"/>
        </w:rPr>
      </w:pPr>
      <w:bookmarkStart w:id="2" w:name="_Toc15278"/>
      <w:r>
        <w:rPr>
          <w:rFonts w:hint="eastAsia" w:ascii="仿宋_GB2312" w:hAnsi="仿宋_GB2312" w:eastAsia="仿宋_GB2312" w:cs="仿宋_GB2312"/>
          <w:sz w:val="32"/>
          <w:szCs w:val="32"/>
          <w:highlight w:val="none"/>
          <w:lang w:val="en-US" w:eastAsia="zh-CN"/>
        </w:rPr>
        <w:t>2.4项目验收要求</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after="0" w:line="560" w:lineRule="exact"/>
        <w:ind w:firstLine="640" w:firstLineChars="200"/>
        <w:textAlignment w:val="auto"/>
        <w:rPr>
          <w:rFonts w:hint="default" w:ascii="仿宋_GB2312" w:hAnsi="仿宋_GB2312" w:eastAsia="仿宋_GB2312" w:cs="仿宋_GB2312"/>
          <w:sz w:val="32"/>
          <w:szCs w:val="32"/>
          <w:highlight w:val="none"/>
          <w:lang w:val="en-US" w:eastAsia="zh-CN"/>
        </w:rPr>
      </w:pPr>
      <w:bookmarkStart w:id="3" w:name="_Toc413948021"/>
      <w:bookmarkEnd w:id="3"/>
      <w:r>
        <w:rPr>
          <w:rFonts w:hint="eastAsia" w:ascii="仿宋_GB2312" w:hAnsi="仿宋_GB2312" w:eastAsia="仿宋_GB2312" w:cs="仿宋_GB2312"/>
          <w:sz w:val="32"/>
          <w:szCs w:val="32"/>
          <w:highlight w:val="none"/>
          <w:lang w:val="en-US" w:eastAsia="zh-CN"/>
        </w:rPr>
        <w:t>按需方的管理制度和要求进行到货验收。</w:t>
      </w:r>
    </w:p>
    <w:p>
      <w:pPr>
        <w:rPr>
          <w:rFonts w:hint="eastAsia"/>
          <w:lang w:val="en-US" w:eastAsia="zh-CN"/>
        </w:rPr>
      </w:pPr>
      <w:r>
        <w:rPr>
          <w:rFonts w:hint="eastAsia"/>
          <w:lang w:val="en-US" w:eastAsia="zh-CN"/>
        </w:rPr>
        <w:br w:type="page"/>
      </w:r>
    </w:p>
    <w:p>
      <w:pPr>
        <w:spacing w:after="160" w:line="312" w:lineRule="auto"/>
        <w:jc w:val="both"/>
        <w:rPr>
          <w:rFonts w:ascii="Times New Roman" w:hAnsi="Times New Roman" w:eastAsia="黑体"/>
          <w:b/>
          <w:color w:val="000000"/>
          <w:sz w:val="28"/>
        </w:rPr>
      </w:pPr>
      <w:r>
        <w:rPr>
          <w:rFonts w:hint="eastAsia" w:ascii="Times New Roman" w:hAnsi="Times New Roman" w:eastAsia="黑体"/>
          <w:b w:val="0"/>
          <w:bCs/>
          <w:color w:val="000000"/>
          <w:sz w:val="32"/>
          <w:szCs w:val="24"/>
          <w:lang w:val="en-US" w:eastAsia="zh-CN"/>
        </w:rPr>
        <w:t>附件</w:t>
      </w:r>
    </w:p>
    <w:p>
      <w:pPr>
        <w:spacing w:before="0" w:after="100" w:line="264" w:lineRule="auto"/>
        <w:jc w:val="center"/>
      </w:pPr>
      <w:r>
        <w:rPr>
          <w:rFonts w:hint="eastAsia" w:ascii="Times New Roman" w:hAnsi="Times New Roman" w:eastAsia="黑体"/>
          <w:b/>
          <w:color w:val="000000"/>
          <w:sz w:val="30"/>
          <w:lang w:eastAsia="zh-CN"/>
        </w:rPr>
        <w:t>南</w:t>
      </w:r>
      <w:r>
        <w:rPr>
          <w:rFonts w:hint="eastAsia" w:ascii="Times New Roman" w:hAnsi="Times New Roman" w:eastAsia="黑体"/>
          <w:b/>
          <w:color w:val="000000"/>
          <w:sz w:val="30"/>
          <w:lang w:val="en-US" w:eastAsia="zh-CN"/>
        </w:rPr>
        <w:t>方电</w:t>
      </w:r>
      <w:r>
        <w:rPr>
          <w:rFonts w:hint="eastAsia" w:ascii="Times New Roman" w:hAnsi="Times New Roman" w:eastAsia="黑体"/>
          <w:b/>
          <w:color w:val="000000"/>
          <w:sz w:val="30"/>
          <w:lang w:eastAsia="zh-CN"/>
        </w:rPr>
        <w:t>网绿能科技（广东）有限公司</w:t>
      </w:r>
      <w:r>
        <w:rPr>
          <w:rFonts w:ascii="Times New Roman" w:hAnsi="Times New Roman" w:eastAsia="黑体"/>
          <w:b/>
          <w:color w:val="000000"/>
          <w:sz w:val="28"/>
        </w:rPr>
        <w:t>2026年面向复杂应急场景的</w:t>
      </w:r>
      <w:r>
        <w:rPr>
          <w:rFonts w:ascii="Times New Roman" w:hAnsi="Times New Roman" w:eastAsia="黑体"/>
          <w:b/>
          <w:color w:val="000000"/>
          <w:sz w:val="28"/>
        </w:rPr>
        <w:br w:type="textWrapping"/>
      </w:r>
      <w:r>
        <w:rPr>
          <w:rFonts w:ascii="Times New Roman" w:hAnsi="Times New Roman" w:eastAsia="黑体"/>
          <w:b/>
          <w:color w:val="000000"/>
          <w:sz w:val="28"/>
        </w:rPr>
        <w:t>新型防护服装原材料购置及代加工零星采购项目技术说明书</w:t>
      </w:r>
    </w:p>
    <w:p>
      <w:pPr>
        <w:spacing w:before="40" w:after="20" w:line="264" w:lineRule="auto"/>
      </w:pPr>
      <w:r>
        <w:rPr>
          <w:rFonts w:ascii="Times New Roman" w:hAnsi="Times New Roman" w:eastAsia="黑体"/>
          <w:b/>
          <w:color w:val="000000"/>
          <w:sz w:val="23"/>
        </w:rPr>
        <w:t>1 项目概述</w:t>
      </w:r>
    </w:p>
    <w:p>
      <w:pPr>
        <w:spacing w:after="0" w:line="276" w:lineRule="auto"/>
        <w:ind w:firstLine="420"/>
        <w:jc w:val="both"/>
      </w:pPr>
      <w:r>
        <w:rPr>
          <w:rFonts w:ascii="Times New Roman" w:hAnsi="Times New Roman" w:eastAsia="宋体"/>
          <w:b w:val="0"/>
          <w:color w:val="000000"/>
          <w:sz w:val="21"/>
        </w:rPr>
        <w:t>南方电网绿能科技（广东）有限公司为采购方，报价方为其提供面向复杂应急场景的新型防护服装原材料购置及代加工服务。防护服装面向夏季户外高压输电线路带电消缺、应急抢修救援等复杂应急场景，通过无源光热精准调控降温、微多孔透气阻燃、长效导电防静电材料的机理研究与复合编织工艺创新，结合三维人体工学扫描与微气候热湿舒适度模拟实现轻量化智造，达到高温降温、4级防电弧、长效防静电、高透气与轻量化协同的“温控＋防护＋舒适＋轻量化”一体化防护。</w:t>
      </w:r>
    </w:p>
    <w:p>
      <w:pPr>
        <w:spacing w:before="40" w:after="20" w:line="264" w:lineRule="auto"/>
      </w:pPr>
      <w:r>
        <w:rPr>
          <w:rFonts w:ascii="Times New Roman" w:hAnsi="Times New Roman" w:eastAsia="黑体"/>
          <w:b/>
          <w:color w:val="000000"/>
          <w:sz w:val="23"/>
        </w:rPr>
        <w:t>2 主要技术参数</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8"/>
        <w:gridCol w:w="6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blHeader/>
          <w:jc w:val="center"/>
        </w:trPr>
        <w:tc>
          <w:tcPr>
            <w:tcW w:w="1701" w:type="dxa"/>
            <w:shd w:val="clear" w:color="auto" w:fill="D9D9D9"/>
            <w:vAlign w:val="center"/>
          </w:tcPr>
          <w:p>
            <w:pPr>
              <w:spacing w:after="0" w:line="240" w:lineRule="auto"/>
              <w:jc w:val="center"/>
            </w:pPr>
            <w:r>
              <w:rPr>
                <w:rFonts w:ascii="Times New Roman" w:hAnsi="Times New Roman" w:eastAsia="黑体"/>
                <w:b/>
                <w:color w:val="000000"/>
                <w:sz w:val="21"/>
              </w:rPr>
              <w:t>参数项</w:t>
            </w:r>
          </w:p>
        </w:tc>
        <w:tc>
          <w:tcPr>
            <w:tcW w:w="7370" w:type="dxa"/>
            <w:shd w:val="clear" w:color="auto" w:fill="D9D9D9"/>
            <w:vAlign w:val="center"/>
          </w:tcPr>
          <w:p>
            <w:pPr>
              <w:spacing w:after="0" w:line="240" w:lineRule="auto"/>
              <w:jc w:val="center"/>
            </w:pPr>
            <w:r>
              <w:rPr>
                <w:rFonts w:ascii="Times New Roman" w:hAnsi="Times New Roman" w:eastAsia="黑体"/>
                <w:b/>
                <w:color w:val="000000"/>
                <w:sz w:val="21"/>
              </w:rPr>
              <w:t>技术参数要求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防护等级</w:t>
            </w:r>
          </w:p>
        </w:tc>
        <w:tc>
          <w:tcPr>
            <w:tcW w:w="7370" w:type="dxa"/>
            <w:vAlign w:val="center"/>
          </w:tcPr>
          <w:p>
            <w:pPr>
              <w:spacing w:after="0" w:line="240" w:lineRule="auto"/>
              <w:jc w:val="left"/>
            </w:pPr>
            <w:r>
              <w:rPr>
                <w:rFonts w:ascii="Times New Roman" w:hAnsi="Times New Roman" w:eastAsia="宋体"/>
                <w:b w:val="0"/>
                <w:color w:val="000000"/>
                <w:sz w:val="21"/>
              </w:rPr>
              <w:t>满足4级防电弧防护要求，兼具长效防静电性能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7" w:hRule="atLeast"/>
          <w:jc w:val="center"/>
        </w:trPr>
        <w:tc>
          <w:tcPr>
            <w:tcW w:w="1701" w:type="dxa"/>
            <w:vAlign w:val="center"/>
          </w:tcPr>
          <w:p>
            <w:pPr>
              <w:spacing w:after="0" w:line="240" w:lineRule="auto"/>
              <w:jc w:val="center"/>
            </w:pPr>
            <w:r>
              <w:rPr>
                <w:rFonts w:ascii="Times New Roman" w:hAnsi="Times New Roman" w:eastAsia="宋体"/>
                <w:b w:val="0"/>
                <w:color w:val="000000"/>
                <w:sz w:val="21"/>
              </w:rPr>
              <w:t>降温性能</w:t>
            </w:r>
          </w:p>
        </w:tc>
        <w:tc>
          <w:tcPr>
            <w:tcW w:w="7370" w:type="dxa"/>
            <w:vAlign w:val="center"/>
          </w:tcPr>
          <w:p>
            <w:pPr>
              <w:spacing w:after="0" w:line="240" w:lineRule="auto"/>
              <w:jc w:val="left"/>
            </w:pPr>
            <w:r>
              <w:rPr>
                <w:rFonts w:ascii="Times New Roman" w:hAnsi="Times New Roman" w:eastAsia="宋体"/>
                <w:b w:val="0"/>
                <w:color w:val="000000"/>
                <w:sz w:val="21"/>
              </w:rPr>
              <w:t>无源光热精准调控降温，适配户外</w:t>
            </w:r>
            <w:r>
              <w:rPr>
                <w:rFonts w:hint="eastAsia" w:ascii="Times New Roman" w:hAnsi="Times New Roman" w:eastAsia="宋体"/>
                <w:b w:val="0"/>
                <w:color w:val="000000"/>
                <w:sz w:val="21"/>
                <w:lang w:val="en-US" w:eastAsia="zh-CN"/>
              </w:rPr>
              <w:t>35</w:t>
            </w:r>
            <w:r>
              <w:rPr>
                <w:rFonts w:ascii="Times New Roman" w:hAnsi="Times New Roman" w:eastAsia="宋体"/>
                <w:b w:val="0"/>
                <w:color w:val="000000"/>
                <w:sz w:val="21"/>
              </w:rPr>
              <w:t>℃以上高温强辐射环境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透气阻燃</w:t>
            </w:r>
          </w:p>
        </w:tc>
        <w:tc>
          <w:tcPr>
            <w:tcW w:w="7370" w:type="dxa"/>
            <w:vAlign w:val="center"/>
          </w:tcPr>
          <w:p>
            <w:pPr>
              <w:spacing w:after="0" w:line="240" w:lineRule="auto"/>
              <w:jc w:val="left"/>
            </w:pPr>
            <w:r>
              <w:rPr>
                <w:rFonts w:ascii="Times New Roman" w:hAnsi="Times New Roman" w:eastAsia="宋体"/>
                <w:b w:val="0"/>
                <w:color w:val="000000"/>
                <w:sz w:val="21"/>
              </w:rPr>
              <w:t>采用微多孔透气阻燃材料，高透气且具备阻燃性能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轻量化</w:t>
            </w:r>
          </w:p>
        </w:tc>
        <w:tc>
          <w:tcPr>
            <w:tcW w:w="7370" w:type="dxa"/>
            <w:vAlign w:val="center"/>
          </w:tcPr>
          <w:p>
            <w:pPr>
              <w:spacing w:after="0" w:line="240" w:lineRule="auto"/>
              <w:jc w:val="left"/>
            </w:pPr>
            <w:r>
              <w:rPr>
                <w:rFonts w:ascii="Times New Roman" w:hAnsi="Times New Roman" w:eastAsia="宋体"/>
                <w:b w:val="0"/>
                <w:color w:val="000000"/>
                <w:sz w:val="21"/>
              </w:rPr>
              <w:t>轻量化设计，面料克重不高于</w:t>
            </w:r>
            <w:r>
              <w:rPr>
                <w:rFonts w:hint="eastAsia" w:ascii="Times New Roman" w:hAnsi="Times New Roman" w:eastAsia="宋体"/>
                <w:b w:val="0"/>
                <w:color w:val="000000"/>
                <w:sz w:val="21"/>
                <w:lang w:val="en-US" w:eastAsia="zh-CN"/>
              </w:rPr>
              <w:t>290</w:t>
            </w:r>
            <w:r>
              <w:rPr>
                <w:rFonts w:ascii="Times New Roman" w:hAnsi="Times New Roman" w:eastAsia="宋体"/>
                <w:b w:val="0"/>
                <w:color w:val="000000"/>
                <w:sz w:val="21"/>
              </w:rPr>
              <w:t>g/m²，保障高空作业灵活性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防护材料</w:t>
            </w:r>
          </w:p>
        </w:tc>
        <w:tc>
          <w:tcPr>
            <w:tcW w:w="7370" w:type="dxa"/>
            <w:vAlign w:val="center"/>
          </w:tcPr>
          <w:p>
            <w:pPr>
              <w:spacing w:after="0" w:line="240" w:lineRule="auto"/>
              <w:jc w:val="left"/>
            </w:pPr>
            <w:r>
              <w:rPr>
                <w:rFonts w:ascii="Times New Roman" w:hAnsi="Times New Roman" w:eastAsia="宋体"/>
                <w:b w:val="0"/>
                <w:color w:val="000000"/>
                <w:sz w:val="21"/>
              </w:rPr>
              <w:t>无源光热调控降温、微多孔透气阻燃、长效导电防静电材料复合编织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服装类型</w:t>
            </w:r>
          </w:p>
        </w:tc>
        <w:tc>
          <w:tcPr>
            <w:tcW w:w="7370" w:type="dxa"/>
            <w:vAlign w:val="center"/>
          </w:tcPr>
          <w:p>
            <w:pPr>
              <w:spacing w:after="0" w:line="240" w:lineRule="auto"/>
              <w:jc w:val="left"/>
            </w:pPr>
            <w:r>
              <w:rPr>
                <w:rFonts w:ascii="Times New Roman" w:hAnsi="Times New Roman" w:eastAsia="宋体"/>
                <w:b w:val="0"/>
                <w:color w:val="000000"/>
                <w:sz w:val="21"/>
              </w:rPr>
              <w:t>全场景防电弧应急救援服、长效防静电服、降温服三类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701" w:type="dxa"/>
            <w:vAlign w:val="center"/>
          </w:tcPr>
          <w:p>
            <w:pPr>
              <w:spacing w:after="0" w:line="240" w:lineRule="auto"/>
              <w:jc w:val="center"/>
            </w:pPr>
            <w:r>
              <w:rPr>
                <w:rFonts w:ascii="Times New Roman" w:hAnsi="Times New Roman" w:eastAsia="宋体"/>
                <w:b w:val="0"/>
                <w:color w:val="000000"/>
                <w:sz w:val="21"/>
              </w:rPr>
              <w:t>结构设计</w:t>
            </w:r>
          </w:p>
        </w:tc>
        <w:tc>
          <w:tcPr>
            <w:tcW w:w="7370" w:type="dxa"/>
            <w:vAlign w:val="center"/>
          </w:tcPr>
          <w:p>
            <w:pPr>
              <w:spacing w:after="0" w:line="240" w:lineRule="auto"/>
              <w:jc w:val="left"/>
            </w:pPr>
            <w:r>
              <w:rPr>
                <w:rFonts w:ascii="Times New Roman" w:hAnsi="Times New Roman" w:eastAsia="宋体"/>
                <w:b w:val="0"/>
                <w:color w:val="000000"/>
                <w:sz w:val="21"/>
              </w:rPr>
              <w:t>基于三维人体工学扫描与微气候热湿舒适度模拟的参数化版型</w:t>
            </w:r>
          </w:p>
        </w:tc>
      </w:tr>
    </w:tbl>
    <w:p>
      <w:pPr>
        <w:spacing w:before="40" w:after="20" w:line="264" w:lineRule="auto"/>
      </w:pPr>
      <w:r>
        <w:rPr>
          <w:rFonts w:ascii="Times New Roman" w:hAnsi="Times New Roman" w:eastAsia="黑体"/>
          <w:b/>
          <w:color w:val="000000"/>
          <w:sz w:val="23"/>
        </w:rPr>
        <w:t>3 功能要求</w:t>
      </w:r>
    </w:p>
    <w:p>
      <w:pPr>
        <w:spacing w:after="0" w:line="276" w:lineRule="auto"/>
        <w:ind w:firstLine="420"/>
        <w:jc w:val="both"/>
      </w:pPr>
      <w:r>
        <w:rPr>
          <w:rFonts w:ascii="Times New Roman" w:hAnsi="Times New Roman" w:eastAsia="宋体"/>
          <w:b w:val="0"/>
          <w:color w:val="000000"/>
          <w:sz w:val="21"/>
        </w:rPr>
        <w:t>3.1 材料创制：开展无源光热精准调控降温、微多孔透气阻燃、长效导电防静电材料的机理研究，攻克复合编织工艺、导电填料长效分散工艺及面料多性能协同优化等关键技术。</w:t>
      </w:r>
    </w:p>
    <w:p>
      <w:pPr>
        <w:spacing w:after="0" w:line="276" w:lineRule="auto"/>
        <w:ind w:firstLine="420"/>
        <w:jc w:val="both"/>
      </w:pPr>
      <w:r>
        <w:rPr>
          <w:rFonts w:ascii="Times New Roman" w:hAnsi="Times New Roman" w:eastAsia="宋体"/>
          <w:b w:val="0"/>
          <w:color w:val="000000"/>
          <w:sz w:val="21"/>
        </w:rPr>
        <w:t>3.2 轻量化设计：基于三维人体工学扫描与微气候热湿舒适度模拟，采用参数化设计与轻量化智造，完成三类防护服装的结构设计、版型优化与样品试制，兼顾穿脱便捷性、活动自由度与防护要求。</w:t>
      </w:r>
    </w:p>
    <w:p>
      <w:pPr>
        <w:spacing w:after="0" w:line="276" w:lineRule="auto"/>
        <w:ind w:firstLine="420"/>
        <w:jc w:val="both"/>
      </w:pPr>
      <w:r>
        <w:rPr>
          <w:rFonts w:ascii="Times New Roman" w:hAnsi="Times New Roman" w:eastAsia="宋体"/>
          <w:b w:val="0"/>
          <w:color w:val="000000"/>
          <w:sz w:val="21"/>
        </w:rPr>
        <w:t>3.3 多性能一体化：实现高温降温、4级防电弧、长效防静电、高透气协同，满足夏季户外带电消缺等复杂应急场景“一装备适配多场景”的防护需求。</w:t>
      </w:r>
      <w:bookmarkStart w:id="4" w:name="_GoBack"/>
      <w:bookmarkEnd w:id="4"/>
    </w:p>
    <w:p>
      <w:pPr>
        <w:spacing w:after="0" w:line="276" w:lineRule="auto"/>
        <w:ind w:firstLine="420"/>
        <w:jc w:val="both"/>
      </w:pPr>
      <w:r>
        <w:rPr>
          <w:rFonts w:ascii="Times New Roman" w:hAnsi="Times New Roman" w:eastAsia="宋体"/>
          <w:b w:val="0"/>
          <w:color w:val="000000"/>
          <w:sz w:val="21"/>
        </w:rPr>
        <w:t>3.4 迭代优化：根据性能测试结果迭代优化材料工艺与服装结构，确保满足电网实战作业需求。</w:t>
      </w:r>
    </w:p>
    <w:p>
      <w:pPr>
        <w:spacing w:before="40" w:after="20" w:line="264" w:lineRule="auto"/>
      </w:pPr>
      <w:r>
        <w:rPr>
          <w:rFonts w:ascii="Times New Roman" w:hAnsi="Times New Roman" w:eastAsia="黑体"/>
          <w:b/>
          <w:color w:val="000000"/>
          <w:sz w:val="23"/>
        </w:rPr>
        <w:t>4 交付成果</w:t>
      </w:r>
    </w:p>
    <w:p>
      <w:pPr>
        <w:spacing w:after="0" w:line="276" w:lineRule="auto"/>
        <w:ind w:firstLine="420"/>
        <w:jc w:val="both"/>
      </w:pPr>
      <w:r>
        <w:rPr>
          <w:rFonts w:ascii="Times New Roman" w:hAnsi="Times New Roman" w:eastAsia="宋体"/>
          <w:b w:val="0"/>
          <w:color w:val="000000"/>
          <w:sz w:val="21"/>
        </w:rPr>
        <w:t>4.1 实物样品：交付功能完备、运行稳定的新型防护服装成品。</w:t>
      </w:r>
    </w:p>
    <w:p>
      <w:pPr>
        <w:spacing w:after="0" w:line="276" w:lineRule="auto"/>
        <w:ind w:firstLine="420"/>
        <w:jc w:val="both"/>
      </w:pPr>
      <w:r>
        <w:rPr>
          <w:rFonts w:ascii="Times New Roman" w:hAnsi="Times New Roman" w:eastAsia="宋体"/>
          <w:b w:val="0"/>
          <w:color w:val="000000"/>
          <w:sz w:val="21"/>
        </w:rPr>
        <w:t>4.2 技术文档：提供全套技术设计方案、使用说明书等技术资料。</w:t>
      </w:r>
    </w:p>
    <w:p>
      <w:pPr>
        <w:spacing w:after="0" w:line="276" w:lineRule="auto"/>
        <w:ind w:firstLine="420"/>
        <w:jc w:val="both"/>
      </w:pPr>
      <w:r>
        <w:rPr>
          <w:rFonts w:ascii="Times New Roman" w:hAnsi="Times New Roman" w:eastAsia="宋体"/>
          <w:b w:val="0"/>
          <w:color w:val="000000"/>
          <w:sz w:val="21"/>
        </w:rPr>
        <w:t>4.3 检测报告：提供第三方检验检测报告1份。</w:t>
      </w:r>
    </w:p>
    <w:p>
      <w:pPr>
        <w:spacing w:before="40" w:after="20" w:line="264" w:lineRule="auto"/>
      </w:pPr>
      <w:r>
        <w:rPr>
          <w:rFonts w:ascii="Times New Roman" w:hAnsi="Times New Roman" w:eastAsia="黑体"/>
          <w:b/>
          <w:color w:val="000000"/>
          <w:sz w:val="23"/>
        </w:rPr>
        <w:t>5 验收与结算</w:t>
      </w:r>
    </w:p>
    <w:p>
      <w:pPr>
        <w:spacing w:after="0" w:line="276" w:lineRule="auto"/>
        <w:ind w:firstLine="420"/>
        <w:jc w:val="both"/>
        <w:rPr>
          <w:rFonts w:hint="eastAsia"/>
          <w:lang w:val="en-US" w:eastAsia="zh-CN"/>
        </w:rPr>
      </w:pPr>
      <w:r>
        <w:rPr>
          <w:rFonts w:ascii="Times New Roman" w:hAnsi="Times New Roman" w:eastAsia="宋体"/>
          <w:b w:val="0"/>
          <w:color w:val="000000"/>
          <w:sz w:val="21"/>
        </w:rPr>
        <w:t>按需方管理制度和要求进行到货验收；项目经验收通过后一次性结算与支付</w:t>
      </w:r>
      <w:r>
        <w:rPr>
          <w:rFonts w:hint="eastAsia" w:ascii="Times New Roman" w:hAnsi="Times New Roman" w:eastAsia="宋体"/>
          <w:b w:val="0"/>
          <w:color w:val="000000"/>
          <w:sz w:val="21"/>
          <w:lang w:eastAsia="zh-CN"/>
        </w:rPr>
        <w:t>。</w:t>
      </w: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8A3F2BF-934E-4DFF-BC51-85CC2ABA354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47472199-F3D7-47BE-87BB-7177AB88CA94}"/>
  </w:font>
  <w:font w:name="微软雅黑">
    <w:panose1 w:val="020B0503020204020204"/>
    <w:charset w:val="86"/>
    <w:family w:val="auto"/>
    <w:pitch w:val="default"/>
    <w:sig w:usb0="80000287" w:usb1="2ACF3C50" w:usb2="00000016" w:usb3="00000000" w:csb0="0004001F" w:csb1="00000000"/>
  </w:font>
  <w:font w:name="方正小标宋_GBK">
    <w:panose1 w:val="03000509000000000000"/>
    <w:charset w:val="86"/>
    <w:family w:val="auto"/>
    <w:pitch w:val="default"/>
    <w:sig w:usb0="00000001" w:usb1="080E0000" w:usb2="00000000" w:usb3="00000000" w:csb0="00040000" w:csb1="00000000"/>
    <w:embedRegular r:id="rId3" w:fontKey="{2B0F67AE-F945-4F39-B4DB-848737028B35}"/>
  </w:font>
  <w:font w:name="仿宋_GB2312">
    <w:panose1 w:val="02010609030101010101"/>
    <w:charset w:val="86"/>
    <w:family w:val="auto"/>
    <w:pitch w:val="default"/>
    <w:sig w:usb0="00000001" w:usb1="080E0000" w:usb2="00000000" w:usb3="00000000" w:csb0="00040000" w:csb1="00000000"/>
    <w:embedRegular r:id="rId4" w:fontKey="{5513802E-23C6-4435-B1A2-1D40E671BFAD}"/>
  </w:font>
  <w:font w:name="CESI_SS_GB18030">
    <w:altName w:val="宋体"/>
    <w:panose1 w:val="02000500000000000000"/>
    <w:charset w:val="86"/>
    <w:family w:val="auto"/>
    <w:pitch w:val="default"/>
    <w:sig w:usb0="00000000" w:usb1="00000000" w:usb2="00000016" w:usb3="00000000" w:csb0="0004000F" w:csb1="00000000"/>
    <w:embedRegular r:id="rId5" w:fontKey="{D8208C48-3300-450D-8BB6-DF49EB2B65FF}"/>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VmMWU1MmU3NWM3N2NmZTcyOGNjYzlhODkwMzEwOGMifQ=="/>
  </w:docVars>
  <w:rsids>
    <w:rsidRoot w:val="00172A27"/>
    <w:rsid w:val="00E33444"/>
    <w:rsid w:val="01422732"/>
    <w:rsid w:val="02223D56"/>
    <w:rsid w:val="02C350D2"/>
    <w:rsid w:val="033F1951"/>
    <w:rsid w:val="039C7E97"/>
    <w:rsid w:val="04506958"/>
    <w:rsid w:val="045C382F"/>
    <w:rsid w:val="048B377C"/>
    <w:rsid w:val="062702A8"/>
    <w:rsid w:val="06C9422E"/>
    <w:rsid w:val="06F45026"/>
    <w:rsid w:val="07406F39"/>
    <w:rsid w:val="0769037B"/>
    <w:rsid w:val="097035F9"/>
    <w:rsid w:val="09732F58"/>
    <w:rsid w:val="09BE4A8F"/>
    <w:rsid w:val="0A0C1573"/>
    <w:rsid w:val="0BB50C90"/>
    <w:rsid w:val="0D73132E"/>
    <w:rsid w:val="0DCB0476"/>
    <w:rsid w:val="0E7A51CD"/>
    <w:rsid w:val="0EE526EA"/>
    <w:rsid w:val="0EEF6D6E"/>
    <w:rsid w:val="0F2E5DDF"/>
    <w:rsid w:val="0F8B02EB"/>
    <w:rsid w:val="102655E1"/>
    <w:rsid w:val="11A610CD"/>
    <w:rsid w:val="12BE5808"/>
    <w:rsid w:val="12CB30C7"/>
    <w:rsid w:val="15914F7B"/>
    <w:rsid w:val="15A510A7"/>
    <w:rsid w:val="15EF0FCE"/>
    <w:rsid w:val="16124FC5"/>
    <w:rsid w:val="169D4817"/>
    <w:rsid w:val="16C9740F"/>
    <w:rsid w:val="171E4FDB"/>
    <w:rsid w:val="173043C7"/>
    <w:rsid w:val="17320A4C"/>
    <w:rsid w:val="1882698E"/>
    <w:rsid w:val="189D326A"/>
    <w:rsid w:val="18AB7130"/>
    <w:rsid w:val="19A928E0"/>
    <w:rsid w:val="1A1B7FC6"/>
    <w:rsid w:val="1A1E286B"/>
    <w:rsid w:val="1AD84D6E"/>
    <w:rsid w:val="1B087B35"/>
    <w:rsid w:val="1B5A7C65"/>
    <w:rsid w:val="1B7067BA"/>
    <w:rsid w:val="1B8B7D54"/>
    <w:rsid w:val="1BF65BDF"/>
    <w:rsid w:val="1C9F4679"/>
    <w:rsid w:val="1CFD76A5"/>
    <w:rsid w:val="1E4F3D01"/>
    <w:rsid w:val="1F1A1404"/>
    <w:rsid w:val="1F311F01"/>
    <w:rsid w:val="21374317"/>
    <w:rsid w:val="21722B2B"/>
    <w:rsid w:val="217B46FD"/>
    <w:rsid w:val="21851F92"/>
    <w:rsid w:val="21B300CF"/>
    <w:rsid w:val="24E67F93"/>
    <w:rsid w:val="256622E7"/>
    <w:rsid w:val="265B0985"/>
    <w:rsid w:val="26C3134B"/>
    <w:rsid w:val="2716696E"/>
    <w:rsid w:val="284B72B3"/>
    <w:rsid w:val="288F5E9D"/>
    <w:rsid w:val="29365CAD"/>
    <w:rsid w:val="29AA01EA"/>
    <w:rsid w:val="2A0400B6"/>
    <w:rsid w:val="2A3740C8"/>
    <w:rsid w:val="2AAA1BA4"/>
    <w:rsid w:val="2AAF417D"/>
    <w:rsid w:val="2ACF41CB"/>
    <w:rsid w:val="2B131A7E"/>
    <w:rsid w:val="2B146C5A"/>
    <w:rsid w:val="2B8F2E4C"/>
    <w:rsid w:val="2E0B0E5A"/>
    <w:rsid w:val="2E8D76D6"/>
    <w:rsid w:val="2F0A3A24"/>
    <w:rsid w:val="2F3B4EEB"/>
    <w:rsid w:val="2F867E16"/>
    <w:rsid w:val="30C10112"/>
    <w:rsid w:val="319C5BB8"/>
    <w:rsid w:val="31E34D8C"/>
    <w:rsid w:val="32ED471A"/>
    <w:rsid w:val="337367C1"/>
    <w:rsid w:val="33C225D4"/>
    <w:rsid w:val="341C1B03"/>
    <w:rsid w:val="346E3EE9"/>
    <w:rsid w:val="35386C3E"/>
    <w:rsid w:val="356F7E61"/>
    <w:rsid w:val="361F1221"/>
    <w:rsid w:val="36944320"/>
    <w:rsid w:val="382755B1"/>
    <w:rsid w:val="3838207C"/>
    <w:rsid w:val="390C0398"/>
    <w:rsid w:val="394924CF"/>
    <w:rsid w:val="39B76556"/>
    <w:rsid w:val="39D53485"/>
    <w:rsid w:val="39FC3121"/>
    <w:rsid w:val="3BCE2161"/>
    <w:rsid w:val="3C1020AE"/>
    <w:rsid w:val="3C174A4A"/>
    <w:rsid w:val="3CD14092"/>
    <w:rsid w:val="3D2077B5"/>
    <w:rsid w:val="3E4145DA"/>
    <w:rsid w:val="3E485E32"/>
    <w:rsid w:val="3E560401"/>
    <w:rsid w:val="3F6004F9"/>
    <w:rsid w:val="3F6A5E19"/>
    <w:rsid w:val="3F871796"/>
    <w:rsid w:val="3FE57098"/>
    <w:rsid w:val="40802243"/>
    <w:rsid w:val="40857B77"/>
    <w:rsid w:val="40BF6C72"/>
    <w:rsid w:val="41480D2F"/>
    <w:rsid w:val="414975BC"/>
    <w:rsid w:val="4157061F"/>
    <w:rsid w:val="416A331D"/>
    <w:rsid w:val="427A5563"/>
    <w:rsid w:val="43AF71D5"/>
    <w:rsid w:val="43C80AEC"/>
    <w:rsid w:val="44F22B38"/>
    <w:rsid w:val="455B74FC"/>
    <w:rsid w:val="45B5636D"/>
    <w:rsid w:val="485E1E46"/>
    <w:rsid w:val="48A37E1F"/>
    <w:rsid w:val="48F61F9F"/>
    <w:rsid w:val="49647D77"/>
    <w:rsid w:val="49760C27"/>
    <w:rsid w:val="498176A7"/>
    <w:rsid w:val="4D502B15"/>
    <w:rsid w:val="4D5D40FA"/>
    <w:rsid w:val="4E76382D"/>
    <w:rsid w:val="4EBE5040"/>
    <w:rsid w:val="4F8B1BBF"/>
    <w:rsid w:val="4FF02E34"/>
    <w:rsid w:val="50433BDF"/>
    <w:rsid w:val="50770396"/>
    <w:rsid w:val="50DA34CF"/>
    <w:rsid w:val="511366B1"/>
    <w:rsid w:val="51B52289"/>
    <w:rsid w:val="526B2842"/>
    <w:rsid w:val="536C331E"/>
    <w:rsid w:val="53E4465E"/>
    <w:rsid w:val="55393E6B"/>
    <w:rsid w:val="566B4385"/>
    <w:rsid w:val="57196B0A"/>
    <w:rsid w:val="582D0A07"/>
    <w:rsid w:val="59837DAB"/>
    <w:rsid w:val="59864AEC"/>
    <w:rsid w:val="59EA7E2A"/>
    <w:rsid w:val="5A53777D"/>
    <w:rsid w:val="5CC1509B"/>
    <w:rsid w:val="5CEF5C7C"/>
    <w:rsid w:val="5D656145"/>
    <w:rsid w:val="5D8E679F"/>
    <w:rsid w:val="5DA46C2D"/>
    <w:rsid w:val="5E7B7098"/>
    <w:rsid w:val="5EC6163E"/>
    <w:rsid w:val="60765F74"/>
    <w:rsid w:val="610E1B29"/>
    <w:rsid w:val="61192DDC"/>
    <w:rsid w:val="61A471A2"/>
    <w:rsid w:val="61F53312"/>
    <w:rsid w:val="620F042E"/>
    <w:rsid w:val="63140209"/>
    <w:rsid w:val="63D805B9"/>
    <w:rsid w:val="64EF75A6"/>
    <w:rsid w:val="6534761E"/>
    <w:rsid w:val="6569460E"/>
    <w:rsid w:val="65DC2D1D"/>
    <w:rsid w:val="664E3DBE"/>
    <w:rsid w:val="66B9772A"/>
    <w:rsid w:val="66F21AA4"/>
    <w:rsid w:val="6832131A"/>
    <w:rsid w:val="690F44C9"/>
    <w:rsid w:val="6B761D3E"/>
    <w:rsid w:val="6BB64299"/>
    <w:rsid w:val="6E3B205D"/>
    <w:rsid w:val="6E6901FB"/>
    <w:rsid w:val="6EE36ECA"/>
    <w:rsid w:val="6F491927"/>
    <w:rsid w:val="6F810491"/>
    <w:rsid w:val="705A407C"/>
    <w:rsid w:val="70F320AC"/>
    <w:rsid w:val="72E32531"/>
    <w:rsid w:val="74040EA5"/>
    <w:rsid w:val="740C5027"/>
    <w:rsid w:val="74604ED0"/>
    <w:rsid w:val="75BC5488"/>
    <w:rsid w:val="76050FAF"/>
    <w:rsid w:val="760A7538"/>
    <w:rsid w:val="768A6D70"/>
    <w:rsid w:val="77084C62"/>
    <w:rsid w:val="77AA4A6D"/>
    <w:rsid w:val="782868AB"/>
    <w:rsid w:val="784A3F46"/>
    <w:rsid w:val="78B95140"/>
    <w:rsid w:val="78BE391B"/>
    <w:rsid w:val="79337682"/>
    <w:rsid w:val="79C80AC1"/>
    <w:rsid w:val="79CA11DC"/>
    <w:rsid w:val="7A91206F"/>
    <w:rsid w:val="7A97447A"/>
    <w:rsid w:val="7B395012"/>
    <w:rsid w:val="7C386C10"/>
    <w:rsid w:val="7C79189C"/>
    <w:rsid w:val="7CA911FE"/>
    <w:rsid w:val="7E154B2B"/>
    <w:rsid w:val="7E4B3434"/>
    <w:rsid w:val="7EE36A72"/>
    <w:rsid w:val="7F5D4081"/>
    <w:rsid w:val="7F867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400" w:lineRule="exact"/>
      <w:jc w:val="both"/>
    </w:pPr>
    <w:rPr>
      <w:rFonts w:ascii="Times New Roman" w:hAnsi="Times New Roman" w:eastAsia="宋体" w:cs="Times New Roman"/>
      <w:kern w:val="2"/>
      <w:sz w:val="24"/>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400" w:lineRule="exact"/>
      <w:outlineLvl w:val="0"/>
    </w:pPr>
    <w:rPr>
      <w:b/>
      <w:kern w:val="44"/>
      <w:sz w:val="30"/>
    </w:rPr>
  </w:style>
  <w:style w:type="paragraph" w:styleId="3">
    <w:name w:val="heading 2"/>
    <w:basedOn w:val="1"/>
    <w:next w:val="1"/>
    <w:unhideWhenUsed/>
    <w:qFormat/>
    <w:uiPriority w:val="0"/>
    <w:pPr>
      <w:keepNext/>
      <w:keepLines/>
      <w:spacing w:before="260" w:beforeLines="0" w:beforeAutospacing="0" w:after="260" w:afterLines="0" w:afterAutospacing="0" w:line="240" w:lineRule="auto"/>
      <w:outlineLvl w:val="1"/>
    </w:pPr>
    <w:rPr>
      <w:rFonts w:ascii="Arial" w:hAnsi="Arial" w:eastAsia="宋体"/>
      <w:b/>
      <w:sz w:val="25"/>
    </w:rPr>
  </w:style>
  <w:style w:type="paragraph" w:styleId="4">
    <w:name w:val="heading 3"/>
    <w:basedOn w:val="1"/>
    <w:next w:val="1"/>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qFormat/>
    <w:uiPriority w:val="0"/>
    <w:pPr>
      <w:spacing w:after="120" w:afterLines="0" w:afterAutospacing="0"/>
    </w:pPr>
  </w:style>
  <w:style w:type="paragraph" w:styleId="7">
    <w:name w:val="Title"/>
    <w:basedOn w:val="1"/>
    <w:next w:val="1"/>
    <w:qFormat/>
    <w:uiPriority w:val="10"/>
    <w:pPr>
      <w:spacing w:before="240" w:beforeLines="0" w:beforeAutospacing="0" w:after="60" w:afterLines="0" w:afterAutospacing="0"/>
      <w:jc w:val="center"/>
      <w:outlineLvl w:val="0"/>
    </w:pPr>
    <w:rPr>
      <w:rFonts w:ascii="Arial" w:hAnsi="Arial"/>
      <w:b/>
      <w:sz w:val="32"/>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0"/>
    <w:rPr>
      <w:b/>
    </w:rPr>
  </w:style>
  <w:style w:type="character" w:customStyle="1" w:styleId="15">
    <w:name w:val="font11"/>
    <w:basedOn w:val="13"/>
    <w:qFormat/>
    <w:uiPriority w:val="0"/>
    <w:rPr>
      <w:rFonts w:hint="default" w:ascii="Arial" w:hAnsi="Arial" w:cs="Arial"/>
      <w:color w:val="000000"/>
      <w:sz w:val="22"/>
      <w:szCs w:val="22"/>
      <w:u w:val="none"/>
    </w:rPr>
  </w:style>
  <w:style w:type="character" w:customStyle="1" w:styleId="16">
    <w:name w:val="font01"/>
    <w:basedOn w:val="13"/>
    <w:qFormat/>
    <w:uiPriority w:val="0"/>
    <w:rPr>
      <w:rFonts w:ascii="微软雅黑" w:hAnsi="微软雅黑" w:eastAsia="微软雅黑" w:cs="微软雅黑"/>
      <w:color w:val="000000"/>
      <w:sz w:val="22"/>
      <w:szCs w:val="22"/>
      <w:u w:val="none"/>
    </w:rPr>
  </w:style>
  <w:style w:type="paragraph" w:customStyle="1" w:styleId="17">
    <w:name w:val="列出段落1"/>
    <w:basedOn w:val="1"/>
    <w:qFormat/>
    <w:uiPriority w:val="34"/>
    <w:pPr>
      <w:widowControl/>
      <w:spacing w:line="360" w:lineRule="auto"/>
      <w:ind w:firstLine="420" w:firstLineChars="200"/>
    </w:pPr>
    <w:rPr>
      <w:rFonts w:ascii="Calibri" w:hAnsi="Calibri"/>
      <w:kern w:val="0"/>
      <w:sz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894</Words>
  <Characters>923</Characters>
  <Lines>0</Lines>
  <Paragraphs>0</Paragraphs>
  <TotalTime>0</TotalTime>
  <ScaleCrop>false</ScaleCrop>
  <LinksUpToDate>false</LinksUpToDate>
  <CharactersWithSpaces>935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2024-09-09T06:04:00Z</dcterms:created>
  <dc:creator>刘伟</dc:creator>
  <cp:lastModifiedBy>吴张炜</cp:lastModifiedBy>
  <cp:lastPrinted>2025-03-06T07:46:00Z</cp:lastPrinted>
  <dcterms:modified xsi:type="dcterms:W3CDTF">2026-10-19T07:00:07Z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5E8BC582237C4ACB9E5D86341061F2BA</vt:lpwstr>
  </property>
  <property fmtid="{D5CDD505-2E9C-101B-9397-08002B2CF9AE}" pid="4" name="KSOTemplateDocerSaveRecord">
    <vt:lpwstr>eyJoZGlkIjoiZTkyZWQ0NTljOWU1ZTQwMGY0NDkwYzc5YTA1NWM0NGEiLCJ1c2VySWQiOiIzMDU4OTYxMTkifQ==</vt:lpwstr>
  </property>
</Properties>
</file>