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keepLines/>
        <w:pageBreakBefore w:val="0"/>
        <w:widowControl w:val="0"/>
        <w:shd w:val="clear"/>
        <w:kinsoku/>
        <w:wordWrap/>
        <w:overflowPunct/>
        <w:topLinePunct w:val="0"/>
        <w:autoSpaceDE/>
        <w:autoSpaceDN/>
        <w:bidi w:val="0"/>
        <w:adjustRightInd/>
        <w:snapToGrid/>
        <w:spacing w:before="0" w:beforeLines="0" w:after="0" w:afterLines="0" w:line="560" w:lineRule="exact"/>
        <w:jc w:val="center"/>
        <w:textAlignment w:val="auto"/>
        <w:rPr>
          <w:rFonts w:hint="eastAsia" w:ascii="方正小标宋_GBK" w:hAnsi="方正小标宋_GBK" w:eastAsia="方正小标宋_GBK" w:cs="方正小标宋_GBK"/>
          <w:b w:val="0"/>
          <w:bCs w:val="0"/>
          <w:sz w:val="44"/>
          <w:szCs w:val="44"/>
          <w:lang w:val="en-US" w:eastAsia="zh-CN"/>
        </w:rPr>
      </w:pPr>
      <w:bookmarkStart w:id="0" w:name="_Hlk77898732"/>
      <w:bookmarkEnd w:id="0"/>
      <w:r>
        <w:rPr>
          <w:rFonts w:hint="eastAsia" w:ascii="方正小标宋_GBK" w:hAnsi="方正小标宋_GBK" w:eastAsia="方正小标宋_GBK" w:cs="方正小标宋_GBK"/>
          <w:b w:val="0"/>
          <w:bCs w:val="0"/>
          <w:sz w:val="44"/>
          <w:szCs w:val="44"/>
          <w:lang w:val="en-US" w:eastAsia="zh-CN"/>
        </w:rPr>
        <w:t>南方电网绿能科技（广东）有限公司2026年面向配电房的环境智能监控治理装置原材料购置及代加工零星采购项目技术规范书</w:t>
      </w:r>
    </w:p>
    <w:p>
      <w:pPr>
        <w:pStyle w:val="2"/>
        <w:keepNext/>
        <w:keepLines/>
        <w:pageBreakBefore w:val="0"/>
        <w:widowControl w:val="0"/>
        <w:shd w:val="clear"/>
        <w:kinsoku/>
        <w:wordWrap/>
        <w:overflowPunct/>
        <w:topLinePunct w:val="0"/>
        <w:autoSpaceDE/>
        <w:autoSpaceDN/>
        <w:bidi w:val="0"/>
        <w:adjustRightInd/>
        <w:snapToGrid/>
        <w:spacing w:before="0" w:beforeLines="0" w:after="0" w:afterLines="0" w:line="560" w:lineRule="exact"/>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1.采购范围</w:t>
      </w:r>
    </w:p>
    <w:p>
      <w:pPr>
        <w:pStyle w:val="6"/>
        <w:pageBreakBefore w:val="0"/>
        <w:widowControl w:val="0"/>
        <w:kinsoku/>
        <w:wordWrap/>
        <w:overflowPunct/>
        <w:topLinePunct w:val="0"/>
        <w:autoSpaceDE/>
        <w:autoSpaceDN/>
        <w:bidi w:val="0"/>
        <w:adjustRightInd/>
        <w:snapToGrid/>
        <w:spacing w:after="0" w:afterLines="0"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南方电网绿能科技（广东）有限公司为采购方，报价方为采购方提供面向配电房的环境智能监控治理装置原材料购置及代加工服务。采购方、报价方双方签订服务合同，服务期自合同签订起满一年，项目按照报价单的方式报价。</w:t>
      </w:r>
    </w:p>
    <w:p>
      <w:pPr>
        <w:pStyle w:val="2"/>
        <w:keepNext/>
        <w:keepLines/>
        <w:pageBreakBefore w:val="0"/>
        <w:widowControl w:val="0"/>
        <w:numPr>
          <w:ilvl w:val="0"/>
          <w:numId w:val="0"/>
        </w:numPr>
        <w:shd w:val="clear"/>
        <w:kinsoku/>
        <w:wordWrap/>
        <w:overflowPunct/>
        <w:topLinePunct w:val="0"/>
        <w:autoSpaceDE/>
        <w:autoSpaceDN/>
        <w:bidi w:val="0"/>
        <w:adjustRightInd/>
        <w:snapToGrid/>
        <w:spacing w:before="0" w:beforeLines="0" w:after="0" w:afterLines="0" w:line="560" w:lineRule="exact"/>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2.服务内容及要求</w:t>
      </w:r>
    </w:p>
    <w:p>
      <w:pPr>
        <w:pStyle w:val="3"/>
        <w:keepNext/>
        <w:keepLines/>
        <w:pageBreakBefore w:val="0"/>
        <w:widowControl w:val="0"/>
        <w:shd w:val="clear"/>
        <w:kinsoku/>
        <w:wordWrap/>
        <w:overflowPunct/>
        <w:topLinePunct w:val="0"/>
        <w:autoSpaceDE/>
        <w:autoSpaceDN/>
        <w:bidi w:val="0"/>
        <w:adjustRightInd/>
        <w:snapToGrid/>
        <w:spacing w:before="0" w:beforeLines="0" w:after="0" w:afterLines="0" w:line="560" w:lineRule="exact"/>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2.1服务内容</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采购方委托报甲方提供的服务内容、数量如下：</w:t>
      </w:r>
    </w:p>
    <w:tbl>
      <w:tblPr>
        <w:tblStyle w:val="11"/>
        <w:tblpPr w:leftFromText="180" w:rightFromText="180" w:vertAnchor="text" w:horzAnchor="page" w:tblpX="1274" w:tblpY="225"/>
        <w:tblOverlap w:val="never"/>
        <w:tblW w:w="530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top w:w="15" w:type="dxa"/>
          <w:left w:w="15" w:type="dxa"/>
          <w:bottom w:w="15" w:type="dxa"/>
          <w:right w:w="15" w:type="dxa"/>
        </w:tblCellMar>
      </w:tblPr>
      <w:tblGrid>
        <w:gridCol w:w="600"/>
        <w:gridCol w:w="1050"/>
        <w:gridCol w:w="1935"/>
        <w:gridCol w:w="600"/>
        <w:gridCol w:w="540"/>
        <w:gridCol w:w="870"/>
        <w:gridCol w:w="885"/>
        <w:gridCol w:w="915"/>
        <w:gridCol w:w="145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15" w:type="dxa"/>
            <w:left w:w="15" w:type="dxa"/>
            <w:bottom w:w="15" w:type="dxa"/>
            <w:right w:w="15" w:type="dxa"/>
          </w:tblCellMar>
        </w:tblPrEx>
        <w:trPr>
          <w:trHeight w:val="995" w:hRule="atLeast"/>
        </w:trPr>
        <w:tc>
          <w:tcPr>
            <w:tcW w:w="932" w:type="pct"/>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项目名称</w:t>
            </w:r>
          </w:p>
        </w:tc>
        <w:tc>
          <w:tcPr>
            <w:tcW w:w="4067" w:type="pct"/>
            <w:gridSpan w:val="7"/>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南网绿能科技（广东）有限公司2026年</w:t>
            </w:r>
            <w:r>
              <w:rPr>
                <w:rFonts w:hint="eastAsia" w:cs="Times New Roman"/>
                <w:color w:val="000000"/>
                <w:kern w:val="0"/>
                <w:sz w:val="21"/>
                <w:szCs w:val="21"/>
                <w:lang w:val="en-US" w:eastAsia="zh-CN"/>
              </w:rPr>
              <w:t>面向配电房的环境智能监控治理装置</w:t>
            </w:r>
            <w:r>
              <w:rPr>
                <w:rFonts w:hint="eastAsia" w:ascii="宋体" w:hAnsi="宋体"/>
                <w:color w:val="auto"/>
                <w:sz w:val="21"/>
                <w:szCs w:val="21"/>
                <w:highlight w:val="none"/>
                <w:lang w:val="en-US" w:eastAsia="zh-CN"/>
              </w:rPr>
              <w:t>原材料购置及代加工零星采购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15" w:type="dxa"/>
            <w:left w:w="15" w:type="dxa"/>
            <w:bottom w:w="15" w:type="dxa"/>
            <w:right w:w="15" w:type="dxa"/>
          </w:tblCellMar>
        </w:tblPrEx>
        <w:trPr>
          <w:trHeight w:val="513" w:hRule="atLeast"/>
        </w:trPr>
        <w:tc>
          <w:tcPr>
            <w:tcW w:w="33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kern w:val="0"/>
                <w:sz w:val="21"/>
                <w:szCs w:val="21"/>
                <w:highlight w:val="none"/>
                <w:u w:val="none"/>
                <w:lang w:val="en-US" w:eastAsia="zh-CN" w:bidi="ar"/>
              </w:rPr>
              <w:t>序号</w:t>
            </w:r>
          </w:p>
        </w:tc>
        <w:tc>
          <w:tcPr>
            <w:tcW w:w="593"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default" w:ascii="宋体" w:hAnsi="宋体" w:eastAsia="宋体" w:cs="宋体"/>
                <w:i w:val="0"/>
                <w:color w:val="000000"/>
                <w:sz w:val="21"/>
                <w:szCs w:val="21"/>
                <w:highlight w:val="none"/>
                <w:u w:val="none"/>
                <w:lang w:val="en-US"/>
              </w:rPr>
            </w:pPr>
            <w:r>
              <w:rPr>
                <w:rFonts w:hint="eastAsia" w:ascii="宋体" w:hAnsi="宋体" w:eastAsia="宋体" w:cs="宋体"/>
                <w:i w:val="0"/>
                <w:color w:val="000000"/>
                <w:kern w:val="0"/>
                <w:sz w:val="21"/>
                <w:szCs w:val="21"/>
                <w:highlight w:val="none"/>
                <w:u w:val="none"/>
                <w:lang w:val="en-US" w:eastAsia="zh-CN" w:bidi="ar"/>
              </w:rPr>
              <w:t>明细</w:t>
            </w:r>
          </w:p>
        </w:tc>
        <w:tc>
          <w:tcPr>
            <w:tcW w:w="1093"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default"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规格型号</w:t>
            </w:r>
          </w:p>
        </w:tc>
        <w:tc>
          <w:tcPr>
            <w:tcW w:w="33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tabs>
                <w:tab w:val="left" w:pos="407"/>
              </w:tabs>
              <w:jc w:val="center"/>
              <w:textAlignment w:val="center"/>
              <w:rPr>
                <w:rFonts w:hint="default" w:ascii="宋体" w:hAnsi="宋体" w:eastAsia="宋体" w:cs="宋体"/>
                <w:i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单位</w:t>
            </w:r>
          </w:p>
        </w:tc>
        <w:tc>
          <w:tcPr>
            <w:tcW w:w="305"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kern w:val="0"/>
                <w:sz w:val="21"/>
                <w:szCs w:val="21"/>
                <w:highlight w:val="none"/>
                <w:u w:val="none"/>
                <w:lang w:val="en-US" w:eastAsia="zh-CN" w:bidi="ar"/>
              </w:rPr>
              <w:t>数量</w:t>
            </w:r>
          </w:p>
        </w:tc>
        <w:tc>
          <w:tcPr>
            <w:tcW w:w="491"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default"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单价限价</w:t>
            </w:r>
          </w:p>
        </w:tc>
        <w:tc>
          <w:tcPr>
            <w:tcW w:w="500"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default"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单价报价</w:t>
            </w:r>
          </w:p>
        </w:tc>
        <w:tc>
          <w:tcPr>
            <w:tcW w:w="51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lang w:val="en-US" w:eastAsia="zh-CN"/>
              </w:rPr>
              <w:t>金额小计</w:t>
            </w:r>
          </w:p>
        </w:tc>
        <w:tc>
          <w:tcPr>
            <w:tcW w:w="822"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15" w:type="dxa"/>
            <w:left w:w="15" w:type="dxa"/>
            <w:bottom w:w="15" w:type="dxa"/>
            <w:right w:w="15" w:type="dxa"/>
          </w:tblCellMar>
        </w:tblPrEx>
        <w:trPr>
          <w:trHeight w:val="90" w:hRule="atLeast"/>
        </w:trPr>
        <w:tc>
          <w:tcPr>
            <w:tcW w:w="33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default"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1</w:t>
            </w:r>
          </w:p>
        </w:tc>
        <w:tc>
          <w:tcPr>
            <w:tcW w:w="593"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default" w:ascii="宋体" w:hAnsi="宋体" w:eastAsia="宋体" w:cs="宋体"/>
                <w:i w:val="0"/>
                <w:color w:val="000000"/>
                <w:kern w:val="2"/>
                <w:sz w:val="21"/>
                <w:szCs w:val="21"/>
                <w:highlight w:val="none"/>
                <w:u w:val="none"/>
                <w:lang w:val="en-US" w:eastAsia="zh-CN" w:bidi="ar-SA"/>
              </w:rPr>
            </w:pPr>
            <w:r>
              <w:rPr>
                <w:rFonts w:hint="eastAsia" w:ascii="CESI_SS_GB18030" w:hAnsi="CESI_SS_GB18030" w:eastAsia="CESI_SS_GB18030" w:cs="CESI_SS_GB18030"/>
                <w:color w:val="auto"/>
                <w:sz w:val="21"/>
                <w:szCs w:val="21"/>
                <w:highlight w:val="none"/>
                <w:lang w:val="en-US" w:eastAsia="zh-CN"/>
              </w:rPr>
              <w:t>原材料和零部件采购及加工服务</w:t>
            </w:r>
          </w:p>
        </w:tc>
        <w:tc>
          <w:tcPr>
            <w:tcW w:w="1093"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按照技术说明书中参数、功能等要求开展</w:t>
            </w:r>
            <w:r>
              <w:rPr>
                <w:rFonts w:hint="eastAsia" w:ascii="宋体" w:hAnsi="宋体" w:cs="宋体"/>
                <w:color w:val="auto"/>
                <w:sz w:val="21"/>
                <w:szCs w:val="21"/>
                <w:highlight w:val="none"/>
                <w:lang w:val="en-US" w:eastAsia="zh-CN"/>
              </w:rPr>
              <w:t>环境智能监控治理装置</w:t>
            </w:r>
            <w:r>
              <w:rPr>
                <w:rFonts w:hint="eastAsia" w:ascii="宋体" w:hAnsi="宋体" w:eastAsia="宋体" w:cs="宋体"/>
                <w:color w:val="auto"/>
                <w:sz w:val="21"/>
                <w:szCs w:val="21"/>
                <w:highlight w:val="none"/>
                <w:lang w:val="en-US" w:eastAsia="zh-CN"/>
              </w:rPr>
              <w:t>相关原材料及零部件的采购与加工</w:t>
            </w:r>
          </w:p>
        </w:tc>
        <w:tc>
          <w:tcPr>
            <w:tcW w:w="33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default" w:ascii="宋体" w:hAnsi="宋体" w:eastAsia="宋体" w:cs="宋体"/>
                <w:i w:val="0"/>
                <w:color w:val="000000"/>
                <w:kern w:val="2"/>
                <w:sz w:val="21"/>
                <w:szCs w:val="21"/>
                <w:highlight w:val="none"/>
                <w:u w:val="none"/>
                <w:lang w:val="en-US" w:eastAsia="zh-CN" w:bidi="ar-SA"/>
              </w:rPr>
            </w:pPr>
            <w:r>
              <w:rPr>
                <w:rFonts w:hint="eastAsia" w:ascii="宋体" w:hAnsi="宋体" w:cs="宋体"/>
                <w:color w:val="auto"/>
                <w:sz w:val="21"/>
                <w:szCs w:val="21"/>
                <w:highlight w:val="none"/>
                <w:lang w:val="en-US" w:eastAsia="zh-CN"/>
              </w:rPr>
              <w:t>套</w:t>
            </w:r>
          </w:p>
        </w:tc>
        <w:tc>
          <w:tcPr>
            <w:tcW w:w="305"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default" w:ascii="宋体" w:hAnsi="宋体" w:eastAsia="宋体" w:cs="宋体"/>
                <w:i w:val="0"/>
                <w:color w:val="000000"/>
                <w:kern w:val="2"/>
                <w:sz w:val="21"/>
                <w:szCs w:val="21"/>
                <w:highlight w:val="none"/>
                <w:u w:val="none"/>
                <w:lang w:val="en-US" w:eastAsia="zh-CN" w:bidi="ar-SA"/>
              </w:rPr>
            </w:pPr>
            <w:r>
              <w:rPr>
                <w:rFonts w:hint="eastAsia" w:ascii="宋体" w:hAnsi="宋体" w:eastAsia="宋体" w:cs="宋体"/>
                <w:i w:val="0"/>
                <w:color w:val="000000"/>
                <w:sz w:val="21"/>
                <w:szCs w:val="21"/>
                <w:highlight w:val="none"/>
                <w:u w:val="none"/>
                <w:lang w:val="en-US" w:eastAsia="zh-CN"/>
              </w:rPr>
              <w:t>1</w:t>
            </w:r>
          </w:p>
        </w:tc>
        <w:tc>
          <w:tcPr>
            <w:tcW w:w="491"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default" w:ascii="宋体" w:hAnsi="宋体" w:eastAsia="宋体" w:cs="宋体"/>
                <w:i w:val="0"/>
                <w:color w:val="000000"/>
                <w:sz w:val="21"/>
                <w:szCs w:val="21"/>
                <w:highlight w:val="none"/>
                <w:u w:val="none"/>
                <w:lang w:val="en-US" w:eastAsia="zh-CN"/>
              </w:rPr>
            </w:pPr>
            <w:r>
              <w:rPr>
                <w:rFonts w:hint="eastAsia" w:ascii="宋体" w:hAnsi="宋体" w:cs="宋体"/>
                <w:i w:val="0"/>
                <w:color w:val="000000"/>
                <w:kern w:val="2"/>
                <w:sz w:val="21"/>
                <w:szCs w:val="21"/>
                <w:highlight w:val="none"/>
                <w:u w:val="none"/>
                <w:lang w:val="en-US" w:eastAsia="zh-CN" w:bidi="ar-SA"/>
              </w:rPr>
              <w:t>15000</w:t>
            </w:r>
          </w:p>
        </w:tc>
        <w:tc>
          <w:tcPr>
            <w:tcW w:w="500"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default" w:ascii="宋体" w:hAnsi="宋体" w:eastAsia="宋体" w:cs="宋体"/>
                <w:i w:val="0"/>
                <w:color w:val="000000"/>
                <w:kern w:val="2"/>
                <w:sz w:val="21"/>
                <w:szCs w:val="21"/>
                <w:highlight w:val="none"/>
                <w:u w:val="none"/>
                <w:lang w:val="en-US" w:eastAsia="zh-CN" w:bidi="ar-SA"/>
              </w:rPr>
            </w:pPr>
          </w:p>
        </w:tc>
        <w:tc>
          <w:tcPr>
            <w:tcW w:w="51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rFonts w:hint="default" w:cs="Times New Roman"/>
                <w:sz w:val="21"/>
                <w:szCs w:val="21"/>
                <w:highlight w:val="none"/>
                <w:lang w:val="en-US" w:eastAsia="zh-CN"/>
              </w:rPr>
            </w:pPr>
          </w:p>
        </w:tc>
        <w:tc>
          <w:tcPr>
            <w:tcW w:w="822"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rFonts w:hint="default" w:cs="Times New Roman"/>
                <w:sz w:val="21"/>
                <w:szCs w:val="21"/>
                <w:highlight w:val="none"/>
                <w:lang w:val="en-US" w:eastAsia="zh-CN"/>
              </w:rPr>
            </w:pPr>
            <w:r>
              <w:rPr>
                <w:rFonts w:hint="eastAsia" w:ascii="宋体" w:hAnsi="宋体" w:eastAsia="宋体" w:cs="宋体"/>
                <w:color w:val="auto"/>
                <w:sz w:val="21"/>
                <w:szCs w:val="21"/>
                <w:highlight w:val="none"/>
                <w:lang w:val="en-US" w:eastAsia="zh-CN"/>
              </w:rPr>
              <w:t>按照业主方项目需求采购原材料和部件；并参与</w:t>
            </w:r>
            <w:r>
              <w:rPr>
                <w:rFonts w:hint="eastAsia" w:ascii="宋体" w:hAnsi="宋体"/>
                <w:color w:val="auto"/>
                <w:sz w:val="21"/>
                <w:szCs w:val="21"/>
                <w:highlight w:val="none"/>
                <w:lang w:val="en-US" w:eastAsia="zh-CN"/>
              </w:rPr>
              <w:t>项目原材料及零部件的加工。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15" w:type="dxa"/>
            <w:left w:w="15" w:type="dxa"/>
            <w:bottom w:w="15" w:type="dxa"/>
            <w:right w:w="15" w:type="dxa"/>
          </w:tblCellMar>
        </w:tblPrEx>
        <w:trPr>
          <w:trHeight w:val="385" w:hRule="atLeast"/>
        </w:trPr>
        <w:tc>
          <w:tcPr>
            <w:tcW w:w="33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default"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2</w:t>
            </w:r>
          </w:p>
        </w:tc>
        <w:tc>
          <w:tcPr>
            <w:tcW w:w="593"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after="0" w:line="240" w:lineRule="auto"/>
              <w:jc w:val="center"/>
              <w:rPr>
                <w:rFonts w:hint="default" w:ascii="Calibri" w:hAnsi="Calibri" w:cs="Times New Roman"/>
                <w:sz w:val="21"/>
                <w:szCs w:val="21"/>
                <w:highlight w:val="none"/>
                <w:lang w:val="en-US" w:eastAsia="zh-CN"/>
              </w:rPr>
            </w:pPr>
            <w:r>
              <w:rPr>
                <w:rFonts w:hint="eastAsia" w:ascii="CESI_SS_GB18030" w:hAnsi="CESI_SS_GB18030" w:eastAsia="CESI_SS_GB18030" w:cs="CESI_SS_GB18030"/>
                <w:color w:val="auto"/>
                <w:sz w:val="21"/>
                <w:szCs w:val="21"/>
                <w:highlight w:val="none"/>
                <w:lang w:val="en-US" w:eastAsia="zh-CN"/>
              </w:rPr>
              <w:t>整机安装、调试服务</w:t>
            </w:r>
          </w:p>
        </w:tc>
        <w:tc>
          <w:tcPr>
            <w:tcW w:w="1093"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环境智能监控治理装置</w:t>
            </w:r>
            <w:r>
              <w:rPr>
                <w:rFonts w:hint="eastAsia" w:ascii="宋体" w:hAnsi="宋体" w:eastAsia="宋体" w:cs="宋体"/>
                <w:color w:val="auto"/>
                <w:sz w:val="21"/>
                <w:szCs w:val="21"/>
                <w:highlight w:val="none"/>
                <w:lang w:val="en-US" w:eastAsia="zh-CN"/>
              </w:rPr>
              <w:t>结构设计、版型优化与样品试制，交付改进后</w:t>
            </w:r>
            <w:r>
              <w:rPr>
                <w:rFonts w:hint="eastAsia" w:ascii="宋体" w:hAnsi="宋体" w:cs="宋体"/>
                <w:color w:val="auto"/>
                <w:sz w:val="21"/>
                <w:szCs w:val="21"/>
                <w:highlight w:val="none"/>
                <w:lang w:val="en-US" w:eastAsia="zh-CN"/>
              </w:rPr>
              <w:t>样机1台</w:t>
            </w:r>
          </w:p>
        </w:tc>
        <w:tc>
          <w:tcPr>
            <w:tcW w:w="33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eastAsia" w:ascii="宋体" w:hAnsi="宋体" w:eastAsia="宋体" w:cs="宋体"/>
                <w:i w:val="0"/>
                <w:color w:val="000000"/>
                <w:sz w:val="21"/>
                <w:szCs w:val="21"/>
                <w:highlight w:val="none"/>
                <w:u w:val="none"/>
                <w:lang w:val="en-US" w:eastAsia="zh-CN"/>
              </w:rPr>
            </w:pPr>
            <w:r>
              <w:rPr>
                <w:rFonts w:hint="eastAsia" w:ascii="宋体" w:hAnsi="宋体" w:cs="宋体"/>
                <w:color w:val="auto"/>
                <w:sz w:val="21"/>
                <w:szCs w:val="21"/>
                <w:highlight w:val="none"/>
                <w:lang w:val="en-US" w:eastAsia="zh-CN"/>
              </w:rPr>
              <w:t>台</w:t>
            </w:r>
          </w:p>
        </w:tc>
        <w:tc>
          <w:tcPr>
            <w:tcW w:w="305"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eastAsia" w:ascii="宋体" w:hAnsi="宋体" w:eastAsia="宋体" w:cs="宋体"/>
                <w:i w:val="0"/>
                <w:color w:val="000000"/>
                <w:sz w:val="21"/>
                <w:szCs w:val="21"/>
                <w:highlight w:val="none"/>
                <w:u w:val="none"/>
                <w:lang w:val="en-US" w:eastAsia="zh-CN"/>
              </w:rPr>
            </w:pPr>
            <w:r>
              <w:rPr>
                <w:rFonts w:hint="eastAsia" w:ascii="宋体" w:hAnsi="宋体" w:cs="宋体"/>
                <w:i w:val="0"/>
                <w:color w:val="000000"/>
                <w:sz w:val="21"/>
                <w:szCs w:val="21"/>
                <w:highlight w:val="none"/>
                <w:u w:val="none"/>
                <w:lang w:val="en-US" w:eastAsia="zh-CN"/>
              </w:rPr>
              <w:t>1</w:t>
            </w:r>
          </w:p>
        </w:tc>
        <w:tc>
          <w:tcPr>
            <w:tcW w:w="491"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default" w:ascii="宋体" w:hAnsi="宋体" w:eastAsia="宋体" w:cs="宋体"/>
                <w:i w:val="0"/>
                <w:color w:val="000000"/>
                <w:kern w:val="2"/>
                <w:sz w:val="21"/>
                <w:szCs w:val="21"/>
                <w:highlight w:val="none"/>
                <w:u w:val="none"/>
                <w:lang w:val="en-US" w:eastAsia="zh-CN" w:bidi="ar-SA"/>
              </w:rPr>
            </w:pPr>
            <w:r>
              <w:rPr>
                <w:rFonts w:hint="eastAsia" w:ascii="宋体" w:hAnsi="宋体" w:cs="宋体"/>
                <w:i w:val="0"/>
                <w:color w:val="000000"/>
                <w:kern w:val="2"/>
                <w:sz w:val="21"/>
                <w:szCs w:val="21"/>
                <w:highlight w:val="none"/>
                <w:u w:val="none"/>
                <w:lang w:val="en-US" w:eastAsia="zh-CN" w:bidi="ar-SA"/>
              </w:rPr>
              <w:t>5500</w:t>
            </w:r>
          </w:p>
        </w:tc>
        <w:tc>
          <w:tcPr>
            <w:tcW w:w="500"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default" w:ascii="宋体" w:hAnsi="宋体" w:eastAsia="宋体" w:cs="宋体"/>
                <w:i w:val="0"/>
                <w:color w:val="000000"/>
                <w:kern w:val="2"/>
                <w:sz w:val="21"/>
                <w:szCs w:val="21"/>
                <w:highlight w:val="none"/>
                <w:u w:val="none"/>
                <w:lang w:val="en-US" w:eastAsia="zh-CN" w:bidi="ar-SA"/>
              </w:rPr>
            </w:pPr>
          </w:p>
        </w:tc>
        <w:tc>
          <w:tcPr>
            <w:tcW w:w="51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rFonts w:hint="default" w:cs="Times New Roman"/>
                <w:sz w:val="21"/>
                <w:szCs w:val="21"/>
                <w:highlight w:val="none"/>
                <w:lang w:val="en-US" w:eastAsia="zh-CN"/>
              </w:rPr>
            </w:pPr>
          </w:p>
        </w:tc>
        <w:tc>
          <w:tcPr>
            <w:tcW w:w="822"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sz w:val="21"/>
                <w:szCs w:val="21"/>
                <w:highlight w:val="none"/>
              </w:rPr>
            </w:pPr>
            <w:r>
              <w:rPr>
                <w:rFonts w:hint="eastAsia" w:ascii="宋体" w:hAnsi="宋体"/>
                <w:color w:val="auto"/>
                <w:sz w:val="21"/>
                <w:szCs w:val="21"/>
                <w:highlight w:val="none"/>
                <w:lang w:val="en-US" w:eastAsia="zh-CN"/>
              </w:rPr>
              <w:t>协助配合业主方整机安装、调试、现场试用；交付功能齐全、稳定运行的成套装置。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15" w:type="dxa"/>
            <w:left w:w="15" w:type="dxa"/>
            <w:bottom w:w="15" w:type="dxa"/>
            <w:right w:w="15" w:type="dxa"/>
          </w:tblCellMar>
        </w:tblPrEx>
        <w:trPr>
          <w:trHeight w:val="1421" w:hRule="atLeast"/>
        </w:trPr>
        <w:tc>
          <w:tcPr>
            <w:tcW w:w="33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eastAsia" w:ascii="宋体" w:hAnsi="宋体" w:eastAsia="宋体" w:cs="宋体"/>
                <w:i w:val="0"/>
                <w:color w:val="000000"/>
                <w:kern w:val="2"/>
                <w:sz w:val="21"/>
                <w:szCs w:val="21"/>
                <w:highlight w:val="none"/>
                <w:u w:val="none"/>
                <w:lang w:val="en-US" w:eastAsia="zh-CN" w:bidi="ar-SA"/>
              </w:rPr>
            </w:pPr>
            <w:r>
              <w:rPr>
                <w:rFonts w:hint="eastAsia" w:ascii="宋体" w:hAnsi="宋体" w:eastAsia="宋体" w:cs="宋体"/>
                <w:i w:val="0"/>
                <w:color w:val="000000"/>
                <w:sz w:val="21"/>
                <w:szCs w:val="21"/>
                <w:highlight w:val="none"/>
                <w:u w:val="none"/>
                <w:lang w:val="en-US" w:eastAsia="zh-CN"/>
              </w:rPr>
              <w:t>3</w:t>
            </w:r>
          </w:p>
        </w:tc>
        <w:tc>
          <w:tcPr>
            <w:tcW w:w="593"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after="0" w:line="240" w:lineRule="auto"/>
              <w:jc w:val="center"/>
              <w:rPr>
                <w:rFonts w:hint="eastAsia" w:ascii="Calibri" w:hAnsi="Calibri" w:eastAsia="宋体" w:cs="Times New Roman"/>
                <w:kern w:val="2"/>
                <w:sz w:val="21"/>
                <w:szCs w:val="21"/>
                <w:highlight w:val="none"/>
                <w:lang w:val="en-US" w:eastAsia="zh-CN" w:bidi="ar-SA"/>
              </w:rPr>
            </w:pPr>
            <w:r>
              <w:rPr>
                <w:rFonts w:hint="eastAsia" w:ascii="Calibri" w:hAnsi="Calibri" w:cs="Times New Roman"/>
                <w:sz w:val="21"/>
                <w:szCs w:val="21"/>
                <w:highlight w:val="none"/>
                <w:lang w:val="en-US" w:eastAsia="zh-CN"/>
              </w:rPr>
              <w:t>第三方检测服务</w:t>
            </w:r>
          </w:p>
        </w:tc>
        <w:tc>
          <w:tcPr>
            <w:tcW w:w="1093"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after="0" w:line="240" w:lineRule="auto"/>
              <w:jc w:val="left"/>
              <w:rPr>
                <w:rFonts w:hint="eastAsia" w:ascii="Times New Roman" w:hAnsi="Times New Roman" w:eastAsia="宋体" w:cs="Times New Roman"/>
                <w:kern w:val="2"/>
                <w:sz w:val="21"/>
                <w:szCs w:val="21"/>
                <w:highlight w:val="none"/>
                <w:lang w:val="en-US" w:eastAsia="zh-CN" w:bidi="ar-SA"/>
              </w:rPr>
            </w:pPr>
            <w:r>
              <w:rPr>
                <w:rFonts w:hint="eastAsia" w:ascii="宋体" w:hAnsi="宋体"/>
                <w:color w:val="auto"/>
                <w:sz w:val="21"/>
                <w:szCs w:val="21"/>
                <w:highlight w:val="none"/>
                <w:lang w:val="en-US" w:eastAsia="zh-CN"/>
              </w:rPr>
              <w:t>提供环境智能监控治理装置用于第三方测试，交付第三方检测报告1份。</w:t>
            </w:r>
          </w:p>
        </w:tc>
        <w:tc>
          <w:tcPr>
            <w:tcW w:w="33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eastAsia" w:ascii="宋体" w:hAnsi="宋体" w:eastAsia="宋体" w:cs="宋体"/>
                <w:i w:val="0"/>
                <w:color w:val="000000"/>
                <w:kern w:val="2"/>
                <w:sz w:val="21"/>
                <w:szCs w:val="21"/>
                <w:highlight w:val="none"/>
                <w:u w:val="none"/>
                <w:lang w:val="en-US" w:eastAsia="zh-CN" w:bidi="ar-SA"/>
              </w:rPr>
            </w:pPr>
            <w:r>
              <w:rPr>
                <w:rFonts w:hint="eastAsia" w:ascii="宋体" w:hAnsi="宋体" w:eastAsia="宋体" w:cs="宋体"/>
                <w:color w:val="auto"/>
                <w:sz w:val="21"/>
                <w:szCs w:val="21"/>
                <w:highlight w:val="none"/>
                <w:lang w:val="en-US" w:eastAsia="zh-CN"/>
              </w:rPr>
              <w:t>次</w:t>
            </w:r>
          </w:p>
        </w:tc>
        <w:tc>
          <w:tcPr>
            <w:tcW w:w="305"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eastAsia" w:ascii="宋体" w:hAnsi="宋体" w:eastAsia="宋体" w:cs="宋体"/>
                <w:i w:val="0"/>
                <w:color w:val="000000"/>
                <w:kern w:val="2"/>
                <w:sz w:val="21"/>
                <w:szCs w:val="21"/>
                <w:highlight w:val="none"/>
                <w:u w:val="none"/>
                <w:lang w:val="en-US" w:eastAsia="zh-CN" w:bidi="ar-SA"/>
              </w:rPr>
            </w:pPr>
            <w:r>
              <w:rPr>
                <w:rFonts w:hint="eastAsia" w:ascii="宋体" w:hAnsi="宋体" w:eastAsia="宋体" w:cs="宋体"/>
                <w:i w:val="0"/>
                <w:color w:val="000000"/>
                <w:sz w:val="21"/>
                <w:szCs w:val="21"/>
                <w:highlight w:val="none"/>
                <w:u w:val="none"/>
                <w:lang w:val="en-US" w:eastAsia="zh-CN"/>
              </w:rPr>
              <w:t>1</w:t>
            </w:r>
          </w:p>
        </w:tc>
        <w:tc>
          <w:tcPr>
            <w:tcW w:w="491"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default" w:ascii="宋体" w:hAnsi="宋体" w:eastAsia="宋体" w:cs="宋体"/>
                <w:i w:val="0"/>
                <w:color w:val="000000"/>
                <w:kern w:val="2"/>
                <w:sz w:val="21"/>
                <w:szCs w:val="21"/>
                <w:highlight w:val="none"/>
                <w:u w:val="none"/>
                <w:lang w:val="en-US" w:eastAsia="zh-CN" w:bidi="ar-SA"/>
              </w:rPr>
            </w:pPr>
            <w:r>
              <w:rPr>
                <w:rFonts w:hint="eastAsia" w:ascii="宋体" w:hAnsi="宋体" w:cs="宋体"/>
                <w:i w:val="0"/>
                <w:color w:val="000000"/>
                <w:kern w:val="2"/>
                <w:sz w:val="21"/>
                <w:szCs w:val="21"/>
                <w:highlight w:val="none"/>
                <w:u w:val="none"/>
                <w:lang w:val="en-US" w:eastAsia="zh-CN" w:bidi="ar-SA"/>
              </w:rPr>
              <w:t>8000</w:t>
            </w:r>
          </w:p>
        </w:tc>
        <w:tc>
          <w:tcPr>
            <w:tcW w:w="500"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default" w:ascii="宋体" w:hAnsi="宋体" w:eastAsia="宋体" w:cs="宋体"/>
                <w:i w:val="0"/>
                <w:color w:val="000000"/>
                <w:kern w:val="2"/>
                <w:sz w:val="21"/>
                <w:szCs w:val="21"/>
                <w:highlight w:val="none"/>
                <w:u w:val="none"/>
                <w:lang w:val="en-US" w:eastAsia="zh-CN" w:bidi="ar-SA"/>
              </w:rPr>
            </w:pPr>
          </w:p>
        </w:tc>
        <w:tc>
          <w:tcPr>
            <w:tcW w:w="51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rFonts w:hint="default" w:ascii="Times New Roman" w:hAnsi="Times New Roman" w:eastAsia="宋体" w:cs="Times New Roman"/>
                <w:kern w:val="2"/>
                <w:sz w:val="21"/>
                <w:szCs w:val="21"/>
                <w:highlight w:val="none"/>
                <w:lang w:val="en-US" w:eastAsia="zh-CN" w:bidi="ar-SA"/>
              </w:rPr>
            </w:pPr>
          </w:p>
        </w:tc>
        <w:tc>
          <w:tcPr>
            <w:tcW w:w="822"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rFonts w:hint="eastAsia" w:ascii="Times New Roman" w:hAnsi="Times New Roman" w:eastAsia="宋体" w:cs="Times New Roman"/>
                <w:kern w:val="2"/>
                <w:sz w:val="21"/>
                <w:szCs w:val="21"/>
                <w:highlight w:val="none"/>
                <w:lang w:val="en-US" w:eastAsia="zh-CN" w:bidi="ar-SA"/>
              </w:rPr>
            </w:pPr>
            <w:r>
              <w:rPr>
                <w:rFonts w:hint="eastAsia" w:ascii="宋体" w:hAnsi="宋体"/>
                <w:color w:val="auto"/>
                <w:sz w:val="21"/>
                <w:szCs w:val="21"/>
                <w:highlight w:val="none"/>
                <w:lang w:val="en-US" w:eastAsia="zh-CN"/>
              </w:rPr>
              <w:t>提供第三方检验检测报告。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15" w:type="dxa"/>
            <w:left w:w="15" w:type="dxa"/>
            <w:bottom w:w="15" w:type="dxa"/>
            <w:right w:w="15" w:type="dxa"/>
          </w:tblCellMar>
        </w:tblPrEx>
        <w:trPr>
          <w:trHeight w:val="719" w:hRule="atLeast"/>
        </w:trPr>
        <w:tc>
          <w:tcPr>
            <w:tcW w:w="932" w:type="pct"/>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ind w:firstLine="420" w:firstLineChars="200"/>
              <w:jc w:val="both"/>
              <w:textAlignment w:val="center"/>
              <w:rPr>
                <w:rFonts w:hint="default" w:ascii="宋体" w:hAnsi="宋体" w:eastAsia="宋体" w:cs="宋体"/>
                <w:i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合计</w:t>
            </w:r>
          </w:p>
        </w:tc>
        <w:tc>
          <w:tcPr>
            <w:tcW w:w="2228" w:type="pct"/>
            <w:gridSpan w:val="4"/>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tabs>
                <w:tab w:val="center" w:pos="1957"/>
              </w:tabs>
              <w:jc w:val="both"/>
              <w:textAlignment w:val="center"/>
              <w:rPr>
                <w:rFonts w:hint="default" w:ascii="宋体" w:hAnsi="宋体" w:eastAsia="宋体" w:cs="宋体"/>
                <w:i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大写：</w:t>
            </w:r>
            <w:r>
              <w:rPr>
                <w:rFonts w:hint="eastAsia" w:ascii="宋体" w:hAnsi="宋体" w:cs="宋体"/>
                <w:i w:val="0"/>
                <w:color w:val="000000"/>
                <w:sz w:val="21"/>
                <w:szCs w:val="21"/>
                <w:highlight w:val="none"/>
                <w:u w:val="single"/>
                <w:lang w:val="en-US" w:eastAsia="zh-CN"/>
              </w:rPr>
              <w:t xml:space="preserve">      </w:t>
            </w:r>
            <w:r>
              <w:rPr>
                <w:rFonts w:hint="eastAsia" w:ascii="宋体" w:hAnsi="宋体" w:cs="宋体"/>
                <w:i w:val="0"/>
                <w:color w:val="000000"/>
                <w:kern w:val="0"/>
                <w:sz w:val="21"/>
                <w:szCs w:val="21"/>
                <w:highlight w:val="none"/>
                <w:u w:val="none"/>
                <w:lang w:val="en-US" w:eastAsia="zh-CN" w:bidi="ar"/>
              </w:rPr>
              <w:t>元</w:t>
            </w:r>
          </w:p>
        </w:tc>
        <w:tc>
          <w:tcPr>
            <w:tcW w:w="1016" w:type="pct"/>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rFonts w:hint="default" w:ascii="宋体" w:hAnsi="宋体" w:eastAsia="宋体" w:cs="宋体"/>
                <w:i w:val="0"/>
                <w:color w:val="000000"/>
                <w:sz w:val="21"/>
                <w:szCs w:val="21"/>
                <w:highlight w:val="none"/>
                <w:u w:val="none"/>
                <w:lang w:val="en-US"/>
              </w:rPr>
            </w:pPr>
            <w:r>
              <w:rPr>
                <w:rFonts w:hint="eastAsia" w:ascii="宋体" w:hAnsi="宋体" w:eastAsia="宋体" w:cs="宋体"/>
                <w:i w:val="0"/>
                <w:color w:val="000000"/>
                <w:sz w:val="21"/>
                <w:szCs w:val="21"/>
                <w:highlight w:val="none"/>
                <w:u w:val="none"/>
                <w:lang w:val="en-US" w:eastAsia="zh-CN"/>
              </w:rPr>
              <w:t>小写：</w:t>
            </w:r>
            <w:r>
              <w:rPr>
                <w:rFonts w:hint="eastAsia" w:ascii="宋体" w:hAnsi="宋体" w:cs="宋体"/>
                <w:i w:val="0"/>
                <w:color w:val="000000"/>
                <w:sz w:val="21"/>
                <w:szCs w:val="21"/>
                <w:highlight w:val="none"/>
                <w:u w:val="single"/>
                <w:lang w:val="en-US" w:eastAsia="zh-CN"/>
              </w:rPr>
              <w:t xml:space="preserve">      </w:t>
            </w:r>
            <w:r>
              <w:rPr>
                <w:rFonts w:hint="eastAsia" w:ascii="宋体" w:hAnsi="宋体" w:cs="宋体"/>
                <w:i w:val="0"/>
                <w:color w:val="000000"/>
                <w:sz w:val="21"/>
                <w:szCs w:val="21"/>
                <w:highlight w:val="none"/>
                <w:u w:val="none"/>
                <w:lang w:val="en-US" w:eastAsia="zh-CN"/>
              </w:rPr>
              <w:t>元</w:t>
            </w:r>
          </w:p>
        </w:tc>
        <w:tc>
          <w:tcPr>
            <w:tcW w:w="822"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rFonts w:hint="eastAsia" w:ascii="宋体" w:hAnsi="宋体" w:eastAsia="宋体" w:cs="宋体"/>
                <w:i w:val="0"/>
                <w:color w:val="000000"/>
                <w:sz w:val="21"/>
                <w:szCs w:val="21"/>
                <w:highlight w:val="none"/>
                <w:u w:val="none"/>
              </w:rPr>
            </w:pPr>
          </w:p>
        </w:tc>
      </w:tr>
    </w:tbl>
    <w:p>
      <w:pPr>
        <w:pStyle w:val="3"/>
        <w:keepNext/>
        <w:keepLines/>
        <w:pageBreakBefore w:val="0"/>
        <w:widowControl w:val="0"/>
        <w:shd w:val="clear"/>
        <w:kinsoku/>
        <w:wordWrap/>
        <w:overflowPunct/>
        <w:topLinePunct w:val="0"/>
        <w:autoSpaceDE/>
        <w:autoSpaceDN/>
        <w:bidi w:val="0"/>
        <w:adjustRightInd/>
        <w:snapToGrid/>
        <w:spacing w:before="0" w:beforeLines="0" w:after="0" w:afterLines="0" w:line="56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highlight w:val="none"/>
          <w:lang w:val="en-US" w:eastAsia="zh-CN"/>
        </w:rPr>
        <w:t>2.2服务相关要求</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报价方应按采购方对环境智能监控治理装置的相关改进要求提供全套设计、加工、组装及样品试制方案，要求结合绿能科技公司的业务开展相关工作，后续要提供全套产品三维模型、二维工程图纸给采购方。样机需要在签订合同后60个自然日内完成交付。</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（2）报价方应提供环境智能监控治理装置样衣用于整机第三方测试，承担第三方测试产生的所有费用，并交付第三方检测报告1份。</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（4）项目经验收通过后一次性结算与支付，项目结算总额不高于2.85万元。</w:t>
      </w:r>
    </w:p>
    <w:p>
      <w:pPr>
        <w:pStyle w:val="3"/>
        <w:keepNext/>
        <w:keepLines/>
        <w:pageBreakBefore w:val="0"/>
        <w:widowControl w:val="0"/>
        <w:shd w:val="clear"/>
        <w:kinsoku/>
        <w:wordWrap/>
        <w:overflowPunct/>
        <w:topLinePunct w:val="0"/>
        <w:autoSpaceDE/>
        <w:autoSpaceDN/>
        <w:bidi w:val="0"/>
        <w:adjustRightInd/>
        <w:snapToGrid/>
        <w:spacing w:before="0" w:beforeLines="0" w:after="0" w:afterLines="0" w:line="560" w:lineRule="exact"/>
        <w:textAlignment w:val="auto"/>
        <w:rPr>
          <w:rFonts w:hint="eastAsia" w:ascii="仿宋_GB2312" w:hAnsi="仿宋_GB2312" w:eastAsia="仿宋_GB2312" w:cs="仿宋_GB2312"/>
          <w:sz w:val="32"/>
          <w:szCs w:val="32"/>
          <w:highlight w:val="none"/>
          <w:lang w:val="en-US" w:eastAsia="zh-CN"/>
        </w:rPr>
      </w:pPr>
      <w:bookmarkStart w:id="1" w:name="_Toc10945"/>
      <w:r>
        <w:rPr>
          <w:rFonts w:hint="eastAsia" w:ascii="仿宋_GB2312" w:hAnsi="仿宋_GB2312" w:eastAsia="仿宋_GB2312" w:cs="仿宋_GB2312"/>
          <w:sz w:val="32"/>
          <w:szCs w:val="32"/>
          <w:highlight w:val="none"/>
          <w:lang w:val="en-US" w:eastAsia="zh-CN"/>
        </w:rPr>
        <w:t>2.3安全保密要求</w:t>
      </w:r>
      <w:bookmarkEnd w:id="1"/>
    </w:p>
    <w:p>
      <w:pPr>
        <w:pStyle w:val="17"/>
        <w:numPr>
          <w:ilvl w:val="0"/>
          <w:numId w:val="0"/>
        </w:numPr>
        <w:ind w:leftChars="0" w:firstLine="640" w:firstLineChars="200"/>
        <w:rPr>
          <w:rFonts w:hint="eastAsia"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kern w:val="2"/>
          <w:sz w:val="32"/>
          <w:szCs w:val="32"/>
          <w:highlight w:val="none"/>
          <w:lang w:val="en-US" w:eastAsia="zh-CN" w:bidi="ar-SA"/>
        </w:rPr>
        <w:t>（1）供方在服务期间，负有保护本项目的网络安全、信息安全和系统数据安全的义务和责任；负有保护所持有、接触的属于或涉及商业秘密的信息安全的义务和责任。</w:t>
      </w:r>
    </w:p>
    <w:p>
      <w:pPr>
        <w:pStyle w:val="17"/>
        <w:numPr>
          <w:ilvl w:val="0"/>
          <w:numId w:val="0"/>
        </w:numPr>
        <w:ind w:leftChars="0" w:firstLine="640" w:firstLineChars="200"/>
        <w:rPr>
          <w:rFonts w:hint="eastAsia"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kern w:val="2"/>
          <w:sz w:val="32"/>
          <w:szCs w:val="32"/>
          <w:highlight w:val="none"/>
          <w:lang w:val="en-US" w:eastAsia="zh-CN" w:bidi="ar-SA"/>
        </w:rPr>
        <w:t>（2）无论何种原因导致合同解除或终止，本项目约定下的保密条款、保密内容及相关的违约责任的约定仍然生效。保密期限为签订合同之后至永久，保密范围为项目所涉及的任何资料。</w:t>
      </w:r>
    </w:p>
    <w:p>
      <w:pPr>
        <w:pStyle w:val="3"/>
        <w:keepNext/>
        <w:keepLines/>
        <w:pageBreakBefore w:val="0"/>
        <w:widowControl w:val="0"/>
        <w:shd w:val="clear"/>
        <w:kinsoku/>
        <w:wordWrap/>
        <w:overflowPunct/>
        <w:topLinePunct w:val="0"/>
        <w:autoSpaceDE/>
        <w:autoSpaceDN/>
        <w:bidi w:val="0"/>
        <w:adjustRightInd/>
        <w:snapToGrid/>
        <w:spacing w:before="0" w:beforeLines="0" w:after="0" w:afterLines="0" w:line="560" w:lineRule="exact"/>
        <w:textAlignment w:val="auto"/>
        <w:rPr>
          <w:rFonts w:hint="eastAsia" w:ascii="仿宋_GB2312" w:hAnsi="仿宋_GB2312" w:eastAsia="仿宋_GB2312" w:cs="仿宋_GB2312"/>
          <w:sz w:val="32"/>
          <w:szCs w:val="32"/>
          <w:highlight w:val="none"/>
          <w:lang w:val="en-US" w:eastAsia="zh-CN"/>
        </w:rPr>
      </w:pPr>
      <w:bookmarkStart w:id="2" w:name="_Toc15278"/>
      <w:r>
        <w:rPr>
          <w:rFonts w:hint="eastAsia" w:ascii="仿宋_GB2312" w:hAnsi="仿宋_GB2312" w:eastAsia="仿宋_GB2312" w:cs="仿宋_GB2312"/>
          <w:sz w:val="32"/>
          <w:szCs w:val="32"/>
          <w:highlight w:val="none"/>
          <w:lang w:val="en-US" w:eastAsia="zh-CN"/>
        </w:rPr>
        <w:t>2.4项目验收要求</w:t>
      </w:r>
      <w:bookmarkEnd w:id="2"/>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textAlignment w:val="auto"/>
        <w:rPr>
          <w:rFonts w:hint="default" w:ascii="仿宋_GB2312" w:hAnsi="仿宋_GB2312" w:eastAsia="仿宋_GB2312" w:cs="仿宋_GB2312"/>
          <w:sz w:val="32"/>
          <w:szCs w:val="32"/>
          <w:highlight w:val="none"/>
          <w:lang w:val="en-US" w:eastAsia="zh-CN"/>
        </w:rPr>
      </w:pPr>
      <w:bookmarkStart w:id="3" w:name="_Toc413948021"/>
      <w:bookmarkEnd w:id="3"/>
      <w:r>
        <w:rPr>
          <w:rFonts w:hint="eastAsia" w:ascii="仿宋_GB2312" w:hAnsi="仿宋_GB2312" w:eastAsia="仿宋_GB2312" w:cs="仿宋_GB2312"/>
          <w:sz w:val="32"/>
          <w:szCs w:val="32"/>
          <w:highlight w:val="none"/>
          <w:lang w:val="en-US" w:eastAsia="zh-CN"/>
        </w:rPr>
        <w:t>按需方的管理制度和要求进行到货验收。</w:t>
      </w:r>
    </w:p>
    <w:p>
      <w:pPr>
        <w:rPr>
          <w:rFonts w:hint="eastAsia"/>
          <w:lang w:val="en-US" w:eastAsia="zh-CN"/>
        </w:rPr>
      </w:pPr>
      <w:r>
        <w:rPr>
          <w:rFonts w:hint="eastAsia"/>
          <w:lang w:val="en-US" w:eastAsia="zh-CN"/>
        </w:rPr>
        <w:br w:type="page"/>
      </w:r>
    </w:p>
    <w:p>
      <w:pPr>
        <w:spacing w:after="160" w:line="312" w:lineRule="auto"/>
        <w:jc w:val="both"/>
        <w:rPr>
          <w:rFonts w:hint="default" w:ascii="Times New Roman" w:hAnsi="Times New Roman" w:eastAsia="黑体"/>
          <w:b w:val="0"/>
          <w:bCs/>
          <w:color w:val="000000"/>
          <w:sz w:val="32"/>
          <w:szCs w:val="24"/>
          <w:lang w:val="en-US" w:eastAsia="zh-CN"/>
        </w:rPr>
      </w:pPr>
      <w:r>
        <w:rPr>
          <w:rFonts w:hint="eastAsia" w:ascii="Times New Roman" w:hAnsi="Times New Roman" w:eastAsia="黑体"/>
          <w:b w:val="0"/>
          <w:bCs/>
          <w:color w:val="000000"/>
          <w:sz w:val="32"/>
          <w:szCs w:val="24"/>
          <w:lang w:val="en-US" w:eastAsia="zh-CN"/>
        </w:rPr>
        <w:t>附件</w:t>
      </w:r>
    </w:p>
    <w:p>
      <w:pPr>
        <w:spacing w:after="160" w:line="312" w:lineRule="auto"/>
        <w:jc w:val="center"/>
        <w:rPr>
          <w:rFonts w:hint="eastAsia" w:ascii="Times New Roman" w:hAnsi="Times New Roman" w:eastAsia="黑体"/>
          <w:b/>
          <w:color w:val="000000"/>
          <w:sz w:val="30"/>
          <w:lang w:eastAsia="zh-CN"/>
        </w:rPr>
      </w:pPr>
      <w:r>
        <w:rPr>
          <w:rFonts w:hint="eastAsia" w:ascii="Times New Roman" w:hAnsi="Times New Roman" w:eastAsia="黑体"/>
          <w:b/>
          <w:color w:val="000000"/>
          <w:sz w:val="30"/>
          <w:lang w:eastAsia="zh-CN"/>
        </w:rPr>
        <w:t>南</w:t>
      </w:r>
      <w:r>
        <w:rPr>
          <w:rFonts w:hint="eastAsia" w:ascii="Times New Roman" w:hAnsi="Times New Roman" w:eastAsia="黑体"/>
          <w:b/>
          <w:color w:val="000000"/>
          <w:sz w:val="30"/>
          <w:lang w:val="en-US" w:eastAsia="zh-CN"/>
        </w:rPr>
        <w:t>方电</w:t>
      </w:r>
      <w:r>
        <w:rPr>
          <w:rFonts w:hint="eastAsia" w:ascii="Times New Roman" w:hAnsi="Times New Roman" w:eastAsia="黑体"/>
          <w:b/>
          <w:color w:val="000000"/>
          <w:sz w:val="30"/>
          <w:lang w:eastAsia="zh-CN"/>
        </w:rPr>
        <w:t>网绿能科技（广东）有限公司</w:t>
      </w:r>
      <w:r>
        <w:rPr>
          <w:rFonts w:ascii="Times New Roman" w:hAnsi="Times New Roman" w:eastAsia="黑体"/>
          <w:b/>
          <w:color w:val="000000"/>
          <w:sz w:val="30"/>
          <w:lang w:eastAsia="zh-CN"/>
        </w:rPr>
        <w:t>2026</w:t>
      </w:r>
      <w:r>
        <w:rPr>
          <w:rFonts w:hint="eastAsia" w:ascii="Times New Roman" w:hAnsi="Times New Roman" w:eastAsia="黑体"/>
          <w:b/>
          <w:color w:val="000000"/>
          <w:sz w:val="30"/>
          <w:lang w:eastAsia="zh-CN"/>
        </w:rPr>
        <w:t>年面向配电房的环境智能监控治理装置原材料购置及代加工零星采购项目</w:t>
      </w:r>
    </w:p>
    <w:p>
      <w:pPr>
        <w:spacing w:after="160" w:line="312" w:lineRule="auto"/>
        <w:jc w:val="center"/>
        <w:rPr>
          <w:rFonts w:hint="eastAsia"/>
          <w:lang w:eastAsia="zh-CN"/>
        </w:rPr>
      </w:pPr>
      <w:bookmarkStart w:id="5" w:name="_GoBack"/>
      <w:bookmarkEnd w:id="5"/>
      <w:r>
        <w:rPr>
          <w:rFonts w:hint="eastAsia" w:ascii="Times New Roman" w:hAnsi="Times New Roman" w:eastAsia="黑体"/>
          <w:b/>
          <w:color w:val="000000"/>
          <w:sz w:val="30"/>
          <w:lang w:eastAsia="zh-CN"/>
        </w:rPr>
        <w:t>技术说明书</w:t>
      </w:r>
    </w:p>
    <w:p>
      <w:pPr>
        <w:ind w:firstLine="480"/>
        <w:rPr>
          <w:rFonts w:ascii="Times New Roman" w:hAnsi="Times New Roman" w:eastAsia="黑体"/>
          <w:b/>
          <w:color w:val="000000"/>
          <w:sz w:val="28"/>
          <w:szCs w:val="28"/>
          <w:lang w:eastAsia="zh-CN"/>
        </w:rPr>
      </w:pPr>
      <w:r>
        <w:rPr>
          <w:rFonts w:ascii="Times New Roman" w:hAnsi="Times New Roman" w:eastAsia="黑体"/>
          <w:b/>
          <w:color w:val="000000"/>
          <w:sz w:val="28"/>
          <w:szCs w:val="28"/>
          <w:lang w:eastAsia="zh-CN"/>
        </w:rPr>
        <w:t>1 项目概述</w:t>
      </w:r>
    </w:p>
    <w:p>
      <w:pPr>
        <w:spacing w:after="0" w:line="360" w:lineRule="auto"/>
        <w:ind w:firstLine="482"/>
        <w:jc w:val="both"/>
        <w:rPr>
          <w:rFonts w:ascii="黑体" w:hAnsi="黑体" w:eastAsia="黑体" w:cs="黑体"/>
          <w:sz w:val="24"/>
          <w:szCs w:val="24"/>
          <w:lang w:eastAsia="zh-CN"/>
        </w:rPr>
      </w:pPr>
      <w:r>
        <w:rPr>
          <w:rFonts w:hint="eastAsia" w:ascii="黑体" w:hAnsi="黑体" w:eastAsia="黑体" w:cs="黑体"/>
          <w:sz w:val="24"/>
          <w:szCs w:val="24"/>
          <w:lang w:eastAsia="zh-CN"/>
        </w:rPr>
        <w:t>南方电网绿能科技（广东）有限公司为采购方，报价方为其提供面向配电房的环境智能监控治理装置的原材料购置及代加工服务。随着南方电网对配电房智能化、无人化运维管理的持续推进，传统人工巡检方式已无法满足对配电房内部环境实时、精准监控的需求。配电房内的温湿度、有害气体、SF₆泄漏、水位、烟雾等环境参数，直接关系到电气设备的安全运行、使用寿命及运维人员的人身安全。</w:t>
      </w:r>
    </w:p>
    <w:p>
      <w:pPr>
        <w:spacing w:after="0" w:line="360" w:lineRule="auto"/>
        <w:ind w:firstLine="482"/>
        <w:jc w:val="both"/>
        <w:rPr>
          <w:rFonts w:hint="eastAsia" w:ascii="黑体" w:hAnsi="黑体" w:eastAsia="黑体" w:cs="黑体"/>
          <w:sz w:val="24"/>
          <w:szCs w:val="24"/>
          <w:lang w:eastAsia="zh-CN"/>
        </w:rPr>
      </w:pPr>
      <w:r>
        <w:rPr>
          <w:rFonts w:hint="eastAsia" w:ascii="黑体" w:hAnsi="黑体" w:eastAsia="黑体" w:cs="黑体"/>
          <w:sz w:val="24"/>
          <w:szCs w:val="24"/>
          <w:lang w:eastAsia="zh-CN"/>
        </w:rPr>
        <w:t>本项目旨在研发一套基于工业除湿机进行二次开发的配电房空间环境治理装置（以下简称"装置"），集成多参数环境传感器、4G无线通讯模块及智能控制单元，实现配电房环境的除湿治理、实时监测与远程数据上传，为配电房无人化运维提供硬件基础。</w:t>
      </w:r>
    </w:p>
    <w:p>
      <w:pPr>
        <w:ind w:firstLine="480"/>
      </w:pPr>
      <w:r>
        <w:rPr>
          <w:rFonts w:ascii="Times New Roman" w:hAnsi="Times New Roman" w:eastAsia="黑体"/>
          <w:b/>
          <w:color w:val="000000"/>
          <w:sz w:val="28"/>
          <w:szCs w:val="28"/>
        </w:rPr>
        <w:t>2 主要技术参数</w:t>
      </w:r>
      <w:bookmarkStart w:id="4" w:name="_Toc239164152"/>
    </w:p>
    <w:tbl>
      <w:tblPr>
        <w:tblStyle w:val="1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9"/>
        <w:gridCol w:w="1065"/>
        <w:gridCol w:w="1865"/>
        <w:gridCol w:w="49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5" w:type="pct"/>
            <w:shd w:val="clear" w:color="auto" w:fill="D9E2F3"/>
          </w:tcPr>
          <w:p>
            <w:pPr>
              <w:jc w:val="center"/>
              <w:rPr>
                <w:rFonts w:ascii="黑体" w:hAnsi="黑体" w:eastAsia="黑体" w:cs="黑体"/>
              </w:rPr>
            </w:pPr>
            <w:r>
              <w:rPr>
                <w:rFonts w:hint="eastAsia" w:ascii="黑体" w:hAnsi="黑体" w:eastAsia="黑体" w:cs="黑体"/>
                <w:b/>
              </w:rPr>
              <w:t>序号</w:t>
            </w:r>
          </w:p>
        </w:tc>
        <w:tc>
          <w:tcPr>
            <w:tcW w:w="625" w:type="pct"/>
            <w:shd w:val="clear" w:color="auto" w:fill="D9E2F3"/>
          </w:tcPr>
          <w:p>
            <w:pPr>
              <w:jc w:val="center"/>
              <w:rPr>
                <w:rFonts w:ascii="黑体" w:hAnsi="黑体" w:eastAsia="黑体" w:cs="黑体"/>
              </w:rPr>
            </w:pPr>
            <w:r>
              <w:rPr>
                <w:rFonts w:hint="eastAsia" w:ascii="黑体" w:hAnsi="黑体" w:eastAsia="黑体" w:cs="黑体"/>
                <w:b/>
              </w:rPr>
              <w:t>参数类别</w:t>
            </w:r>
          </w:p>
        </w:tc>
        <w:tc>
          <w:tcPr>
            <w:tcW w:w="1094" w:type="pct"/>
            <w:shd w:val="clear" w:color="auto" w:fill="D9E2F3"/>
          </w:tcPr>
          <w:p>
            <w:pPr>
              <w:jc w:val="center"/>
              <w:rPr>
                <w:rFonts w:ascii="黑体" w:hAnsi="黑体" w:eastAsia="黑体" w:cs="黑体"/>
              </w:rPr>
            </w:pPr>
            <w:r>
              <w:rPr>
                <w:rFonts w:hint="eastAsia" w:ascii="黑体" w:hAnsi="黑体" w:eastAsia="黑体" w:cs="黑体"/>
                <w:b/>
              </w:rPr>
              <w:t>参数名称</w:t>
            </w:r>
          </w:p>
        </w:tc>
        <w:tc>
          <w:tcPr>
            <w:tcW w:w="2906" w:type="pct"/>
            <w:shd w:val="clear" w:color="auto" w:fill="D9E2F3"/>
          </w:tcPr>
          <w:p>
            <w:pPr>
              <w:jc w:val="center"/>
              <w:rPr>
                <w:rFonts w:ascii="黑体" w:hAnsi="黑体" w:eastAsia="黑体" w:cs="黑体"/>
              </w:rPr>
            </w:pPr>
            <w:r>
              <w:rPr>
                <w:rFonts w:hint="eastAsia" w:ascii="黑体" w:hAnsi="黑体" w:eastAsia="黑体" w:cs="黑体"/>
                <w:b/>
                <w:lang w:eastAsia="zh-CN"/>
              </w:rPr>
              <w:t>参数</w:t>
            </w:r>
            <w:r>
              <w:rPr>
                <w:rFonts w:hint="eastAsia" w:ascii="黑体" w:hAnsi="黑体" w:eastAsia="黑体" w:cs="黑体"/>
                <w:b/>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5" w:type="pct"/>
            <w:vAlign w:val="center"/>
          </w:tcPr>
          <w:p>
            <w:pPr>
              <w:rPr>
                <w:rFonts w:ascii="黑体" w:hAnsi="黑体" w:eastAsia="黑体" w:cs="黑体"/>
              </w:rPr>
            </w:pPr>
            <w:r>
              <w:rPr>
                <w:rFonts w:hint="eastAsia" w:ascii="黑体" w:hAnsi="黑体" w:eastAsia="黑体" w:cs="黑体"/>
              </w:rPr>
              <w:t>1</w:t>
            </w:r>
          </w:p>
        </w:tc>
        <w:tc>
          <w:tcPr>
            <w:tcW w:w="625" w:type="pct"/>
            <w:vAlign w:val="center"/>
          </w:tcPr>
          <w:p>
            <w:pPr>
              <w:rPr>
                <w:rFonts w:ascii="黑体" w:hAnsi="黑体" w:eastAsia="黑体" w:cs="黑体"/>
              </w:rPr>
            </w:pPr>
            <w:r>
              <w:rPr>
                <w:rFonts w:hint="eastAsia" w:ascii="黑体" w:hAnsi="黑体" w:eastAsia="黑体" w:cs="黑体"/>
              </w:rPr>
              <w:t>★整机</w:t>
            </w:r>
          </w:p>
        </w:tc>
        <w:tc>
          <w:tcPr>
            <w:tcW w:w="1094" w:type="pct"/>
            <w:vAlign w:val="center"/>
          </w:tcPr>
          <w:p>
            <w:pPr>
              <w:rPr>
                <w:rFonts w:ascii="黑体" w:hAnsi="黑体" w:eastAsia="黑体" w:cs="黑体"/>
              </w:rPr>
            </w:pPr>
            <w:r>
              <w:rPr>
                <w:rFonts w:hint="eastAsia" w:ascii="黑体" w:hAnsi="黑体" w:eastAsia="黑体" w:cs="黑体"/>
              </w:rPr>
              <w:t>名义除湿量</w:t>
            </w:r>
          </w:p>
        </w:tc>
        <w:tc>
          <w:tcPr>
            <w:tcW w:w="2906" w:type="pct"/>
            <w:vAlign w:val="center"/>
          </w:tcPr>
          <w:p>
            <w:pPr>
              <w:rPr>
                <w:rFonts w:ascii="黑体" w:hAnsi="黑体" w:eastAsia="黑体" w:cs="黑体"/>
              </w:rPr>
            </w:pPr>
            <w:r>
              <w:rPr>
                <w:rFonts w:hint="eastAsia" w:ascii="黑体" w:hAnsi="黑体" w:eastAsia="黑体" w:cs="黑体"/>
              </w:rPr>
              <w:t>≥60L/天（30℃，80%RH）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5" w:type="pct"/>
            <w:vAlign w:val="center"/>
          </w:tcPr>
          <w:p>
            <w:pPr>
              <w:rPr>
                <w:rFonts w:ascii="黑体" w:hAnsi="黑体" w:eastAsia="黑体" w:cs="黑体"/>
              </w:rPr>
            </w:pPr>
            <w:r>
              <w:rPr>
                <w:rFonts w:hint="eastAsia" w:ascii="黑体" w:hAnsi="黑体" w:eastAsia="黑体" w:cs="黑体"/>
              </w:rPr>
              <w:t>2</w:t>
            </w:r>
          </w:p>
        </w:tc>
        <w:tc>
          <w:tcPr>
            <w:tcW w:w="625" w:type="pct"/>
            <w:vAlign w:val="center"/>
          </w:tcPr>
          <w:p>
            <w:pPr>
              <w:rPr>
                <w:rFonts w:ascii="黑体" w:hAnsi="黑体" w:eastAsia="黑体" w:cs="黑体"/>
              </w:rPr>
            </w:pPr>
            <w:r>
              <w:rPr>
                <w:rFonts w:hint="eastAsia" w:ascii="黑体" w:hAnsi="黑体" w:eastAsia="黑体" w:cs="黑体"/>
              </w:rPr>
              <w:t>★整机</w:t>
            </w:r>
          </w:p>
        </w:tc>
        <w:tc>
          <w:tcPr>
            <w:tcW w:w="1094" w:type="pct"/>
            <w:vAlign w:val="center"/>
          </w:tcPr>
          <w:p>
            <w:pPr>
              <w:rPr>
                <w:rFonts w:ascii="黑体" w:hAnsi="黑体" w:eastAsia="黑体" w:cs="黑体"/>
              </w:rPr>
            </w:pPr>
            <w:r>
              <w:rPr>
                <w:rFonts w:hint="eastAsia" w:ascii="黑体" w:hAnsi="黑体" w:eastAsia="黑体" w:cs="黑体"/>
              </w:rPr>
              <w:t>整机额定功率</w:t>
            </w:r>
          </w:p>
        </w:tc>
        <w:tc>
          <w:tcPr>
            <w:tcW w:w="2906" w:type="pct"/>
            <w:vAlign w:val="center"/>
          </w:tcPr>
          <w:p>
            <w:pPr>
              <w:rPr>
                <w:rFonts w:ascii="黑体" w:hAnsi="黑体" w:eastAsia="黑体" w:cs="黑体"/>
              </w:rPr>
            </w:pPr>
            <w:r>
              <w:rPr>
                <w:rFonts w:hint="eastAsia" w:ascii="黑体" w:hAnsi="黑体" w:eastAsia="黑体" w:cs="黑体"/>
              </w:rPr>
              <w:t>≤950W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5" w:type="pct"/>
            <w:vAlign w:val="center"/>
          </w:tcPr>
          <w:p>
            <w:pPr>
              <w:rPr>
                <w:rFonts w:ascii="黑体" w:hAnsi="黑体" w:eastAsia="黑体" w:cs="黑体"/>
              </w:rPr>
            </w:pPr>
            <w:r>
              <w:rPr>
                <w:rFonts w:hint="eastAsia" w:ascii="黑体" w:hAnsi="黑体" w:eastAsia="黑体" w:cs="黑体"/>
              </w:rPr>
              <w:t>3</w:t>
            </w:r>
          </w:p>
        </w:tc>
        <w:tc>
          <w:tcPr>
            <w:tcW w:w="625" w:type="pct"/>
            <w:vAlign w:val="center"/>
          </w:tcPr>
          <w:p>
            <w:pPr>
              <w:rPr>
                <w:rFonts w:ascii="黑体" w:hAnsi="黑体" w:eastAsia="黑体" w:cs="黑体"/>
              </w:rPr>
            </w:pPr>
            <w:r>
              <w:rPr>
                <w:rFonts w:hint="eastAsia" w:ascii="黑体" w:hAnsi="黑体" w:eastAsia="黑体" w:cs="黑体"/>
              </w:rPr>
              <w:t>★整机</w:t>
            </w:r>
          </w:p>
        </w:tc>
        <w:tc>
          <w:tcPr>
            <w:tcW w:w="1094" w:type="pct"/>
            <w:vAlign w:val="center"/>
          </w:tcPr>
          <w:p>
            <w:pPr>
              <w:rPr>
                <w:rFonts w:ascii="黑体" w:hAnsi="黑体" w:eastAsia="黑体" w:cs="黑体"/>
              </w:rPr>
            </w:pPr>
            <w:r>
              <w:rPr>
                <w:rFonts w:hint="eastAsia" w:ascii="黑体" w:hAnsi="黑体" w:eastAsia="黑体" w:cs="黑体"/>
              </w:rPr>
              <w:t>3C认证</w:t>
            </w:r>
          </w:p>
        </w:tc>
        <w:tc>
          <w:tcPr>
            <w:tcW w:w="2906" w:type="pct"/>
            <w:vAlign w:val="center"/>
          </w:tcPr>
          <w:p>
            <w:pPr>
              <w:rPr>
                <w:rFonts w:ascii="黑体" w:hAnsi="黑体" w:eastAsia="黑体" w:cs="黑体"/>
              </w:rPr>
            </w:pPr>
            <w:r>
              <w:rPr>
                <w:rFonts w:hint="eastAsia" w:ascii="黑体" w:hAnsi="黑体" w:eastAsia="黑体" w:cs="黑体"/>
              </w:rPr>
              <w:t>具备有效3C认证证书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375" w:type="pct"/>
            <w:vAlign w:val="center"/>
          </w:tcPr>
          <w:p>
            <w:pPr>
              <w:rPr>
                <w:rFonts w:ascii="黑体" w:hAnsi="黑体" w:eastAsia="黑体" w:cs="黑体"/>
              </w:rPr>
            </w:pPr>
            <w:r>
              <w:rPr>
                <w:rFonts w:hint="eastAsia" w:ascii="黑体" w:hAnsi="黑体" w:eastAsia="黑体" w:cs="黑体"/>
              </w:rPr>
              <w:t>4</w:t>
            </w:r>
          </w:p>
        </w:tc>
        <w:tc>
          <w:tcPr>
            <w:tcW w:w="625" w:type="pct"/>
            <w:vAlign w:val="center"/>
          </w:tcPr>
          <w:p>
            <w:pPr>
              <w:rPr>
                <w:rFonts w:ascii="黑体" w:hAnsi="黑体" w:eastAsia="黑体" w:cs="黑体"/>
              </w:rPr>
            </w:pPr>
            <w:r>
              <w:rPr>
                <w:rFonts w:hint="eastAsia" w:ascii="黑体" w:hAnsi="黑体" w:eastAsia="黑体" w:cs="黑体"/>
              </w:rPr>
              <w:t>压缩机</w:t>
            </w:r>
          </w:p>
        </w:tc>
        <w:tc>
          <w:tcPr>
            <w:tcW w:w="1094" w:type="pct"/>
            <w:vAlign w:val="center"/>
          </w:tcPr>
          <w:p>
            <w:pPr>
              <w:rPr>
                <w:rFonts w:ascii="黑体" w:hAnsi="黑体" w:eastAsia="黑体" w:cs="黑体"/>
              </w:rPr>
            </w:pPr>
            <w:r>
              <w:rPr>
                <w:rFonts w:hint="eastAsia" w:ascii="黑体" w:hAnsi="黑体" w:eastAsia="黑体" w:cs="黑体"/>
              </w:rPr>
              <w:t>压缩机品牌</w:t>
            </w:r>
          </w:p>
        </w:tc>
        <w:tc>
          <w:tcPr>
            <w:tcW w:w="2906" w:type="pct"/>
            <w:vAlign w:val="center"/>
          </w:tcPr>
          <w:p>
            <w:pPr>
              <w:rPr>
                <w:rFonts w:ascii="黑体" w:hAnsi="黑体" w:eastAsia="黑体" w:cs="黑体"/>
              </w:rPr>
            </w:pPr>
            <w:r>
              <w:rPr>
                <w:rFonts w:hint="eastAsia" w:ascii="黑体" w:hAnsi="黑体" w:eastAsia="黑体" w:cs="黑体"/>
              </w:rPr>
              <w:t>国际知名品牌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5" w:type="pct"/>
            <w:vAlign w:val="center"/>
          </w:tcPr>
          <w:p>
            <w:pPr>
              <w:rPr>
                <w:rFonts w:ascii="黑体" w:hAnsi="黑体" w:eastAsia="黑体" w:cs="黑体"/>
              </w:rPr>
            </w:pPr>
            <w:r>
              <w:rPr>
                <w:rFonts w:hint="eastAsia" w:ascii="黑体" w:hAnsi="黑体" w:eastAsia="黑体" w:cs="黑体"/>
              </w:rPr>
              <w:t>5</w:t>
            </w:r>
          </w:p>
        </w:tc>
        <w:tc>
          <w:tcPr>
            <w:tcW w:w="625" w:type="pct"/>
            <w:vAlign w:val="center"/>
          </w:tcPr>
          <w:p>
            <w:pPr>
              <w:rPr>
                <w:rFonts w:ascii="黑体" w:hAnsi="黑体" w:eastAsia="黑体" w:cs="黑体"/>
              </w:rPr>
            </w:pPr>
            <w:r>
              <w:rPr>
                <w:rFonts w:hint="eastAsia" w:ascii="黑体" w:hAnsi="黑体" w:eastAsia="黑体" w:cs="黑体"/>
              </w:rPr>
              <w:t>压缩机</w:t>
            </w:r>
          </w:p>
        </w:tc>
        <w:tc>
          <w:tcPr>
            <w:tcW w:w="1094" w:type="pct"/>
            <w:vAlign w:val="center"/>
          </w:tcPr>
          <w:p>
            <w:pPr>
              <w:rPr>
                <w:rFonts w:ascii="黑体" w:hAnsi="黑体" w:eastAsia="黑体" w:cs="黑体"/>
              </w:rPr>
            </w:pPr>
            <w:r>
              <w:rPr>
                <w:rFonts w:hint="eastAsia" w:ascii="黑体" w:hAnsi="黑体" w:eastAsia="黑体" w:cs="黑体"/>
              </w:rPr>
              <w:t>延时启动保护</w:t>
            </w:r>
          </w:p>
        </w:tc>
        <w:tc>
          <w:tcPr>
            <w:tcW w:w="2906" w:type="pct"/>
            <w:vAlign w:val="center"/>
          </w:tcPr>
          <w:p>
            <w:pPr>
              <w:rPr>
                <w:rFonts w:ascii="黑体" w:hAnsi="黑体" w:eastAsia="黑体" w:cs="黑体"/>
              </w:rPr>
            </w:pPr>
            <w:r>
              <w:rPr>
                <w:rFonts w:hint="eastAsia" w:ascii="黑体" w:hAnsi="黑体" w:eastAsia="黑体" w:cs="黑体"/>
              </w:rPr>
              <w:t>≥3分钟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5" w:type="pct"/>
            <w:vAlign w:val="center"/>
          </w:tcPr>
          <w:p>
            <w:pPr>
              <w:rPr>
                <w:rFonts w:ascii="黑体" w:hAnsi="黑体" w:eastAsia="黑体" w:cs="黑体"/>
              </w:rPr>
            </w:pPr>
            <w:r>
              <w:rPr>
                <w:rFonts w:hint="eastAsia" w:ascii="黑体" w:hAnsi="黑体" w:eastAsia="黑体" w:cs="黑体"/>
              </w:rPr>
              <w:t>6</w:t>
            </w:r>
          </w:p>
        </w:tc>
        <w:tc>
          <w:tcPr>
            <w:tcW w:w="625" w:type="pct"/>
            <w:vAlign w:val="center"/>
          </w:tcPr>
          <w:p>
            <w:pPr>
              <w:rPr>
                <w:rFonts w:ascii="黑体" w:hAnsi="黑体" w:eastAsia="黑体" w:cs="黑体"/>
              </w:rPr>
            </w:pPr>
            <w:r>
              <w:rPr>
                <w:rFonts w:hint="eastAsia" w:ascii="黑体" w:hAnsi="黑体" w:eastAsia="黑体" w:cs="黑体"/>
              </w:rPr>
              <w:t>压缩机</w:t>
            </w:r>
          </w:p>
        </w:tc>
        <w:tc>
          <w:tcPr>
            <w:tcW w:w="1094" w:type="pct"/>
            <w:vAlign w:val="center"/>
          </w:tcPr>
          <w:p>
            <w:pPr>
              <w:rPr>
                <w:rFonts w:ascii="黑体" w:hAnsi="黑体" w:eastAsia="黑体" w:cs="黑体"/>
              </w:rPr>
            </w:pPr>
            <w:r>
              <w:rPr>
                <w:rFonts w:hint="eastAsia" w:ascii="黑体" w:hAnsi="黑体" w:eastAsia="黑体" w:cs="黑体"/>
              </w:rPr>
              <w:t>过载保护</w:t>
            </w:r>
          </w:p>
        </w:tc>
        <w:tc>
          <w:tcPr>
            <w:tcW w:w="2906" w:type="pct"/>
            <w:vAlign w:val="center"/>
          </w:tcPr>
          <w:p>
            <w:pPr>
              <w:rPr>
                <w:rFonts w:ascii="黑体" w:hAnsi="黑体" w:eastAsia="黑体" w:cs="黑体"/>
              </w:rPr>
            </w:pPr>
            <w:r>
              <w:rPr>
                <w:rFonts w:hint="eastAsia" w:ascii="黑体" w:hAnsi="黑体" w:eastAsia="黑体" w:cs="黑体"/>
              </w:rPr>
              <w:t>具备，E8故障代码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5" w:type="pct"/>
            <w:vAlign w:val="center"/>
          </w:tcPr>
          <w:p>
            <w:pPr>
              <w:rPr>
                <w:rFonts w:ascii="黑体" w:hAnsi="黑体" w:eastAsia="黑体" w:cs="黑体"/>
              </w:rPr>
            </w:pPr>
            <w:r>
              <w:rPr>
                <w:rFonts w:hint="eastAsia" w:ascii="黑体" w:hAnsi="黑体" w:eastAsia="黑体" w:cs="黑体"/>
              </w:rPr>
              <w:t>7</w:t>
            </w:r>
          </w:p>
        </w:tc>
        <w:tc>
          <w:tcPr>
            <w:tcW w:w="625" w:type="pct"/>
            <w:vAlign w:val="center"/>
          </w:tcPr>
          <w:p>
            <w:pPr>
              <w:rPr>
                <w:rFonts w:ascii="黑体" w:hAnsi="黑体" w:eastAsia="黑体" w:cs="黑体"/>
              </w:rPr>
            </w:pPr>
            <w:r>
              <w:rPr>
                <w:rFonts w:hint="eastAsia" w:ascii="黑体" w:hAnsi="黑体" w:eastAsia="黑体" w:cs="黑体"/>
              </w:rPr>
              <w:t>控制</w:t>
            </w:r>
          </w:p>
        </w:tc>
        <w:tc>
          <w:tcPr>
            <w:tcW w:w="1094" w:type="pct"/>
            <w:vAlign w:val="center"/>
          </w:tcPr>
          <w:p>
            <w:pPr>
              <w:rPr>
                <w:rFonts w:ascii="黑体" w:hAnsi="黑体" w:eastAsia="黑体" w:cs="黑体"/>
              </w:rPr>
            </w:pPr>
            <w:r>
              <w:rPr>
                <w:rFonts w:hint="eastAsia" w:ascii="黑体" w:hAnsi="黑体" w:eastAsia="黑体" w:cs="黑体"/>
              </w:rPr>
              <w:t>湿度设定范围</w:t>
            </w:r>
          </w:p>
        </w:tc>
        <w:tc>
          <w:tcPr>
            <w:tcW w:w="2906" w:type="pct"/>
            <w:vAlign w:val="center"/>
          </w:tcPr>
          <w:p>
            <w:pPr>
              <w:rPr>
                <w:rFonts w:ascii="黑体" w:hAnsi="黑体" w:eastAsia="黑体" w:cs="黑体"/>
              </w:rPr>
            </w:pPr>
            <w:r>
              <w:rPr>
                <w:rFonts w:hint="eastAsia" w:ascii="黑体" w:hAnsi="黑体" w:eastAsia="黑体" w:cs="黑体"/>
              </w:rPr>
              <w:t>10%～90%RH，步进1%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5" w:type="pct"/>
            <w:vAlign w:val="center"/>
          </w:tcPr>
          <w:p>
            <w:pPr>
              <w:rPr>
                <w:rFonts w:ascii="黑体" w:hAnsi="黑体" w:eastAsia="黑体" w:cs="黑体"/>
              </w:rPr>
            </w:pPr>
            <w:r>
              <w:rPr>
                <w:rFonts w:hint="eastAsia" w:ascii="黑体" w:hAnsi="黑体" w:eastAsia="黑体" w:cs="黑体"/>
              </w:rPr>
              <w:t>8</w:t>
            </w:r>
          </w:p>
        </w:tc>
        <w:tc>
          <w:tcPr>
            <w:tcW w:w="625" w:type="pct"/>
            <w:vAlign w:val="center"/>
          </w:tcPr>
          <w:p>
            <w:pPr>
              <w:rPr>
                <w:rFonts w:ascii="黑体" w:hAnsi="黑体" w:eastAsia="黑体" w:cs="黑体"/>
              </w:rPr>
            </w:pPr>
            <w:r>
              <w:rPr>
                <w:rFonts w:hint="eastAsia" w:ascii="黑体" w:hAnsi="黑体" w:eastAsia="黑体" w:cs="黑体"/>
              </w:rPr>
              <w:t>控制</w:t>
            </w:r>
          </w:p>
        </w:tc>
        <w:tc>
          <w:tcPr>
            <w:tcW w:w="1094" w:type="pct"/>
            <w:vAlign w:val="center"/>
          </w:tcPr>
          <w:p>
            <w:pPr>
              <w:rPr>
                <w:rFonts w:ascii="黑体" w:hAnsi="黑体" w:eastAsia="黑体" w:cs="黑体"/>
              </w:rPr>
            </w:pPr>
            <w:r>
              <w:rPr>
                <w:rFonts w:hint="eastAsia" w:ascii="黑体" w:hAnsi="黑体" w:eastAsia="黑体" w:cs="黑体"/>
              </w:rPr>
              <w:t>显示屏</w:t>
            </w:r>
          </w:p>
        </w:tc>
        <w:tc>
          <w:tcPr>
            <w:tcW w:w="2906" w:type="pct"/>
            <w:vAlign w:val="center"/>
          </w:tcPr>
          <w:p>
            <w:pPr>
              <w:rPr>
                <w:rFonts w:ascii="黑体" w:hAnsi="黑体" w:eastAsia="黑体" w:cs="黑体"/>
                <w:lang w:eastAsia="zh-CN"/>
              </w:rPr>
            </w:pPr>
            <w:r>
              <w:rPr>
                <w:rFonts w:hint="eastAsia" w:ascii="黑体" w:hAnsi="黑体" w:eastAsia="黑体" w:cs="黑体"/>
                <w:lang w:eastAsia="zh-CN"/>
              </w:rPr>
              <w:t>大屏幕LCD，显示温湿度/设定/故障/状态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5" w:type="pct"/>
            <w:vAlign w:val="center"/>
          </w:tcPr>
          <w:p>
            <w:pPr>
              <w:rPr>
                <w:rFonts w:ascii="黑体" w:hAnsi="黑体" w:eastAsia="黑体" w:cs="黑体"/>
              </w:rPr>
            </w:pPr>
            <w:r>
              <w:rPr>
                <w:rFonts w:hint="eastAsia" w:ascii="黑体" w:hAnsi="黑体" w:eastAsia="黑体" w:cs="黑体"/>
              </w:rPr>
              <w:t>9</w:t>
            </w:r>
          </w:p>
        </w:tc>
        <w:tc>
          <w:tcPr>
            <w:tcW w:w="625" w:type="pct"/>
            <w:vAlign w:val="center"/>
          </w:tcPr>
          <w:p>
            <w:pPr>
              <w:rPr>
                <w:rFonts w:ascii="黑体" w:hAnsi="黑体" w:eastAsia="黑体" w:cs="黑体"/>
              </w:rPr>
            </w:pPr>
            <w:r>
              <w:rPr>
                <w:rFonts w:hint="eastAsia" w:ascii="黑体" w:hAnsi="黑体" w:eastAsia="黑体" w:cs="黑体"/>
              </w:rPr>
              <w:t>控制</w:t>
            </w:r>
          </w:p>
        </w:tc>
        <w:tc>
          <w:tcPr>
            <w:tcW w:w="1094" w:type="pct"/>
            <w:vAlign w:val="center"/>
          </w:tcPr>
          <w:p>
            <w:pPr>
              <w:rPr>
                <w:rFonts w:ascii="黑体" w:hAnsi="黑体" w:eastAsia="黑体" w:cs="黑体"/>
              </w:rPr>
            </w:pPr>
            <w:r>
              <w:rPr>
                <w:rFonts w:hint="eastAsia" w:ascii="黑体" w:hAnsi="黑体" w:eastAsia="黑体" w:cs="黑体"/>
              </w:rPr>
              <w:t>停电记忆</w:t>
            </w:r>
          </w:p>
        </w:tc>
        <w:tc>
          <w:tcPr>
            <w:tcW w:w="2906" w:type="pct"/>
            <w:vAlign w:val="center"/>
          </w:tcPr>
          <w:p>
            <w:pPr>
              <w:rPr>
                <w:rFonts w:ascii="黑体" w:hAnsi="黑体" w:eastAsia="黑体" w:cs="黑体"/>
              </w:rPr>
            </w:pPr>
            <w:r>
              <w:rPr>
                <w:rFonts w:hint="eastAsia" w:ascii="黑体" w:hAnsi="黑体" w:eastAsia="黑体" w:cs="黑体"/>
              </w:rPr>
              <w:t>具备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5" w:type="pct"/>
            <w:vAlign w:val="center"/>
          </w:tcPr>
          <w:p>
            <w:pPr>
              <w:rPr>
                <w:rFonts w:ascii="黑体" w:hAnsi="黑体" w:eastAsia="黑体" w:cs="黑体"/>
              </w:rPr>
            </w:pPr>
            <w:r>
              <w:rPr>
                <w:rFonts w:hint="eastAsia" w:ascii="黑体" w:hAnsi="黑体" w:eastAsia="黑体" w:cs="黑体"/>
              </w:rPr>
              <w:t>10</w:t>
            </w:r>
          </w:p>
        </w:tc>
        <w:tc>
          <w:tcPr>
            <w:tcW w:w="625" w:type="pct"/>
            <w:vAlign w:val="center"/>
          </w:tcPr>
          <w:p>
            <w:pPr>
              <w:rPr>
                <w:rFonts w:ascii="黑体" w:hAnsi="黑体" w:eastAsia="黑体" w:cs="黑体"/>
              </w:rPr>
            </w:pPr>
            <w:r>
              <w:rPr>
                <w:rFonts w:hint="eastAsia" w:ascii="黑体" w:hAnsi="黑体" w:eastAsia="黑体" w:cs="黑体"/>
              </w:rPr>
              <w:t>控制</w:t>
            </w:r>
          </w:p>
        </w:tc>
        <w:tc>
          <w:tcPr>
            <w:tcW w:w="1094" w:type="pct"/>
            <w:vAlign w:val="center"/>
          </w:tcPr>
          <w:p>
            <w:pPr>
              <w:rPr>
                <w:rFonts w:ascii="黑体" w:hAnsi="黑体" w:eastAsia="黑体" w:cs="黑体"/>
              </w:rPr>
            </w:pPr>
            <w:r>
              <w:rPr>
                <w:rFonts w:hint="eastAsia" w:ascii="黑体" w:hAnsi="黑体" w:eastAsia="黑体" w:cs="黑体"/>
              </w:rPr>
              <w:t>定时功能</w:t>
            </w:r>
          </w:p>
        </w:tc>
        <w:tc>
          <w:tcPr>
            <w:tcW w:w="2906" w:type="pct"/>
            <w:vAlign w:val="center"/>
          </w:tcPr>
          <w:p>
            <w:pPr>
              <w:rPr>
                <w:rFonts w:ascii="黑体" w:hAnsi="黑体" w:eastAsia="黑体" w:cs="黑体"/>
                <w:lang w:eastAsia="zh-CN"/>
              </w:rPr>
            </w:pPr>
            <w:r>
              <w:rPr>
                <w:rFonts w:hint="eastAsia" w:ascii="黑体" w:hAnsi="黑体" w:eastAsia="黑体" w:cs="黑体"/>
                <w:lang w:eastAsia="zh-CN"/>
              </w:rPr>
              <w:t>0～24小时，支持循环启停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5" w:type="pct"/>
            <w:vAlign w:val="center"/>
          </w:tcPr>
          <w:p>
            <w:pPr>
              <w:rPr>
                <w:rFonts w:ascii="黑体" w:hAnsi="黑体" w:eastAsia="黑体" w:cs="黑体"/>
              </w:rPr>
            </w:pPr>
            <w:r>
              <w:rPr>
                <w:rFonts w:hint="eastAsia" w:ascii="黑体" w:hAnsi="黑体" w:eastAsia="黑体" w:cs="黑体"/>
              </w:rPr>
              <w:t>11</w:t>
            </w:r>
          </w:p>
        </w:tc>
        <w:tc>
          <w:tcPr>
            <w:tcW w:w="625" w:type="pct"/>
            <w:vAlign w:val="center"/>
          </w:tcPr>
          <w:p>
            <w:pPr>
              <w:rPr>
                <w:rFonts w:ascii="黑体" w:hAnsi="黑体" w:eastAsia="黑体" w:cs="黑体"/>
              </w:rPr>
            </w:pPr>
            <w:r>
              <w:rPr>
                <w:rFonts w:hint="eastAsia" w:ascii="黑体" w:hAnsi="黑体" w:eastAsia="黑体" w:cs="黑体"/>
              </w:rPr>
              <w:t>除霜</w:t>
            </w:r>
          </w:p>
        </w:tc>
        <w:tc>
          <w:tcPr>
            <w:tcW w:w="1094" w:type="pct"/>
            <w:vAlign w:val="center"/>
          </w:tcPr>
          <w:p>
            <w:pPr>
              <w:rPr>
                <w:rFonts w:ascii="黑体" w:hAnsi="黑体" w:eastAsia="黑体" w:cs="黑体"/>
              </w:rPr>
            </w:pPr>
            <w:r>
              <w:rPr>
                <w:rFonts w:hint="eastAsia" w:ascii="黑体" w:hAnsi="黑体" w:eastAsia="黑体" w:cs="黑体"/>
              </w:rPr>
              <w:t>自动除霜</w:t>
            </w:r>
          </w:p>
        </w:tc>
        <w:tc>
          <w:tcPr>
            <w:tcW w:w="2906" w:type="pct"/>
            <w:vAlign w:val="center"/>
          </w:tcPr>
          <w:p>
            <w:pPr>
              <w:rPr>
                <w:rFonts w:ascii="黑体" w:hAnsi="黑体" w:eastAsia="黑体" w:cs="黑体"/>
              </w:rPr>
            </w:pPr>
            <w:r>
              <w:rPr>
                <w:rFonts w:hint="eastAsia" w:ascii="黑体" w:hAnsi="黑体" w:eastAsia="黑体" w:cs="黑体"/>
              </w:rPr>
              <w:t>环境温度&lt;18℃自动进入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5" w:type="pct"/>
            <w:vAlign w:val="center"/>
          </w:tcPr>
          <w:p>
            <w:pPr>
              <w:rPr>
                <w:rFonts w:ascii="黑体" w:hAnsi="黑体" w:eastAsia="黑体" w:cs="黑体"/>
              </w:rPr>
            </w:pPr>
            <w:r>
              <w:rPr>
                <w:rFonts w:hint="eastAsia" w:ascii="黑体" w:hAnsi="黑体" w:eastAsia="黑体" w:cs="黑体"/>
              </w:rPr>
              <w:t>12</w:t>
            </w:r>
          </w:p>
        </w:tc>
        <w:tc>
          <w:tcPr>
            <w:tcW w:w="625" w:type="pct"/>
            <w:vAlign w:val="center"/>
          </w:tcPr>
          <w:p>
            <w:pPr>
              <w:rPr>
                <w:rFonts w:ascii="黑体" w:hAnsi="黑体" w:eastAsia="黑体" w:cs="黑体"/>
              </w:rPr>
            </w:pPr>
            <w:r>
              <w:rPr>
                <w:rFonts w:hint="eastAsia" w:ascii="黑体" w:hAnsi="黑体" w:eastAsia="黑体" w:cs="黑体"/>
              </w:rPr>
              <w:t>排水</w:t>
            </w:r>
          </w:p>
        </w:tc>
        <w:tc>
          <w:tcPr>
            <w:tcW w:w="1094" w:type="pct"/>
            <w:vAlign w:val="center"/>
          </w:tcPr>
          <w:p>
            <w:pPr>
              <w:rPr>
                <w:rFonts w:ascii="黑体" w:hAnsi="黑体" w:eastAsia="黑体" w:cs="黑体"/>
              </w:rPr>
            </w:pPr>
            <w:r>
              <w:rPr>
                <w:rFonts w:hint="eastAsia" w:ascii="黑体" w:hAnsi="黑体" w:eastAsia="黑体" w:cs="黑体"/>
              </w:rPr>
              <w:t>排水方式</w:t>
            </w:r>
          </w:p>
        </w:tc>
        <w:tc>
          <w:tcPr>
            <w:tcW w:w="2906" w:type="pct"/>
            <w:vAlign w:val="center"/>
          </w:tcPr>
          <w:p>
            <w:pPr>
              <w:rPr>
                <w:rFonts w:ascii="黑体" w:hAnsi="黑体" w:eastAsia="黑体" w:cs="黑体"/>
                <w:lang w:eastAsia="zh-CN"/>
              </w:rPr>
            </w:pPr>
            <w:r>
              <w:rPr>
                <w:rFonts w:hint="eastAsia" w:ascii="黑体" w:hAnsi="黑体" w:eastAsia="黑体" w:cs="黑体"/>
                <w:lang w:eastAsia="zh-CN"/>
              </w:rPr>
              <w:t>内置水箱（≥8L）+外接排水管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5" w:type="pct"/>
            <w:vAlign w:val="center"/>
          </w:tcPr>
          <w:p>
            <w:pPr>
              <w:rPr>
                <w:rFonts w:ascii="黑体" w:hAnsi="黑体" w:eastAsia="黑体" w:cs="黑体"/>
              </w:rPr>
            </w:pPr>
            <w:r>
              <w:rPr>
                <w:rFonts w:hint="eastAsia" w:ascii="黑体" w:hAnsi="黑体" w:eastAsia="黑体" w:cs="黑体"/>
              </w:rPr>
              <w:t>13</w:t>
            </w:r>
          </w:p>
        </w:tc>
        <w:tc>
          <w:tcPr>
            <w:tcW w:w="625" w:type="pct"/>
            <w:vAlign w:val="center"/>
          </w:tcPr>
          <w:p>
            <w:pPr>
              <w:rPr>
                <w:rFonts w:ascii="黑体" w:hAnsi="黑体" w:eastAsia="黑体" w:cs="黑体"/>
              </w:rPr>
            </w:pPr>
            <w:r>
              <w:rPr>
                <w:rFonts w:hint="eastAsia" w:ascii="黑体" w:hAnsi="黑体" w:eastAsia="黑体" w:cs="黑体"/>
              </w:rPr>
              <w:t>滤网</w:t>
            </w:r>
          </w:p>
        </w:tc>
        <w:tc>
          <w:tcPr>
            <w:tcW w:w="1094" w:type="pct"/>
            <w:vAlign w:val="center"/>
          </w:tcPr>
          <w:p>
            <w:pPr>
              <w:rPr>
                <w:rFonts w:ascii="黑体" w:hAnsi="黑体" w:eastAsia="黑体" w:cs="黑体"/>
              </w:rPr>
            </w:pPr>
            <w:r>
              <w:rPr>
                <w:rFonts w:hint="eastAsia" w:ascii="黑体" w:hAnsi="黑体" w:eastAsia="黑体" w:cs="黑体"/>
              </w:rPr>
              <w:t>滤网提醒</w:t>
            </w:r>
          </w:p>
        </w:tc>
        <w:tc>
          <w:tcPr>
            <w:tcW w:w="2906" w:type="pct"/>
            <w:vAlign w:val="center"/>
          </w:tcPr>
          <w:p>
            <w:pPr>
              <w:rPr>
                <w:rFonts w:ascii="黑体" w:hAnsi="黑体" w:eastAsia="黑体" w:cs="黑体"/>
                <w:lang w:eastAsia="zh-CN"/>
              </w:rPr>
            </w:pPr>
            <w:r>
              <w:rPr>
                <w:rFonts w:hint="eastAsia" w:ascii="黑体" w:hAnsi="黑体" w:eastAsia="黑体" w:cs="黑体"/>
                <w:lang w:eastAsia="zh-CN"/>
              </w:rPr>
              <w:t>800小时计时提醒，E0代码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5" w:type="pct"/>
            <w:vAlign w:val="center"/>
          </w:tcPr>
          <w:p>
            <w:pPr>
              <w:rPr>
                <w:rFonts w:ascii="黑体" w:hAnsi="黑体" w:eastAsia="黑体" w:cs="黑体"/>
              </w:rPr>
            </w:pPr>
            <w:r>
              <w:rPr>
                <w:rFonts w:hint="eastAsia" w:ascii="黑体" w:hAnsi="黑体" w:eastAsia="黑体" w:cs="黑体"/>
              </w:rPr>
              <w:t>14</w:t>
            </w:r>
          </w:p>
        </w:tc>
        <w:tc>
          <w:tcPr>
            <w:tcW w:w="625" w:type="pct"/>
            <w:vAlign w:val="center"/>
          </w:tcPr>
          <w:p>
            <w:pPr>
              <w:rPr>
                <w:rFonts w:ascii="黑体" w:hAnsi="黑体" w:eastAsia="黑体" w:cs="黑体"/>
              </w:rPr>
            </w:pPr>
            <w:r>
              <w:rPr>
                <w:rFonts w:hint="eastAsia" w:ascii="黑体" w:hAnsi="黑体" w:eastAsia="黑体" w:cs="黑体"/>
              </w:rPr>
              <w:t>★主控</w:t>
            </w:r>
          </w:p>
        </w:tc>
        <w:tc>
          <w:tcPr>
            <w:tcW w:w="1094" w:type="pct"/>
            <w:vAlign w:val="center"/>
          </w:tcPr>
          <w:p>
            <w:pPr>
              <w:rPr>
                <w:rFonts w:ascii="黑体" w:hAnsi="黑体" w:eastAsia="黑体" w:cs="黑体"/>
              </w:rPr>
            </w:pPr>
            <w:r>
              <w:rPr>
                <w:rFonts w:hint="eastAsia" w:ascii="黑体" w:hAnsi="黑体" w:eastAsia="黑体" w:cs="黑体"/>
              </w:rPr>
              <w:t>MCU性能</w:t>
            </w:r>
          </w:p>
        </w:tc>
        <w:tc>
          <w:tcPr>
            <w:tcW w:w="2906" w:type="pct"/>
            <w:vAlign w:val="center"/>
          </w:tcPr>
          <w:p>
            <w:pPr>
              <w:rPr>
                <w:rFonts w:ascii="黑体" w:hAnsi="黑体" w:eastAsia="黑体" w:cs="黑体"/>
              </w:rPr>
            </w:pPr>
            <w:r>
              <w:rPr>
                <w:rFonts w:hint="eastAsia" w:ascii="黑体" w:hAnsi="黑体" w:eastAsia="黑体" w:cs="黑体"/>
              </w:rPr>
              <w:t>32位工业级，≥72MHz，≥256KB Flash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5" w:type="pct"/>
            <w:vAlign w:val="center"/>
          </w:tcPr>
          <w:p>
            <w:pPr>
              <w:rPr>
                <w:rFonts w:ascii="黑体" w:hAnsi="黑体" w:eastAsia="黑体" w:cs="黑体"/>
              </w:rPr>
            </w:pPr>
            <w:r>
              <w:rPr>
                <w:rFonts w:hint="eastAsia" w:ascii="黑体" w:hAnsi="黑体" w:eastAsia="黑体" w:cs="黑体"/>
              </w:rPr>
              <w:t>15</w:t>
            </w:r>
          </w:p>
        </w:tc>
        <w:tc>
          <w:tcPr>
            <w:tcW w:w="625" w:type="pct"/>
            <w:vAlign w:val="center"/>
          </w:tcPr>
          <w:p>
            <w:pPr>
              <w:rPr>
                <w:rFonts w:ascii="黑体" w:hAnsi="黑体" w:eastAsia="黑体" w:cs="黑体"/>
              </w:rPr>
            </w:pPr>
            <w:r>
              <w:rPr>
                <w:rFonts w:hint="eastAsia" w:ascii="黑体" w:hAnsi="黑体" w:eastAsia="黑体" w:cs="黑体"/>
              </w:rPr>
              <w:t>★主控</w:t>
            </w:r>
          </w:p>
        </w:tc>
        <w:tc>
          <w:tcPr>
            <w:tcW w:w="1094" w:type="pct"/>
            <w:vAlign w:val="center"/>
          </w:tcPr>
          <w:p>
            <w:pPr>
              <w:rPr>
                <w:rFonts w:ascii="黑体" w:hAnsi="黑体" w:eastAsia="黑体" w:cs="黑体"/>
              </w:rPr>
            </w:pPr>
            <w:r>
              <w:rPr>
                <w:rFonts w:hint="eastAsia" w:ascii="黑体" w:hAnsi="黑体" w:eastAsia="黑体" w:cs="黑体"/>
              </w:rPr>
              <w:t>本地数据缓存</w:t>
            </w:r>
          </w:p>
        </w:tc>
        <w:tc>
          <w:tcPr>
            <w:tcW w:w="2906" w:type="pct"/>
            <w:vAlign w:val="center"/>
          </w:tcPr>
          <w:p>
            <w:pPr>
              <w:rPr>
                <w:rFonts w:ascii="黑体" w:hAnsi="黑体" w:eastAsia="黑体" w:cs="黑体"/>
              </w:rPr>
            </w:pPr>
            <w:r>
              <w:rPr>
                <w:rFonts w:hint="eastAsia" w:ascii="黑体" w:hAnsi="黑体" w:eastAsia="黑体" w:cs="黑体"/>
              </w:rPr>
              <w:t>≥4MB Flash，≥30天数据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5" w:type="pct"/>
            <w:vAlign w:val="center"/>
          </w:tcPr>
          <w:p>
            <w:pPr>
              <w:rPr>
                <w:rFonts w:ascii="黑体" w:hAnsi="黑体" w:eastAsia="黑体" w:cs="黑体"/>
              </w:rPr>
            </w:pPr>
            <w:r>
              <w:rPr>
                <w:rFonts w:hint="eastAsia" w:ascii="黑体" w:hAnsi="黑体" w:eastAsia="黑体" w:cs="黑体"/>
              </w:rPr>
              <w:t>16</w:t>
            </w:r>
          </w:p>
        </w:tc>
        <w:tc>
          <w:tcPr>
            <w:tcW w:w="625" w:type="pct"/>
            <w:vAlign w:val="center"/>
          </w:tcPr>
          <w:p>
            <w:pPr>
              <w:rPr>
                <w:rFonts w:ascii="黑体" w:hAnsi="黑体" w:eastAsia="黑体" w:cs="黑体"/>
              </w:rPr>
            </w:pPr>
            <w:r>
              <w:rPr>
                <w:rFonts w:hint="eastAsia" w:ascii="黑体" w:hAnsi="黑体" w:eastAsia="黑体" w:cs="黑体"/>
              </w:rPr>
              <w:t>★主控</w:t>
            </w:r>
          </w:p>
        </w:tc>
        <w:tc>
          <w:tcPr>
            <w:tcW w:w="1094" w:type="pct"/>
            <w:vAlign w:val="center"/>
          </w:tcPr>
          <w:p>
            <w:pPr>
              <w:rPr>
                <w:rFonts w:ascii="黑体" w:hAnsi="黑体" w:eastAsia="黑体" w:cs="黑体"/>
              </w:rPr>
            </w:pPr>
            <w:r>
              <w:rPr>
                <w:rFonts w:hint="eastAsia" w:ascii="黑体" w:hAnsi="黑体" w:eastAsia="黑体" w:cs="黑体"/>
              </w:rPr>
              <w:t>OTA远程升级</w:t>
            </w:r>
          </w:p>
        </w:tc>
        <w:tc>
          <w:tcPr>
            <w:tcW w:w="2906" w:type="pct"/>
            <w:vAlign w:val="center"/>
          </w:tcPr>
          <w:p>
            <w:pPr>
              <w:rPr>
                <w:rFonts w:ascii="黑体" w:hAnsi="黑体" w:eastAsia="黑体" w:cs="黑体"/>
              </w:rPr>
            </w:pPr>
            <w:r>
              <w:rPr>
                <w:rFonts w:hint="eastAsia" w:ascii="黑体" w:hAnsi="黑体" w:eastAsia="黑体" w:cs="黑体"/>
              </w:rPr>
              <w:t>支持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5" w:type="pct"/>
            <w:vAlign w:val="center"/>
          </w:tcPr>
          <w:p>
            <w:pPr>
              <w:rPr>
                <w:rFonts w:ascii="黑体" w:hAnsi="黑体" w:eastAsia="黑体" w:cs="黑体"/>
              </w:rPr>
            </w:pPr>
            <w:r>
              <w:rPr>
                <w:rFonts w:hint="eastAsia" w:ascii="黑体" w:hAnsi="黑体" w:eastAsia="黑体" w:cs="黑体"/>
              </w:rPr>
              <w:t>17</w:t>
            </w:r>
          </w:p>
        </w:tc>
        <w:tc>
          <w:tcPr>
            <w:tcW w:w="625" w:type="pct"/>
            <w:vAlign w:val="center"/>
          </w:tcPr>
          <w:p>
            <w:pPr>
              <w:rPr>
                <w:rFonts w:ascii="黑体" w:hAnsi="黑体" w:eastAsia="黑体" w:cs="黑体"/>
              </w:rPr>
            </w:pPr>
            <w:r>
              <w:rPr>
                <w:rFonts w:hint="eastAsia" w:ascii="黑体" w:hAnsi="黑体" w:eastAsia="黑体" w:cs="黑体"/>
              </w:rPr>
              <w:t>★通讯</w:t>
            </w:r>
          </w:p>
        </w:tc>
        <w:tc>
          <w:tcPr>
            <w:tcW w:w="1094" w:type="pct"/>
            <w:vAlign w:val="center"/>
          </w:tcPr>
          <w:p>
            <w:pPr>
              <w:rPr>
                <w:rFonts w:ascii="黑体" w:hAnsi="黑体" w:eastAsia="黑体" w:cs="黑体"/>
              </w:rPr>
            </w:pPr>
            <w:r>
              <w:rPr>
                <w:rFonts w:hint="eastAsia" w:ascii="黑体" w:hAnsi="黑体" w:eastAsia="黑体" w:cs="黑体"/>
              </w:rPr>
              <w:t>4G模块</w:t>
            </w:r>
          </w:p>
        </w:tc>
        <w:tc>
          <w:tcPr>
            <w:tcW w:w="2906" w:type="pct"/>
            <w:vAlign w:val="center"/>
          </w:tcPr>
          <w:p>
            <w:pPr>
              <w:rPr>
                <w:rFonts w:ascii="黑体" w:hAnsi="黑体" w:eastAsia="黑体" w:cs="黑体"/>
                <w:lang w:eastAsia="zh-CN"/>
              </w:rPr>
            </w:pPr>
            <w:r>
              <w:rPr>
                <w:rFonts w:hint="eastAsia" w:ascii="黑体" w:hAnsi="黑体" w:eastAsia="黑体" w:cs="黑体"/>
                <w:lang w:eastAsia="zh-CN"/>
              </w:rPr>
              <w:t>工业级，三大运营商，SRRC+3C认证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5" w:type="pct"/>
            <w:vAlign w:val="center"/>
          </w:tcPr>
          <w:p>
            <w:pPr>
              <w:rPr>
                <w:rFonts w:ascii="黑体" w:hAnsi="黑体" w:eastAsia="黑体" w:cs="黑体"/>
              </w:rPr>
            </w:pPr>
            <w:r>
              <w:rPr>
                <w:rFonts w:hint="eastAsia" w:ascii="黑体" w:hAnsi="黑体" w:eastAsia="黑体" w:cs="黑体"/>
              </w:rPr>
              <w:t>18</w:t>
            </w:r>
          </w:p>
        </w:tc>
        <w:tc>
          <w:tcPr>
            <w:tcW w:w="625" w:type="pct"/>
            <w:vAlign w:val="center"/>
          </w:tcPr>
          <w:p>
            <w:pPr>
              <w:rPr>
                <w:rFonts w:ascii="黑体" w:hAnsi="黑体" w:eastAsia="黑体" w:cs="黑体"/>
              </w:rPr>
            </w:pPr>
            <w:r>
              <w:rPr>
                <w:rFonts w:hint="eastAsia" w:ascii="黑体" w:hAnsi="黑体" w:eastAsia="黑体" w:cs="黑体"/>
              </w:rPr>
              <w:t>★通讯</w:t>
            </w:r>
          </w:p>
        </w:tc>
        <w:tc>
          <w:tcPr>
            <w:tcW w:w="1094" w:type="pct"/>
            <w:vAlign w:val="center"/>
          </w:tcPr>
          <w:p>
            <w:pPr>
              <w:rPr>
                <w:rFonts w:ascii="黑体" w:hAnsi="黑体" w:eastAsia="黑体" w:cs="黑体"/>
              </w:rPr>
            </w:pPr>
            <w:r>
              <w:rPr>
                <w:rFonts w:hint="eastAsia" w:ascii="黑体" w:hAnsi="黑体" w:eastAsia="黑体" w:cs="黑体"/>
              </w:rPr>
              <w:t>通讯协议</w:t>
            </w:r>
          </w:p>
        </w:tc>
        <w:tc>
          <w:tcPr>
            <w:tcW w:w="2906" w:type="pct"/>
            <w:vAlign w:val="center"/>
          </w:tcPr>
          <w:p>
            <w:pPr>
              <w:rPr>
                <w:rFonts w:ascii="黑体" w:hAnsi="黑体" w:eastAsia="黑体" w:cs="黑体"/>
              </w:rPr>
            </w:pPr>
            <w:r>
              <w:rPr>
                <w:rFonts w:hint="eastAsia" w:ascii="黑体" w:hAnsi="黑体" w:eastAsia="黑体" w:cs="黑体"/>
              </w:rPr>
              <w:t>RS485/ModBUS-RTU，MQTT over TCP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5" w:type="pct"/>
            <w:vAlign w:val="center"/>
          </w:tcPr>
          <w:p>
            <w:pPr>
              <w:rPr>
                <w:rFonts w:ascii="黑体" w:hAnsi="黑体" w:eastAsia="黑体" w:cs="黑体"/>
              </w:rPr>
            </w:pPr>
            <w:r>
              <w:rPr>
                <w:rFonts w:hint="eastAsia" w:ascii="黑体" w:hAnsi="黑体" w:eastAsia="黑体" w:cs="黑体"/>
              </w:rPr>
              <w:t>19</w:t>
            </w:r>
          </w:p>
        </w:tc>
        <w:tc>
          <w:tcPr>
            <w:tcW w:w="625" w:type="pct"/>
            <w:vAlign w:val="center"/>
          </w:tcPr>
          <w:p>
            <w:pPr>
              <w:rPr>
                <w:rFonts w:ascii="黑体" w:hAnsi="黑体" w:eastAsia="黑体" w:cs="黑体"/>
              </w:rPr>
            </w:pPr>
            <w:r>
              <w:rPr>
                <w:rFonts w:hint="eastAsia" w:ascii="黑体" w:hAnsi="黑体" w:eastAsia="黑体" w:cs="黑体"/>
              </w:rPr>
              <w:t>★通讯</w:t>
            </w:r>
          </w:p>
        </w:tc>
        <w:tc>
          <w:tcPr>
            <w:tcW w:w="1094" w:type="pct"/>
            <w:vAlign w:val="center"/>
          </w:tcPr>
          <w:p>
            <w:pPr>
              <w:rPr>
                <w:rFonts w:ascii="黑体" w:hAnsi="黑体" w:eastAsia="黑体" w:cs="黑体"/>
              </w:rPr>
            </w:pPr>
            <w:r>
              <w:rPr>
                <w:rFonts w:hint="eastAsia" w:ascii="黑体" w:hAnsi="黑体" w:eastAsia="黑体" w:cs="黑体"/>
              </w:rPr>
              <w:t>数据上报周期</w:t>
            </w:r>
          </w:p>
        </w:tc>
        <w:tc>
          <w:tcPr>
            <w:tcW w:w="2906" w:type="pct"/>
            <w:vAlign w:val="center"/>
          </w:tcPr>
          <w:p>
            <w:pPr>
              <w:rPr>
                <w:rFonts w:ascii="黑体" w:hAnsi="黑体" w:eastAsia="黑体" w:cs="黑体"/>
                <w:lang w:eastAsia="zh-CN"/>
              </w:rPr>
            </w:pPr>
            <w:r>
              <w:rPr>
                <w:rFonts w:hint="eastAsia" w:ascii="黑体" w:hAnsi="黑体" w:eastAsia="黑体" w:cs="黑体"/>
                <w:lang w:eastAsia="zh-CN"/>
              </w:rPr>
              <w:t>1～60分钟可配置，默认5分钟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5" w:type="pct"/>
            <w:vAlign w:val="center"/>
          </w:tcPr>
          <w:p>
            <w:pPr>
              <w:rPr>
                <w:rFonts w:ascii="黑体" w:hAnsi="黑体" w:eastAsia="黑体" w:cs="黑体"/>
              </w:rPr>
            </w:pPr>
            <w:r>
              <w:rPr>
                <w:rFonts w:hint="eastAsia" w:ascii="黑体" w:hAnsi="黑体" w:eastAsia="黑体" w:cs="黑体"/>
              </w:rPr>
              <w:t>20</w:t>
            </w:r>
          </w:p>
        </w:tc>
        <w:tc>
          <w:tcPr>
            <w:tcW w:w="625" w:type="pct"/>
            <w:vAlign w:val="center"/>
          </w:tcPr>
          <w:p>
            <w:pPr>
              <w:rPr>
                <w:rFonts w:ascii="黑体" w:hAnsi="黑体" w:eastAsia="黑体" w:cs="黑体"/>
              </w:rPr>
            </w:pPr>
            <w:r>
              <w:rPr>
                <w:rFonts w:hint="eastAsia" w:ascii="黑体" w:hAnsi="黑体" w:eastAsia="黑体" w:cs="黑体"/>
              </w:rPr>
              <w:t>★传感器</w:t>
            </w:r>
          </w:p>
        </w:tc>
        <w:tc>
          <w:tcPr>
            <w:tcW w:w="1094" w:type="pct"/>
            <w:vAlign w:val="center"/>
          </w:tcPr>
          <w:p>
            <w:pPr>
              <w:rPr>
                <w:rFonts w:ascii="黑体" w:hAnsi="黑体" w:eastAsia="黑体" w:cs="黑体"/>
              </w:rPr>
            </w:pPr>
            <w:r>
              <w:rPr>
                <w:rFonts w:hint="eastAsia" w:ascii="黑体" w:hAnsi="黑体" w:eastAsia="黑体" w:cs="黑体"/>
              </w:rPr>
              <w:t>温湿度</w:t>
            </w:r>
          </w:p>
        </w:tc>
        <w:tc>
          <w:tcPr>
            <w:tcW w:w="2906" w:type="pct"/>
            <w:vAlign w:val="center"/>
          </w:tcPr>
          <w:p>
            <w:pPr>
              <w:rPr>
                <w:rFonts w:ascii="黑体" w:hAnsi="黑体" w:eastAsia="黑体" w:cs="黑体"/>
              </w:rPr>
            </w:pPr>
            <w:r>
              <w:rPr>
                <w:rFonts w:hint="eastAsia" w:ascii="黑体" w:hAnsi="黑体" w:eastAsia="黑体" w:cs="黑体"/>
              </w:rPr>
              <w:t>-40～80℃±1℃，0～99%RH±3%RH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5" w:type="pct"/>
            <w:vAlign w:val="center"/>
          </w:tcPr>
          <w:p>
            <w:pPr>
              <w:rPr>
                <w:rFonts w:ascii="黑体" w:hAnsi="黑体" w:eastAsia="黑体" w:cs="黑体"/>
              </w:rPr>
            </w:pPr>
            <w:r>
              <w:rPr>
                <w:rFonts w:hint="eastAsia" w:ascii="黑体" w:hAnsi="黑体" w:eastAsia="黑体" w:cs="黑体"/>
              </w:rPr>
              <w:t>21</w:t>
            </w:r>
          </w:p>
        </w:tc>
        <w:tc>
          <w:tcPr>
            <w:tcW w:w="625" w:type="pct"/>
            <w:vAlign w:val="center"/>
          </w:tcPr>
          <w:p>
            <w:pPr>
              <w:rPr>
                <w:rFonts w:ascii="黑体" w:hAnsi="黑体" w:eastAsia="黑体" w:cs="黑体"/>
              </w:rPr>
            </w:pPr>
            <w:r>
              <w:rPr>
                <w:rFonts w:hint="eastAsia" w:ascii="黑体" w:hAnsi="黑体" w:eastAsia="黑体" w:cs="黑体"/>
              </w:rPr>
              <w:t>★传感器</w:t>
            </w:r>
          </w:p>
        </w:tc>
        <w:tc>
          <w:tcPr>
            <w:tcW w:w="1094" w:type="pct"/>
            <w:vAlign w:val="center"/>
          </w:tcPr>
          <w:p>
            <w:pPr>
              <w:rPr>
                <w:rFonts w:ascii="黑体" w:hAnsi="黑体" w:eastAsia="黑体" w:cs="黑体"/>
              </w:rPr>
            </w:pPr>
            <w:r>
              <w:rPr>
                <w:rFonts w:hint="eastAsia" w:ascii="黑体" w:hAnsi="黑体" w:eastAsia="黑体" w:cs="黑体"/>
              </w:rPr>
              <w:t>烟雾</w:t>
            </w:r>
          </w:p>
        </w:tc>
        <w:tc>
          <w:tcPr>
            <w:tcW w:w="2906" w:type="pct"/>
            <w:vAlign w:val="center"/>
          </w:tcPr>
          <w:p>
            <w:pPr>
              <w:rPr>
                <w:rFonts w:ascii="黑体" w:hAnsi="黑体" w:eastAsia="黑体" w:cs="黑体"/>
              </w:rPr>
            </w:pPr>
            <w:r>
              <w:rPr>
                <w:rFonts w:hint="eastAsia" w:ascii="黑体" w:hAnsi="黑体" w:eastAsia="黑体" w:cs="黑体"/>
              </w:rPr>
              <w:t>光电式，0.54dB/m±0.1dB/m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5" w:type="pct"/>
            <w:vAlign w:val="center"/>
          </w:tcPr>
          <w:p>
            <w:pPr>
              <w:rPr>
                <w:rFonts w:ascii="黑体" w:hAnsi="黑体" w:eastAsia="黑体" w:cs="黑体"/>
              </w:rPr>
            </w:pPr>
            <w:r>
              <w:rPr>
                <w:rFonts w:hint="eastAsia" w:ascii="黑体" w:hAnsi="黑体" w:eastAsia="黑体" w:cs="黑体"/>
              </w:rPr>
              <w:t>22</w:t>
            </w:r>
          </w:p>
        </w:tc>
        <w:tc>
          <w:tcPr>
            <w:tcW w:w="625" w:type="pct"/>
            <w:vAlign w:val="center"/>
          </w:tcPr>
          <w:p>
            <w:pPr>
              <w:rPr>
                <w:rFonts w:ascii="黑体" w:hAnsi="黑体" w:eastAsia="黑体" w:cs="黑体"/>
              </w:rPr>
            </w:pPr>
            <w:r>
              <w:rPr>
                <w:rFonts w:hint="eastAsia" w:ascii="黑体" w:hAnsi="黑体" w:eastAsia="黑体" w:cs="黑体"/>
              </w:rPr>
              <w:t>★传感器</w:t>
            </w:r>
          </w:p>
        </w:tc>
        <w:tc>
          <w:tcPr>
            <w:tcW w:w="1094" w:type="pct"/>
            <w:vAlign w:val="center"/>
          </w:tcPr>
          <w:p>
            <w:pPr>
              <w:rPr>
                <w:rFonts w:ascii="黑体" w:hAnsi="黑体" w:eastAsia="黑体" w:cs="黑体"/>
              </w:rPr>
            </w:pPr>
            <w:r>
              <w:rPr>
                <w:rFonts w:hint="eastAsia" w:ascii="黑体" w:hAnsi="黑体" w:eastAsia="黑体" w:cs="黑体"/>
              </w:rPr>
              <w:t>CO</w:t>
            </w:r>
          </w:p>
        </w:tc>
        <w:tc>
          <w:tcPr>
            <w:tcW w:w="2906" w:type="pct"/>
            <w:vAlign w:val="center"/>
          </w:tcPr>
          <w:p>
            <w:pPr>
              <w:rPr>
                <w:rFonts w:ascii="黑体" w:hAnsi="黑体" w:eastAsia="黑体" w:cs="黑体"/>
              </w:rPr>
            </w:pPr>
            <w:r>
              <w:rPr>
                <w:rFonts w:hint="eastAsia" w:ascii="黑体" w:hAnsi="黑体" w:eastAsia="黑体" w:cs="黑体"/>
              </w:rPr>
              <w:t>电化学，0～1000ppm，±5%FS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5" w:type="pct"/>
            <w:vAlign w:val="center"/>
          </w:tcPr>
          <w:p>
            <w:pPr>
              <w:rPr>
                <w:rFonts w:ascii="黑体" w:hAnsi="黑体" w:eastAsia="黑体" w:cs="黑体"/>
              </w:rPr>
            </w:pPr>
            <w:r>
              <w:rPr>
                <w:rFonts w:hint="eastAsia" w:ascii="黑体" w:hAnsi="黑体" w:eastAsia="黑体" w:cs="黑体"/>
              </w:rPr>
              <w:t>23</w:t>
            </w:r>
          </w:p>
        </w:tc>
        <w:tc>
          <w:tcPr>
            <w:tcW w:w="625" w:type="pct"/>
            <w:vAlign w:val="center"/>
          </w:tcPr>
          <w:p>
            <w:pPr>
              <w:rPr>
                <w:rFonts w:ascii="黑体" w:hAnsi="黑体" w:eastAsia="黑体" w:cs="黑体"/>
              </w:rPr>
            </w:pPr>
            <w:r>
              <w:rPr>
                <w:rFonts w:hint="eastAsia" w:ascii="黑体" w:hAnsi="黑体" w:eastAsia="黑体" w:cs="黑体"/>
              </w:rPr>
              <w:t>★传感器</w:t>
            </w:r>
          </w:p>
        </w:tc>
        <w:tc>
          <w:tcPr>
            <w:tcW w:w="1094" w:type="pct"/>
            <w:vAlign w:val="center"/>
          </w:tcPr>
          <w:p>
            <w:pPr>
              <w:rPr>
                <w:rFonts w:ascii="黑体" w:hAnsi="黑体" w:eastAsia="黑体" w:cs="黑体"/>
              </w:rPr>
            </w:pPr>
            <w:r>
              <w:rPr>
                <w:rFonts w:hint="eastAsia" w:ascii="黑体" w:hAnsi="黑体" w:eastAsia="黑体" w:cs="黑体"/>
              </w:rPr>
              <w:t>SF₆</w:t>
            </w:r>
          </w:p>
        </w:tc>
        <w:tc>
          <w:tcPr>
            <w:tcW w:w="2906" w:type="pct"/>
            <w:vAlign w:val="center"/>
          </w:tcPr>
          <w:p>
            <w:pPr>
              <w:rPr>
                <w:rFonts w:ascii="黑体" w:hAnsi="黑体" w:eastAsia="黑体" w:cs="黑体"/>
              </w:rPr>
            </w:pPr>
            <w:r>
              <w:rPr>
                <w:rFonts w:hint="eastAsia" w:ascii="黑体" w:hAnsi="黑体" w:eastAsia="黑体" w:cs="黑体"/>
              </w:rPr>
              <w:t>红外NDIR，0～5000ppm，±5ppm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5" w:type="pct"/>
            <w:vAlign w:val="center"/>
          </w:tcPr>
          <w:p>
            <w:pPr>
              <w:rPr>
                <w:rFonts w:ascii="黑体" w:hAnsi="黑体" w:eastAsia="黑体" w:cs="黑体"/>
              </w:rPr>
            </w:pPr>
            <w:r>
              <w:rPr>
                <w:rFonts w:hint="eastAsia" w:ascii="黑体" w:hAnsi="黑体" w:eastAsia="黑体" w:cs="黑体"/>
              </w:rPr>
              <w:t>24</w:t>
            </w:r>
          </w:p>
        </w:tc>
        <w:tc>
          <w:tcPr>
            <w:tcW w:w="625" w:type="pct"/>
            <w:vAlign w:val="center"/>
          </w:tcPr>
          <w:p>
            <w:pPr>
              <w:rPr>
                <w:rFonts w:ascii="黑体" w:hAnsi="黑体" w:eastAsia="黑体" w:cs="黑体"/>
              </w:rPr>
            </w:pPr>
            <w:r>
              <w:rPr>
                <w:rFonts w:hint="eastAsia" w:ascii="黑体" w:hAnsi="黑体" w:eastAsia="黑体" w:cs="黑体"/>
              </w:rPr>
              <w:t>★传感器</w:t>
            </w:r>
          </w:p>
        </w:tc>
        <w:tc>
          <w:tcPr>
            <w:tcW w:w="1094" w:type="pct"/>
            <w:vAlign w:val="center"/>
          </w:tcPr>
          <w:p>
            <w:pPr>
              <w:rPr>
                <w:rFonts w:ascii="黑体" w:hAnsi="黑体" w:eastAsia="黑体" w:cs="黑体"/>
              </w:rPr>
            </w:pPr>
            <w:r>
              <w:rPr>
                <w:rFonts w:hint="eastAsia" w:ascii="黑体" w:hAnsi="黑体" w:eastAsia="黑体" w:cs="黑体"/>
              </w:rPr>
              <w:t>水浸</w:t>
            </w:r>
          </w:p>
        </w:tc>
        <w:tc>
          <w:tcPr>
            <w:tcW w:w="2906" w:type="pct"/>
            <w:vAlign w:val="center"/>
          </w:tcPr>
          <w:p>
            <w:pPr>
              <w:rPr>
                <w:rFonts w:ascii="黑体" w:hAnsi="黑体" w:eastAsia="黑体" w:cs="黑体"/>
              </w:rPr>
            </w:pPr>
            <w:r>
              <w:rPr>
                <w:rFonts w:hint="eastAsia" w:ascii="黑体" w:hAnsi="黑体" w:eastAsia="黑体" w:cs="黑体"/>
              </w:rPr>
              <w:t>电极式，≤1s响应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5" w:type="pct"/>
            <w:vAlign w:val="center"/>
          </w:tcPr>
          <w:p>
            <w:pPr>
              <w:rPr>
                <w:rFonts w:ascii="黑体" w:hAnsi="黑体" w:eastAsia="黑体" w:cs="黑体"/>
              </w:rPr>
            </w:pPr>
            <w:r>
              <w:rPr>
                <w:rFonts w:hint="eastAsia" w:ascii="黑体" w:hAnsi="黑体" w:eastAsia="黑体" w:cs="黑体"/>
              </w:rPr>
              <w:t>25</w:t>
            </w:r>
          </w:p>
        </w:tc>
        <w:tc>
          <w:tcPr>
            <w:tcW w:w="625" w:type="pct"/>
            <w:vAlign w:val="center"/>
          </w:tcPr>
          <w:p>
            <w:pPr>
              <w:rPr>
                <w:rFonts w:ascii="黑体" w:hAnsi="黑体" w:eastAsia="黑体" w:cs="黑体"/>
              </w:rPr>
            </w:pPr>
            <w:r>
              <w:rPr>
                <w:rFonts w:hint="eastAsia" w:ascii="黑体" w:hAnsi="黑体" w:eastAsia="黑体" w:cs="黑体"/>
              </w:rPr>
              <w:t>★传感器</w:t>
            </w:r>
          </w:p>
        </w:tc>
        <w:tc>
          <w:tcPr>
            <w:tcW w:w="1094" w:type="pct"/>
            <w:vAlign w:val="center"/>
          </w:tcPr>
          <w:p>
            <w:pPr>
              <w:rPr>
                <w:rFonts w:ascii="黑体" w:hAnsi="黑体" w:eastAsia="黑体" w:cs="黑体"/>
              </w:rPr>
            </w:pPr>
            <w:r>
              <w:rPr>
                <w:rFonts w:hint="eastAsia" w:ascii="黑体" w:hAnsi="黑体" w:eastAsia="黑体" w:cs="黑体"/>
              </w:rPr>
              <w:t>臭氧</w:t>
            </w:r>
          </w:p>
        </w:tc>
        <w:tc>
          <w:tcPr>
            <w:tcW w:w="2906" w:type="pct"/>
            <w:vAlign w:val="center"/>
          </w:tcPr>
          <w:p>
            <w:pPr>
              <w:rPr>
                <w:rFonts w:ascii="黑体" w:hAnsi="黑体" w:eastAsia="黑体" w:cs="黑体"/>
              </w:rPr>
            </w:pPr>
            <w:r>
              <w:rPr>
                <w:rFonts w:hint="eastAsia" w:ascii="黑体" w:hAnsi="黑体" w:eastAsia="黑体" w:cs="黑体"/>
              </w:rPr>
              <w:t>电化学，0～5ppm，±0.1ppm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5" w:type="pct"/>
            <w:vAlign w:val="center"/>
          </w:tcPr>
          <w:p>
            <w:pPr>
              <w:rPr>
                <w:rFonts w:ascii="黑体" w:hAnsi="黑体" w:eastAsia="黑体" w:cs="黑体"/>
              </w:rPr>
            </w:pPr>
            <w:r>
              <w:rPr>
                <w:rFonts w:hint="eastAsia" w:ascii="黑体" w:hAnsi="黑体" w:eastAsia="黑体" w:cs="黑体"/>
              </w:rPr>
              <w:t>26</w:t>
            </w:r>
          </w:p>
        </w:tc>
        <w:tc>
          <w:tcPr>
            <w:tcW w:w="625" w:type="pct"/>
            <w:vAlign w:val="center"/>
          </w:tcPr>
          <w:p>
            <w:pPr>
              <w:rPr>
                <w:rFonts w:ascii="黑体" w:hAnsi="黑体" w:eastAsia="黑体" w:cs="黑体"/>
              </w:rPr>
            </w:pPr>
            <w:r>
              <w:rPr>
                <w:rFonts w:hint="eastAsia" w:ascii="黑体" w:hAnsi="黑体" w:eastAsia="黑体" w:cs="黑体"/>
              </w:rPr>
              <w:t>★传感器</w:t>
            </w:r>
          </w:p>
        </w:tc>
        <w:tc>
          <w:tcPr>
            <w:tcW w:w="1094" w:type="pct"/>
            <w:vAlign w:val="center"/>
          </w:tcPr>
          <w:p>
            <w:pPr>
              <w:rPr>
                <w:rFonts w:ascii="黑体" w:hAnsi="黑体" w:eastAsia="黑体" w:cs="黑体"/>
              </w:rPr>
            </w:pPr>
            <w:r>
              <w:rPr>
                <w:rFonts w:hint="eastAsia" w:ascii="黑体" w:hAnsi="黑体" w:eastAsia="黑体" w:cs="黑体"/>
              </w:rPr>
              <w:t>防护等级</w:t>
            </w:r>
          </w:p>
        </w:tc>
        <w:tc>
          <w:tcPr>
            <w:tcW w:w="2906" w:type="pct"/>
            <w:vAlign w:val="center"/>
          </w:tcPr>
          <w:p>
            <w:pPr>
              <w:rPr>
                <w:rFonts w:ascii="黑体" w:hAnsi="黑体" w:eastAsia="黑体" w:cs="黑体"/>
              </w:rPr>
            </w:pPr>
            <w:r>
              <w:rPr>
                <w:rFonts w:hint="eastAsia" w:ascii="黑体" w:hAnsi="黑体" w:eastAsia="黑体" w:cs="黑体"/>
              </w:rPr>
              <w:t>IP65（所有传感器）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5" w:type="pct"/>
            <w:vAlign w:val="center"/>
          </w:tcPr>
          <w:p>
            <w:pPr>
              <w:rPr>
                <w:rFonts w:ascii="黑体" w:hAnsi="黑体" w:eastAsia="黑体" w:cs="黑体"/>
              </w:rPr>
            </w:pPr>
            <w:r>
              <w:rPr>
                <w:rFonts w:hint="eastAsia" w:ascii="黑体" w:hAnsi="黑体" w:eastAsia="黑体" w:cs="黑体"/>
              </w:rPr>
              <w:t>27</w:t>
            </w:r>
          </w:p>
        </w:tc>
        <w:tc>
          <w:tcPr>
            <w:tcW w:w="625" w:type="pct"/>
            <w:vAlign w:val="center"/>
          </w:tcPr>
          <w:p>
            <w:pPr>
              <w:rPr>
                <w:rFonts w:ascii="黑体" w:hAnsi="黑体" w:eastAsia="黑体" w:cs="黑体"/>
              </w:rPr>
            </w:pPr>
            <w:r>
              <w:rPr>
                <w:rFonts w:hint="eastAsia" w:ascii="黑体" w:hAnsi="黑体" w:eastAsia="黑体" w:cs="黑体"/>
              </w:rPr>
              <w:t>★环境</w:t>
            </w:r>
          </w:p>
        </w:tc>
        <w:tc>
          <w:tcPr>
            <w:tcW w:w="1094" w:type="pct"/>
            <w:vAlign w:val="center"/>
          </w:tcPr>
          <w:p>
            <w:pPr>
              <w:rPr>
                <w:rFonts w:ascii="黑体" w:hAnsi="黑体" w:eastAsia="黑体" w:cs="黑体"/>
              </w:rPr>
            </w:pPr>
            <w:r>
              <w:rPr>
                <w:rFonts w:hint="eastAsia" w:ascii="黑体" w:hAnsi="黑体" w:eastAsia="黑体" w:cs="黑体"/>
              </w:rPr>
              <w:t>工作温度</w:t>
            </w:r>
          </w:p>
        </w:tc>
        <w:tc>
          <w:tcPr>
            <w:tcW w:w="2906" w:type="pct"/>
            <w:vAlign w:val="center"/>
          </w:tcPr>
          <w:p>
            <w:pPr>
              <w:rPr>
                <w:rFonts w:ascii="黑体" w:hAnsi="黑体" w:eastAsia="黑体" w:cs="黑体"/>
              </w:rPr>
            </w:pPr>
            <w:r>
              <w:rPr>
                <w:rFonts w:hint="eastAsia" w:ascii="黑体" w:hAnsi="黑体" w:eastAsia="黑体" w:cs="黑体"/>
              </w:rPr>
              <w:t>5～38℃（整机）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5" w:type="pct"/>
            <w:vAlign w:val="center"/>
          </w:tcPr>
          <w:p>
            <w:pPr>
              <w:rPr>
                <w:rFonts w:ascii="黑体" w:hAnsi="黑体" w:eastAsia="黑体" w:cs="黑体"/>
              </w:rPr>
            </w:pPr>
            <w:r>
              <w:rPr>
                <w:rFonts w:hint="eastAsia" w:ascii="黑体" w:hAnsi="黑体" w:eastAsia="黑体" w:cs="黑体"/>
              </w:rPr>
              <w:t>28</w:t>
            </w:r>
          </w:p>
        </w:tc>
        <w:tc>
          <w:tcPr>
            <w:tcW w:w="625" w:type="pct"/>
            <w:vAlign w:val="center"/>
          </w:tcPr>
          <w:p>
            <w:pPr>
              <w:rPr>
                <w:rFonts w:ascii="黑体" w:hAnsi="黑体" w:eastAsia="黑体" w:cs="黑体"/>
              </w:rPr>
            </w:pPr>
            <w:r>
              <w:rPr>
                <w:rFonts w:hint="eastAsia" w:ascii="黑体" w:hAnsi="黑体" w:eastAsia="黑体" w:cs="黑体"/>
              </w:rPr>
              <w:t>★环境</w:t>
            </w:r>
          </w:p>
        </w:tc>
        <w:tc>
          <w:tcPr>
            <w:tcW w:w="1094" w:type="pct"/>
            <w:vAlign w:val="center"/>
          </w:tcPr>
          <w:p>
            <w:pPr>
              <w:rPr>
                <w:rFonts w:ascii="黑体" w:hAnsi="黑体" w:eastAsia="黑体" w:cs="黑体"/>
              </w:rPr>
            </w:pPr>
            <w:r>
              <w:rPr>
                <w:rFonts w:hint="eastAsia" w:ascii="黑体" w:hAnsi="黑体" w:eastAsia="黑体" w:cs="黑体"/>
              </w:rPr>
              <w:t>电磁兼容</w:t>
            </w:r>
          </w:p>
        </w:tc>
        <w:tc>
          <w:tcPr>
            <w:tcW w:w="2906" w:type="pct"/>
            <w:vAlign w:val="center"/>
          </w:tcPr>
          <w:p>
            <w:pPr>
              <w:rPr>
                <w:rFonts w:ascii="黑体" w:hAnsi="黑体" w:eastAsia="黑体" w:cs="黑体"/>
                <w:lang w:eastAsia="zh-CN"/>
              </w:rPr>
            </w:pPr>
            <w:r>
              <w:rPr>
                <w:rFonts w:hint="eastAsia" w:ascii="黑体" w:hAnsi="黑体" w:eastAsia="黑体" w:cs="黑体"/>
                <w:lang w:eastAsia="zh-CN"/>
              </w:rPr>
              <w:t>GB/T 17626系列，第三方检测报告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5" w:type="pct"/>
            <w:vAlign w:val="center"/>
          </w:tcPr>
          <w:p>
            <w:pPr>
              <w:rPr>
                <w:rFonts w:ascii="黑体" w:hAnsi="黑体" w:eastAsia="黑体" w:cs="黑体"/>
              </w:rPr>
            </w:pPr>
            <w:r>
              <w:rPr>
                <w:rFonts w:hint="eastAsia" w:ascii="黑体" w:hAnsi="黑体" w:eastAsia="黑体" w:cs="黑体"/>
              </w:rPr>
              <w:t>29</w:t>
            </w:r>
          </w:p>
        </w:tc>
        <w:tc>
          <w:tcPr>
            <w:tcW w:w="625" w:type="pct"/>
            <w:vAlign w:val="center"/>
          </w:tcPr>
          <w:p>
            <w:pPr>
              <w:rPr>
                <w:rFonts w:ascii="黑体" w:hAnsi="黑体" w:eastAsia="黑体" w:cs="黑体"/>
              </w:rPr>
            </w:pPr>
            <w:r>
              <w:rPr>
                <w:rFonts w:hint="eastAsia" w:ascii="黑体" w:hAnsi="黑体" w:eastAsia="黑体" w:cs="黑体"/>
              </w:rPr>
              <w:t>可靠性</w:t>
            </w:r>
          </w:p>
        </w:tc>
        <w:tc>
          <w:tcPr>
            <w:tcW w:w="1094" w:type="pct"/>
            <w:vAlign w:val="center"/>
          </w:tcPr>
          <w:p>
            <w:pPr>
              <w:rPr>
                <w:rFonts w:ascii="黑体" w:hAnsi="黑体" w:eastAsia="黑体" w:cs="黑体"/>
              </w:rPr>
            </w:pPr>
            <w:r>
              <w:rPr>
                <w:rFonts w:hint="eastAsia" w:ascii="黑体" w:hAnsi="黑体" w:eastAsia="黑体" w:cs="黑体"/>
              </w:rPr>
              <w:t>MTBF</w:t>
            </w:r>
          </w:p>
        </w:tc>
        <w:tc>
          <w:tcPr>
            <w:tcW w:w="2906" w:type="pct"/>
            <w:vAlign w:val="center"/>
          </w:tcPr>
          <w:p>
            <w:pPr>
              <w:rPr>
                <w:rFonts w:ascii="黑体" w:hAnsi="黑体" w:eastAsia="黑体" w:cs="黑体"/>
              </w:rPr>
            </w:pPr>
            <w:r>
              <w:rPr>
                <w:rFonts w:hint="eastAsia" w:ascii="黑体" w:hAnsi="黑体" w:eastAsia="黑体" w:cs="黑体"/>
              </w:rPr>
              <w:t>≥50000小时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5" w:type="pct"/>
            <w:vAlign w:val="center"/>
          </w:tcPr>
          <w:p>
            <w:pPr>
              <w:rPr>
                <w:rFonts w:ascii="黑体" w:hAnsi="黑体" w:eastAsia="黑体" w:cs="黑体"/>
              </w:rPr>
            </w:pPr>
            <w:r>
              <w:rPr>
                <w:rFonts w:hint="eastAsia" w:ascii="黑体" w:hAnsi="黑体" w:eastAsia="黑体" w:cs="黑体"/>
              </w:rPr>
              <w:t>30</w:t>
            </w:r>
          </w:p>
        </w:tc>
        <w:tc>
          <w:tcPr>
            <w:tcW w:w="625" w:type="pct"/>
            <w:vAlign w:val="center"/>
          </w:tcPr>
          <w:p>
            <w:pPr>
              <w:rPr>
                <w:rFonts w:ascii="黑体" w:hAnsi="黑体" w:eastAsia="黑体" w:cs="黑体"/>
              </w:rPr>
            </w:pPr>
            <w:r>
              <w:rPr>
                <w:rFonts w:hint="eastAsia" w:ascii="黑体" w:hAnsi="黑体" w:eastAsia="黑体" w:cs="黑体"/>
              </w:rPr>
              <w:t>可靠性</w:t>
            </w:r>
          </w:p>
        </w:tc>
        <w:tc>
          <w:tcPr>
            <w:tcW w:w="1094" w:type="pct"/>
            <w:vAlign w:val="center"/>
          </w:tcPr>
          <w:p>
            <w:pPr>
              <w:rPr>
                <w:rFonts w:ascii="黑体" w:hAnsi="黑体" w:eastAsia="黑体" w:cs="黑体"/>
              </w:rPr>
            </w:pPr>
            <w:r>
              <w:rPr>
                <w:rFonts w:hint="eastAsia" w:ascii="黑体" w:hAnsi="黑体" w:eastAsia="黑体" w:cs="黑体"/>
              </w:rPr>
              <w:t>年可用率</w:t>
            </w:r>
          </w:p>
        </w:tc>
        <w:tc>
          <w:tcPr>
            <w:tcW w:w="2906" w:type="pct"/>
            <w:vAlign w:val="center"/>
          </w:tcPr>
          <w:p>
            <w:pPr>
              <w:rPr>
                <w:rFonts w:ascii="黑体" w:hAnsi="黑体" w:eastAsia="黑体" w:cs="黑体"/>
              </w:rPr>
            </w:pPr>
            <w:r>
              <w:rPr>
                <w:rFonts w:hint="eastAsia" w:ascii="黑体" w:hAnsi="黑体" w:eastAsia="黑体" w:cs="黑体"/>
              </w:rPr>
              <w:t>≥99.5%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5" w:type="pct"/>
            <w:vAlign w:val="center"/>
          </w:tcPr>
          <w:p>
            <w:pPr>
              <w:rPr>
                <w:rFonts w:ascii="黑体" w:hAnsi="黑体" w:eastAsia="黑体" w:cs="黑体"/>
              </w:rPr>
            </w:pPr>
            <w:r>
              <w:rPr>
                <w:rFonts w:hint="eastAsia" w:ascii="黑体" w:hAnsi="黑体" w:eastAsia="黑体" w:cs="黑体"/>
              </w:rPr>
              <w:t>31</w:t>
            </w:r>
          </w:p>
        </w:tc>
        <w:tc>
          <w:tcPr>
            <w:tcW w:w="625" w:type="pct"/>
            <w:vAlign w:val="center"/>
          </w:tcPr>
          <w:p>
            <w:pPr>
              <w:rPr>
                <w:rFonts w:ascii="黑体" w:hAnsi="黑体" w:eastAsia="黑体" w:cs="黑体"/>
              </w:rPr>
            </w:pPr>
            <w:r>
              <w:rPr>
                <w:rFonts w:hint="eastAsia" w:ascii="黑体" w:hAnsi="黑体" w:eastAsia="黑体" w:cs="黑体"/>
              </w:rPr>
              <w:t>结构</w:t>
            </w:r>
          </w:p>
        </w:tc>
        <w:tc>
          <w:tcPr>
            <w:tcW w:w="1094" w:type="pct"/>
            <w:vAlign w:val="center"/>
          </w:tcPr>
          <w:p>
            <w:pPr>
              <w:rPr>
                <w:rFonts w:ascii="黑体" w:hAnsi="黑体" w:eastAsia="黑体" w:cs="黑体"/>
              </w:rPr>
            </w:pPr>
            <w:r>
              <w:rPr>
                <w:rFonts w:hint="eastAsia" w:ascii="黑体" w:hAnsi="黑体" w:eastAsia="黑体" w:cs="黑体"/>
              </w:rPr>
              <w:t>外形尺寸</w:t>
            </w:r>
          </w:p>
        </w:tc>
        <w:tc>
          <w:tcPr>
            <w:tcW w:w="2906" w:type="pct"/>
            <w:vAlign w:val="center"/>
          </w:tcPr>
          <w:p>
            <w:pPr>
              <w:rPr>
                <w:rFonts w:ascii="黑体" w:hAnsi="黑体" w:eastAsia="黑体" w:cs="黑体"/>
              </w:rPr>
            </w:pPr>
            <w:r>
              <w:rPr>
                <w:rFonts w:hint="eastAsia" w:ascii="黑体" w:hAnsi="黑体" w:eastAsia="黑体" w:cs="黑体"/>
              </w:rPr>
              <w:t>≤600×500×1100mm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5" w:type="pct"/>
            <w:vAlign w:val="center"/>
          </w:tcPr>
          <w:p>
            <w:pPr>
              <w:rPr>
                <w:rFonts w:ascii="黑体" w:hAnsi="黑体" w:eastAsia="黑体" w:cs="黑体"/>
              </w:rPr>
            </w:pPr>
            <w:r>
              <w:rPr>
                <w:rFonts w:hint="eastAsia" w:ascii="黑体" w:hAnsi="黑体" w:eastAsia="黑体" w:cs="黑体"/>
              </w:rPr>
              <w:t>32</w:t>
            </w:r>
          </w:p>
        </w:tc>
        <w:tc>
          <w:tcPr>
            <w:tcW w:w="625" w:type="pct"/>
            <w:vAlign w:val="center"/>
          </w:tcPr>
          <w:p>
            <w:pPr>
              <w:rPr>
                <w:rFonts w:ascii="黑体" w:hAnsi="黑体" w:eastAsia="黑体" w:cs="黑体"/>
              </w:rPr>
            </w:pPr>
            <w:r>
              <w:rPr>
                <w:rFonts w:hint="eastAsia" w:ascii="黑体" w:hAnsi="黑体" w:eastAsia="黑体" w:cs="黑体"/>
              </w:rPr>
              <w:t>结构</w:t>
            </w:r>
          </w:p>
        </w:tc>
        <w:tc>
          <w:tcPr>
            <w:tcW w:w="1094" w:type="pct"/>
            <w:vAlign w:val="center"/>
          </w:tcPr>
          <w:p>
            <w:pPr>
              <w:rPr>
                <w:rFonts w:ascii="黑体" w:hAnsi="黑体" w:eastAsia="黑体" w:cs="黑体"/>
              </w:rPr>
            </w:pPr>
            <w:r>
              <w:rPr>
                <w:rFonts w:hint="eastAsia" w:ascii="黑体" w:hAnsi="黑体" w:eastAsia="黑体" w:cs="黑体"/>
              </w:rPr>
              <w:t>重量</w:t>
            </w:r>
          </w:p>
        </w:tc>
        <w:tc>
          <w:tcPr>
            <w:tcW w:w="2906" w:type="pct"/>
            <w:vAlign w:val="center"/>
          </w:tcPr>
          <w:p>
            <w:pPr>
              <w:rPr>
                <w:rFonts w:ascii="黑体" w:hAnsi="黑体" w:eastAsia="黑体" w:cs="黑体"/>
              </w:rPr>
            </w:pPr>
            <w:r>
              <w:rPr>
                <w:rFonts w:hint="eastAsia" w:ascii="黑体" w:hAnsi="黑体" w:eastAsia="黑体" w:cs="黑体"/>
              </w:rPr>
              <w:t>≤60kg</w:t>
            </w:r>
          </w:p>
        </w:tc>
      </w:tr>
      <w:bookmarkEnd w:id="4"/>
    </w:tbl>
    <w:p>
      <w:pPr>
        <w:spacing w:after="0" w:line="360" w:lineRule="auto"/>
        <w:ind w:firstLine="480"/>
        <w:jc w:val="both"/>
        <w:rPr>
          <w:rFonts w:ascii="黑体" w:hAnsi="黑体" w:eastAsia="黑体" w:cs="黑体"/>
          <w:b/>
          <w:color w:val="000000"/>
          <w:sz w:val="28"/>
          <w:szCs w:val="28"/>
          <w:lang w:eastAsia="zh-CN"/>
        </w:rPr>
      </w:pPr>
      <w:r>
        <w:rPr>
          <w:rFonts w:hint="eastAsia" w:ascii="黑体" w:hAnsi="黑体" w:eastAsia="黑体" w:cs="黑体"/>
          <w:b/>
          <w:color w:val="000000"/>
          <w:sz w:val="28"/>
          <w:szCs w:val="28"/>
          <w:lang w:eastAsia="zh-CN"/>
        </w:rPr>
        <w:t>3 功能要求</w:t>
      </w:r>
    </w:p>
    <w:p>
      <w:pPr>
        <w:spacing w:after="0" w:line="360" w:lineRule="auto"/>
        <w:ind w:firstLine="480"/>
        <w:jc w:val="both"/>
        <w:rPr>
          <w:rFonts w:ascii="黑体" w:hAnsi="黑体" w:eastAsia="黑体" w:cs="黑体"/>
          <w:sz w:val="24"/>
          <w:szCs w:val="24"/>
          <w:lang w:eastAsia="zh-CN"/>
        </w:rPr>
      </w:pPr>
      <w:r>
        <w:rPr>
          <w:rFonts w:hint="eastAsia" w:ascii="黑体" w:hAnsi="黑体" w:eastAsia="黑体" w:cs="黑体"/>
          <w:sz w:val="24"/>
          <w:szCs w:val="24"/>
          <w:lang w:eastAsia="zh-CN"/>
        </w:rPr>
        <w:t>3.1  装置配备独立主控MCU单元，采用工业级32位微控制器（如STM32F103系列或同等及以上性能），主频不低于72MHz，Flash不小于256KB，RAM不小于48KB。</w:t>
      </w:r>
    </w:p>
    <w:p>
      <w:pPr>
        <w:spacing w:after="0" w:line="360" w:lineRule="auto"/>
        <w:ind w:firstLine="480"/>
        <w:jc w:val="both"/>
        <w:rPr>
          <w:rFonts w:ascii="黑体" w:hAnsi="黑体" w:eastAsia="黑体" w:cs="黑体"/>
          <w:sz w:val="24"/>
          <w:szCs w:val="24"/>
          <w:lang w:eastAsia="zh-CN"/>
        </w:rPr>
      </w:pPr>
      <w:r>
        <w:rPr>
          <w:rFonts w:hint="eastAsia" w:ascii="黑体" w:hAnsi="黑体" w:eastAsia="黑体" w:cs="黑体"/>
          <w:sz w:val="24"/>
          <w:szCs w:val="24"/>
          <w:lang w:eastAsia="zh-CN"/>
        </w:rPr>
        <w:t>3.2  接口资源：（1）不少于2路RS485串行通讯接口（1路接传感器组，1路接4G DTU），支持ModBUS-RTU；（2）不少于4路模拟量输入（0～5V/4～20mA可选）；（3）不少于4路开关量输入；（4）不少于2路继电器输出（AC250V/5A）；（5）1路I²C接口。</w:t>
      </w:r>
    </w:p>
    <w:p>
      <w:pPr>
        <w:spacing w:after="0" w:line="360" w:lineRule="auto"/>
        <w:ind w:firstLine="480"/>
        <w:jc w:val="both"/>
        <w:rPr>
          <w:rFonts w:ascii="黑体" w:hAnsi="黑体" w:eastAsia="黑体" w:cs="黑体"/>
          <w:sz w:val="24"/>
          <w:szCs w:val="24"/>
          <w:lang w:eastAsia="zh-CN"/>
        </w:rPr>
      </w:pPr>
      <w:r>
        <w:rPr>
          <w:rFonts w:hint="eastAsia" w:ascii="黑体" w:hAnsi="黑体" w:eastAsia="黑体" w:cs="黑体"/>
          <w:sz w:val="24"/>
          <w:szCs w:val="24"/>
          <w:lang w:eastAsia="zh-CN"/>
        </w:rPr>
        <w:t>3.3  功能要求：（1）周期性读取传感器数据，采集周期可配置（默认30秒）；（2）执行除湿控制逻辑，根据环境湿度自动控制压缩机启停；（3）故障诊断与告警判断；（4）数据本地缓存，4G中断时缓存至本地Flash（不小于4MB，可存不少于30天数据），恢复后自动补传；（5）远程参数配置，支持云端修改设定湿度、采集周期、告警阈值等；（6）固件远程升级（OTA），支持4G网络远程升级。</w:t>
      </w:r>
    </w:p>
    <w:p>
      <w:pPr>
        <w:spacing w:after="0" w:line="360" w:lineRule="auto"/>
        <w:ind w:firstLine="480"/>
        <w:jc w:val="both"/>
        <w:rPr>
          <w:rFonts w:ascii="黑体" w:hAnsi="黑体" w:eastAsia="黑体" w:cs="黑体"/>
          <w:sz w:val="24"/>
          <w:szCs w:val="24"/>
          <w:lang w:eastAsia="zh-CN"/>
        </w:rPr>
      </w:pPr>
      <w:r>
        <w:rPr>
          <w:rFonts w:hint="eastAsia" w:ascii="黑体" w:hAnsi="黑体" w:eastAsia="黑体" w:cs="黑体"/>
          <w:sz w:val="24"/>
          <w:szCs w:val="24"/>
          <w:lang w:eastAsia="zh-CN"/>
        </w:rPr>
        <w:t>3.4  配备独立硬件看门狗（Watchdog），超时时间可配置（默认16秒），程序跑飞时自动复位。</w:t>
      </w:r>
    </w:p>
    <w:p>
      <w:pPr>
        <w:spacing w:after="0" w:line="360" w:lineRule="auto"/>
        <w:ind w:firstLine="480"/>
        <w:jc w:val="both"/>
        <w:rPr>
          <w:rFonts w:hint="eastAsia" w:ascii="黑体" w:hAnsi="黑体" w:eastAsia="黑体" w:cs="黑体"/>
          <w:sz w:val="24"/>
          <w:szCs w:val="24"/>
          <w:lang w:eastAsia="zh-CN"/>
        </w:rPr>
      </w:pPr>
      <w:r>
        <w:rPr>
          <w:rFonts w:hint="eastAsia" w:ascii="黑体" w:hAnsi="黑体" w:eastAsia="黑体" w:cs="黑体"/>
          <w:sz w:val="24"/>
          <w:szCs w:val="24"/>
          <w:lang w:eastAsia="zh-CN"/>
        </w:rPr>
        <w:t>3.5  供电电源：DC 12V/2A，由内部开关电源模块提供，具备过压、过流、短路保护。</w:t>
      </w:r>
    </w:p>
    <w:p>
      <w:pPr>
        <w:spacing w:after="0" w:line="360" w:lineRule="auto"/>
        <w:ind w:firstLine="480"/>
        <w:jc w:val="both"/>
        <w:rPr>
          <w:rFonts w:ascii="黑体" w:hAnsi="黑体" w:eastAsia="黑体" w:cs="黑体"/>
          <w:b/>
          <w:color w:val="000000"/>
          <w:sz w:val="28"/>
          <w:szCs w:val="28"/>
          <w:lang w:eastAsia="zh-CN"/>
        </w:rPr>
      </w:pPr>
      <w:r>
        <w:rPr>
          <w:rFonts w:hint="eastAsia" w:ascii="黑体" w:hAnsi="黑体" w:eastAsia="黑体" w:cs="黑体"/>
          <w:b/>
          <w:color w:val="000000"/>
          <w:sz w:val="28"/>
          <w:szCs w:val="28"/>
          <w:lang w:eastAsia="zh-CN"/>
        </w:rPr>
        <w:t>4 验收与结算</w:t>
      </w:r>
    </w:p>
    <w:p>
      <w:pPr>
        <w:pStyle w:val="7"/>
        <w:rPr>
          <w:rFonts w:hint="eastAsia"/>
          <w:lang w:val="en-US" w:eastAsia="zh-CN"/>
        </w:rPr>
      </w:pPr>
      <w:r>
        <w:rPr>
          <w:rFonts w:hint="eastAsia" w:ascii="黑体" w:hAnsi="黑体" w:eastAsia="黑体" w:cs="黑体"/>
          <w:sz w:val="24"/>
          <w:szCs w:val="24"/>
          <w:lang w:eastAsia="zh-CN"/>
        </w:rPr>
        <w:t>按需方管理制度和要求进行到货验收；项目经验收通过后一次性结算与支付。</w:t>
      </w:r>
    </w:p>
    <w:sectPr>
      <w:footerReference r:id="rId5"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D1F9222A-0D00-4397-90B1-303B8EF8712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E27120AB-5D06-4C8E-AA13-4AD4F539E93E}"/>
  </w:font>
  <w:font w:name="微软雅黑">
    <w:panose1 w:val="020B0503020204020204"/>
    <w:charset w:val="86"/>
    <w:family w:val="auto"/>
    <w:pitch w:val="default"/>
    <w:sig w:usb0="80000287" w:usb1="2ACF3C50" w:usb2="00000016" w:usb3="00000000" w:csb0="0004001F" w:csb1="00000000"/>
  </w:font>
  <w:font w:name="方正小标宋_GBK">
    <w:panose1 w:val="03000509000000000000"/>
    <w:charset w:val="86"/>
    <w:family w:val="auto"/>
    <w:pitch w:val="default"/>
    <w:sig w:usb0="00000001" w:usb1="080E0000" w:usb2="00000000" w:usb3="00000000" w:csb0="00040000" w:csb1="00000000"/>
    <w:embedRegular r:id="rId3" w:fontKey="{CCF76761-6CA7-41AE-94EE-A54E8424D399}"/>
  </w:font>
  <w:font w:name="仿宋_GB2312">
    <w:panose1 w:val="02010609030101010101"/>
    <w:charset w:val="86"/>
    <w:family w:val="auto"/>
    <w:pitch w:val="default"/>
    <w:sig w:usb0="00000001" w:usb1="080E0000" w:usb2="00000000" w:usb3="00000000" w:csb0="00040000" w:csb1="00000000"/>
    <w:embedRegular r:id="rId4" w:fontKey="{F59E1AFC-9292-40C3-A2FD-88A8F1F17393}"/>
  </w:font>
  <w:font w:name="CESI_SS_GB18030">
    <w:altName w:val="宋体"/>
    <w:panose1 w:val="02000500000000000000"/>
    <w:charset w:val="86"/>
    <w:family w:val="auto"/>
    <w:pitch w:val="default"/>
    <w:sig w:usb0="00000000" w:usb1="00000000" w:usb2="00000016" w:usb3="00000000" w:csb0="0004000F" w:csb1="00000000"/>
    <w:embedRegular r:id="rId5" w:fontKey="{67DB7410-CBBF-44E3-A5A5-4A26496993E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8"/>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VmMWU1MmU3NWM3N2NmZTcyOGNjYzlhODkwMzEwOGMifQ=="/>
  </w:docVars>
  <w:rsids>
    <w:rsidRoot w:val="00172A27"/>
    <w:rsid w:val="00E33444"/>
    <w:rsid w:val="01422732"/>
    <w:rsid w:val="02223D56"/>
    <w:rsid w:val="02C350D2"/>
    <w:rsid w:val="033F1951"/>
    <w:rsid w:val="039C7E97"/>
    <w:rsid w:val="04506958"/>
    <w:rsid w:val="048B377C"/>
    <w:rsid w:val="062702A8"/>
    <w:rsid w:val="06C9422E"/>
    <w:rsid w:val="07406F39"/>
    <w:rsid w:val="0769037B"/>
    <w:rsid w:val="097035F9"/>
    <w:rsid w:val="09732F58"/>
    <w:rsid w:val="09BE4A8F"/>
    <w:rsid w:val="0A0C1573"/>
    <w:rsid w:val="0BB50C90"/>
    <w:rsid w:val="0D73132E"/>
    <w:rsid w:val="0DCB0476"/>
    <w:rsid w:val="0E7A51CD"/>
    <w:rsid w:val="0EE526EA"/>
    <w:rsid w:val="0EEF6D6E"/>
    <w:rsid w:val="0EF35F01"/>
    <w:rsid w:val="0F2E5DDF"/>
    <w:rsid w:val="102655E1"/>
    <w:rsid w:val="12BE5808"/>
    <w:rsid w:val="12CB30C7"/>
    <w:rsid w:val="13AA29C3"/>
    <w:rsid w:val="15914F7B"/>
    <w:rsid w:val="15A510A7"/>
    <w:rsid w:val="15EF0FCE"/>
    <w:rsid w:val="16124FC5"/>
    <w:rsid w:val="169D4817"/>
    <w:rsid w:val="16C9740F"/>
    <w:rsid w:val="171E4FDB"/>
    <w:rsid w:val="17231CAA"/>
    <w:rsid w:val="173043C7"/>
    <w:rsid w:val="17320A4C"/>
    <w:rsid w:val="1882698E"/>
    <w:rsid w:val="189D326A"/>
    <w:rsid w:val="18AB7130"/>
    <w:rsid w:val="19A928E0"/>
    <w:rsid w:val="1A1B7FC6"/>
    <w:rsid w:val="1A1E286B"/>
    <w:rsid w:val="1AD84D6E"/>
    <w:rsid w:val="1B087B35"/>
    <w:rsid w:val="1B5A7C65"/>
    <w:rsid w:val="1B7067BA"/>
    <w:rsid w:val="1B8B7D54"/>
    <w:rsid w:val="1BF65BDF"/>
    <w:rsid w:val="1C9F4679"/>
    <w:rsid w:val="1CFD76A5"/>
    <w:rsid w:val="1F1A1404"/>
    <w:rsid w:val="1F311F01"/>
    <w:rsid w:val="21374317"/>
    <w:rsid w:val="21722B2B"/>
    <w:rsid w:val="217B46FD"/>
    <w:rsid w:val="21851F92"/>
    <w:rsid w:val="21B300CF"/>
    <w:rsid w:val="24E67F93"/>
    <w:rsid w:val="256622E7"/>
    <w:rsid w:val="25795E86"/>
    <w:rsid w:val="26C3134B"/>
    <w:rsid w:val="2716696E"/>
    <w:rsid w:val="275A2466"/>
    <w:rsid w:val="284B72B3"/>
    <w:rsid w:val="288F5E9D"/>
    <w:rsid w:val="29365CAD"/>
    <w:rsid w:val="29AA01EA"/>
    <w:rsid w:val="2A0400B6"/>
    <w:rsid w:val="2A3740C8"/>
    <w:rsid w:val="2AAA1BA4"/>
    <w:rsid w:val="2AAF417D"/>
    <w:rsid w:val="2ACF41CB"/>
    <w:rsid w:val="2B131A7E"/>
    <w:rsid w:val="2B146C5A"/>
    <w:rsid w:val="2B8F2E4C"/>
    <w:rsid w:val="2BAF69DE"/>
    <w:rsid w:val="2E8D76D6"/>
    <w:rsid w:val="2F0A3A24"/>
    <w:rsid w:val="2F3B4EEB"/>
    <w:rsid w:val="2F867E16"/>
    <w:rsid w:val="30C10112"/>
    <w:rsid w:val="31CF5BCF"/>
    <w:rsid w:val="31E34D8C"/>
    <w:rsid w:val="32016DC1"/>
    <w:rsid w:val="32ED471A"/>
    <w:rsid w:val="337367C1"/>
    <w:rsid w:val="341C1B03"/>
    <w:rsid w:val="346E3EE9"/>
    <w:rsid w:val="35386C3E"/>
    <w:rsid w:val="361F1221"/>
    <w:rsid w:val="36944320"/>
    <w:rsid w:val="382755B1"/>
    <w:rsid w:val="3838207C"/>
    <w:rsid w:val="390C0398"/>
    <w:rsid w:val="394924CF"/>
    <w:rsid w:val="39B76556"/>
    <w:rsid w:val="39D53485"/>
    <w:rsid w:val="39E07284"/>
    <w:rsid w:val="39FC3121"/>
    <w:rsid w:val="3BCE2161"/>
    <w:rsid w:val="3C1020AE"/>
    <w:rsid w:val="3C174A4A"/>
    <w:rsid w:val="3CD14092"/>
    <w:rsid w:val="3D2077B5"/>
    <w:rsid w:val="3E4145DA"/>
    <w:rsid w:val="3E485E32"/>
    <w:rsid w:val="3E560401"/>
    <w:rsid w:val="3F15480B"/>
    <w:rsid w:val="3F6004F9"/>
    <w:rsid w:val="3F6A5E19"/>
    <w:rsid w:val="3F871796"/>
    <w:rsid w:val="3FE57098"/>
    <w:rsid w:val="40802243"/>
    <w:rsid w:val="40857B77"/>
    <w:rsid w:val="41480D2F"/>
    <w:rsid w:val="414975BC"/>
    <w:rsid w:val="4157061F"/>
    <w:rsid w:val="416A331D"/>
    <w:rsid w:val="427A5563"/>
    <w:rsid w:val="42C14F0B"/>
    <w:rsid w:val="43AF71D5"/>
    <w:rsid w:val="44F22B38"/>
    <w:rsid w:val="455B74FC"/>
    <w:rsid w:val="45B5636D"/>
    <w:rsid w:val="485E1E46"/>
    <w:rsid w:val="48A37E1F"/>
    <w:rsid w:val="48F61F9F"/>
    <w:rsid w:val="49647D77"/>
    <w:rsid w:val="49760C27"/>
    <w:rsid w:val="498176A7"/>
    <w:rsid w:val="49DE5771"/>
    <w:rsid w:val="4D175F8A"/>
    <w:rsid w:val="4D502B15"/>
    <w:rsid w:val="4D5D40FA"/>
    <w:rsid w:val="4E76382D"/>
    <w:rsid w:val="4EBE5040"/>
    <w:rsid w:val="4F8B1BBF"/>
    <w:rsid w:val="4FF02E34"/>
    <w:rsid w:val="50433BDF"/>
    <w:rsid w:val="50770396"/>
    <w:rsid w:val="50DA34CF"/>
    <w:rsid w:val="511366B1"/>
    <w:rsid w:val="51B52289"/>
    <w:rsid w:val="526B2842"/>
    <w:rsid w:val="536C331E"/>
    <w:rsid w:val="53E4465E"/>
    <w:rsid w:val="55393E6B"/>
    <w:rsid w:val="566B4385"/>
    <w:rsid w:val="57196B0A"/>
    <w:rsid w:val="582D0A07"/>
    <w:rsid w:val="59837DAB"/>
    <w:rsid w:val="59864AEC"/>
    <w:rsid w:val="59EA7E2A"/>
    <w:rsid w:val="5A53777D"/>
    <w:rsid w:val="5B17578F"/>
    <w:rsid w:val="5CC1509B"/>
    <w:rsid w:val="5CEF5C7C"/>
    <w:rsid w:val="5D656145"/>
    <w:rsid w:val="5D8E679F"/>
    <w:rsid w:val="5DA46C2D"/>
    <w:rsid w:val="5E7B7098"/>
    <w:rsid w:val="5EC6163E"/>
    <w:rsid w:val="60765F74"/>
    <w:rsid w:val="610E1B29"/>
    <w:rsid w:val="61A471A2"/>
    <w:rsid w:val="61F53312"/>
    <w:rsid w:val="620F042E"/>
    <w:rsid w:val="63140209"/>
    <w:rsid w:val="63D805B9"/>
    <w:rsid w:val="64EF75A6"/>
    <w:rsid w:val="6534761E"/>
    <w:rsid w:val="6569460E"/>
    <w:rsid w:val="65DC2D1D"/>
    <w:rsid w:val="664E3DBE"/>
    <w:rsid w:val="66B9772A"/>
    <w:rsid w:val="66F21AA4"/>
    <w:rsid w:val="6832131A"/>
    <w:rsid w:val="690F44C9"/>
    <w:rsid w:val="6B761D3E"/>
    <w:rsid w:val="6BB64299"/>
    <w:rsid w:val="6E3B205D"/>
    <w:rsid w:val="6E6901FB"/>
    <w:rsid w:val="6EE36ECA"/>
    <w:rsid w:val="6F491927"/>
    <w:rsid w:val="6F810491"/>
    <w:rsid w:val="705A407C"/>
    <w:rsid w:val="70F320AC"/>
    <w:rsid w:val="72E32531"/>
    <w:rsid w:val="74040EA5"/>
    <w:rsid w:val="740C5027"/>
    <w:rsid w:val="74604ED0"/>
    <w:rsid w:val="75BC5488"/>
    <w:rsid w:val="76050FAF"/>
    <w:rsid w:val="760A7538"/>
    <w:rsid w:val="768A6D70"/>
    <w:rsid w:val="77084C62"/>
    <w:rsid w:val="77AA4A6D"/>
    <w:rsid w:val="782868AB"/>
    <w:rsid w:val="784A3F46"/>
    <w:rsid w:val="78B95140"/>
    <w:rsid w:val="78BE391B"/>
    <w:rsid w:val="79337682"/>
    <w:rsid w:val="79C80AC1"/>
    <w:rsid w:val="79CA11DC"/>
    <w:rsid w:val="7A91206F"/>
    <w:rsid w:val="7A97447A"/>
    <w:rsid w:val="7B395012"/>
    <w:rsid w:val="7C386C10"/>
    <w:rsid w:val="7C79189C"/>
    <w:rsid w:val="7CA911FE"/>
    <w:rsid w:val="7E154B2B"/>
    <w:rsid w:val="7E4B3434"/>
    <w:rsid w:val="7EE36A72"/>
    <w:rsid w:val="7F5D4081"/>
    <w:rsid w:val="7F8675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400" w:lineRule="exact"/>
      <w:jc w:val="both"/>
    </w:pPr>
    <w:rPr>
      <w:rFonts w:ascii="Times New Roman" w:hAnsi="Times New Roman" w:eastAsia="宋体" w:cs="Times New Roman"/>
      <w:kern w:val="2"/>
      <w:sz w:val="24"/>
      <w:szCs w:val="22"/>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400" w:lineRule="exact"/>
      <w:outlineLvl w:val="0"/>
    </w:pPr>
    <w:rPr>
      <w:b/>
      <w:kern w:val="44"/>
      <w:sz w:val="30"/>
    </w:rPr>
  </w:style>
  <w:style w:type="paragraph" w:styleId="3">
    <w:name w:val="heading 2"/>
    <w:basedOn w:val="1"/>
    <w:next w:val="1"/>
    <w:unhideWhenUsed/>
    <w:qFormat/>
    <w:uiPriority w:val="0"/>
    <w:pPr>
      <w:keepNext/>
      <w:keepLines/>
      <w:spacing w:before="260" w:beforeLines="0" w:beforeAutospacing="0" w:after="260" w:afterLines="0" w:afterAutospacing="0" w:line="240" w:lineRule="auto"/>
      <w:outlineLvl w:val="1"/>
    </w:pPr>
    <w:rPr>
      <w:rFonts w:ascii="Arial" w:hAnsi="Arial" w:eastAsia="宋体"/>
      <w:b/>
      <w:sz w:val="25"/>
    </w:rPr>
  </w:style>
  <w:style w:type="paragraph" w:styleId="4">
    <w:name w:val="heading 3"/>
    <w:basedOn w:val="1"/>
    <w:next w:val="1"/>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5">
    <w:name w:val="annotation text"/>
    <w:basedOn w:val="1"/>
    <w:qFormat/>
    <w:uiPriority w:val="0"/>
    <w:pPr>
      <w:jc w:val="left"/>
    </w:pPr>
  </w:style>
  <w:style w:type="paragraph" w:styleId="6">
    <w:name w:val="Body Text"/>
    <w:basedOn w:val="1"/>
    <w:next w:val="7"/>
    <w:qFormat/>
    <w:uiPriority w:val="0"/>
    <w:pPr>
      <w:spacing w:after="120" w:afterLines="0" w:afterAutospacing="0"/>
    </w:pPr>
  </w:style>
  <w:style w:type="paragraph" w:styleId="7">
    <w:name w:val="Title"/>
    <w:basedOn w:val="1"/>
    <w:next w:val="1"/>
    <w:qFormat/>
    <w:uiPriority w:val="10"/>
    <w:pPr>
      <w:spacing w:before="240" w:beforeLines="0" w:beforeAutospacing="0" w:after="60" w:afterLines="0" w:afterAutospacing="0"/>
      <w:jc w:val="center"/>
      <w:outlineLvl w:val="0"/>
    </w:pPr>
    <w:rPr>
      <w:rFonts w:ascii="Arial" w:hAnsi="Arial"/>
      <w:b/>
      <w:sz w:val="32"/>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0">
    <w:name w:val="Normal (Web)"/>
    <w:basedOn w:val="1"/>
    <w:qFormat/>
    <w:uiPriority w:val="0"/>
    <w:pPr>
      <w:spacing w:before="0" w:beforeAutospacing="1" w:after="0" w:afterAutospacing="1"/>
      <w:ind w:left="0" w:right="0"/>
      <w:jc w:val="left"/>
    </w:pPr>
    <w:rPr>
      <w:kern w:val="0"/>
      <w:sz w:val="24"/>
      <w:lang w:val="en-US" w:eastAsia="zh-CN" w:bidi="ar"/>
    </w:rPr>
  </w:style>
  <w:style w:type="table" w:styleId="12">
    <w:name w:val="Table Grid"/>
    <w:basedOn w:val="11"/>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Strong"/>
    <w:basedOn w:val="13"/>
    <w:qFormat/>
    <w:uiPriority w:val="0"/>
    <w:rPr>
      <w:b/>
    </w:rPr>
  </w:style>
  <w:style w:type="character" w:customStyle="1" w:styleId="15">
    <w:name w:val="font11"/>
    <w:basedOn w:val="13"/>
    <w:qFormat/>
    <w:uiPriority w:val="0"/>
    <w:rPr>
      <w:rFonts w:hint="default" w:ascii="Arial" w:hAnsi="Arial" w:cs="Arial"/>
      <w:color w:val="000000"/>
      <w:sz w:val="22"/>
      <w:szCs w:val="22"/>
      <w:u w:val="none"/>
    </w:rPr>
  </w:style>
  <w:style w:type="character" w:customStyle="1" w:styleId="16">
    <w:name w:val="font01"/>
    <w:basedOn w:val="13"/>
    <w:qFormat/>
    <w:uiPriority w:val="0"/>
    <w:rPr>
      <w:rFonts w:ascii="微软雅黑" w:hAnsi="微软雅黑" w:eastAsia="微软雅黑" w:cs="微软雅黑"/>
      <w:color w:val="000000"/>
      <w:sz w:val="22"/>
      <w:szCs w:val="22"/>
      <w:u w:val="none"/>
    </w:rPr>
  </w:style>
  <w:style w:type="paragraph" w:customStyle="1" w:styleId="17">
    <w:name w:val="列出段落1"/>
    <w:basedOn w:val="1"/>
    <w:qFormat/>
    <w:uiPriority w:val="34"/>
    <w:pPr>
      <w:widowControl/>
      <w:spacing w:line="360" w:lineRule="auto"/>
      <w:ind w:firstLine="420" w:firstLineChars="200"/>
    </w:pPr>
    <w:rPr>
      <w:rFonts w:ascii="Calibri" w:hAnsi="Calibri"/>
      <w:kern w:val="0"/>
      <w:sz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891</Words>
  <Characters>920</Characters>
  <Lines>0</Lines>
  <Paragraphs>0</Paragraphs>
  <TotalTime>1</TotalTime>
  <ScaleCrop>false</ScaleCrop>
  <LinksUpToDate>false</LinksUpToDate>
  <CharactersWithSpaces>932</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2024-09-09T06:04:00Z</dcterms:created>
  <dc:creator>刘伟</dc:creator>
  <cp:lastModifiedBy>吴张炜</cp:lastModifiedBy>
  <cp:lastPrinted>2025-03-06T07:46:00Z</cp:lastPrinted>
  <dcterms:modified xsi:type="dcterms:W3CDTF">2026-10-16T03:44:14Z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5E8BC582237C4ACB9E5D86341061F2BA</vt:lpwstr>
  </property>
  <property fmtid="{D5CDD505-2E9C-101B-9397-08002B2CF9AE}" pid="4" name="KSOTemplateDocerSaveRecord">
    <vt:lpwstr>eyJoZGlkIjoiNTVlYmM4YWE3Zjk1MzI2MGViMWRiNDY4ZmZkMjRkYzgiLCJ1c2VySWQiOiIxMzA3Nzc3NjY2In0=</vt:lpwstr>
  </property>
</Properties>
</file>