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eastAsia="仿宋" w:cs="仿宋"/>
          <w:b/>
          <w:sz w:val="44"/>
          <w:szCs w:val="44"/>
        </w:rPr>
      </w:pPr>
      <w:bookmarkStart w:id="0" w:name="OLE_LINK1"/>
      <w:bookmarkStart w:id="1" w:name="OLE_LINK2"/>
    </w:p>
    <w:p>
      <w:pPr>
        <w:spacing w:line="360" w:lineRule="auto"/>
        <w:jc w:val="center"/>
        <w:rPr>
          <w:rFonts w:hint="eastAsia" w:ascii="仿宋" w:hAnsi="仿宋" w:eastAsia="仿宋" w:cs="仿宋"/>
          <w:b/>
          <w:sz w:val="44"/>
          <w:szCs w:val="44"/>
        </w:rPr>
      </w:pPr>
    </w:p>
    <w:p>
      <w:pPr>
        <w:autoSpaceDE w:val="0"/>
        <w:autoSpaceDN w:val="0"/>
        <w:adjustRightInd w:val="0"/>
        <w:jc w:val="center"/>
        <w:rPr>
          <w:rFonts w:ascii="黑体" w:hAnsi="黑体" w:eastAsia="黑体" w:cs="黑体"/>
          <w:b/>
          <w:kern w:val="0"/>
          <w:sz w:val="44"/>
          <w:szCs w:val="28"/>
        </w:rPr>
      </w:pPr>
    </w:p>
    <w:p>
      <w:pPr>
        <w:autoSpaceDE w:val="0"/>
        <w:autoSpaceDN w:val="0"/>
        <w:adjustRightInd w:val="0"/>
        <w:jc w:val="center"/>
        <w:rPr>
          <w:rFonts w:ascii="黑体" w:hAnsi="黑体" w:eastAsia="黑体" w:cs="黑体"/>
          <w:b/>
          <w:kern w:val="0"/>
          <w:sz w:val="44"/>
          <w:szCs w:val="28"/>
        </w:rPr>
      </w:pPr>
    </w:p>
    <w:p>
      <w:pPr>
        <w:autoSpaceDE w:val="0"/>
        <w:autoSpaceDN w:val="0"/>
        <w:adjustRightInd w:val="0"/>
        <w:jc w:val="center"/>
        <w:rPr>
          <w:rFonts w:hint="default" w:ascii="黑体" w:hAnsi="黑体" w:eastAsia="黑体" w:cs="黑体"/>
          <w:b/>
          <w:kern w:val="0"/>
          <w:sz w:val="44"/>
          <w:szCs w:val="44"/>
          <w:lang w:val="en-US" w:eastAsia="zh-CN"/>
        </w:rPr>
      </w:pPr>
      <w:r>
        <w:rPr>
          <w:rFonts w:hint="eastAsia" w:ascii="黑体" w:hAnsi="黑体" w:eastAsia="黑体" w:cs="黑体"/>
          <w:b/>
          <w:kern w:val="0"/>
          <w:sz w:val="44"/>
          <w:szCs w:val="28"/>
        </w:rPr>
        <w:t xml:space="preserve"> </w:t>
      </w:r>
      <w:bookmarkStart w:id="2" w:name="OLE_LINK5"/>
      <w:r>
        <w:rPr>
          <w:rFonts w:hint="eastAsia" w:ascii="仿宋" w:hAnsi="仿宋" w:eastAsia="仿宋" w:cs="仿宋"/>
          <w:b/>
          <w:sz w:val="44"/>
          <w:szCs w:val="44"/>
        </w:rPr>
        <w:t>广西电网能源科技有限责任公司开展战新业务投入产出穿透式管控课题项目</w:t>
      </w:r>
      <w:r>
        <w:rPr>
          <w:rFonts w:hint="eastAsia" w:ascii="仿宋" w:hAnsi="仿宋" w:eastAsia="仿宋" w:cs="仿宋"/>
          <w:b/>
          <w:sz w:val="44"/>
          <w:szCs w:val="44"/>
        </w:rPr>
        <w:br w:type="textWrapping"/>
      </w:r>
      <w:r>
        <w:rPr>
          <w:rFonts w:hint="eastAsia" w:ascii="仿宋" w:hAnsi="仿宋" w:eastAsia="仿宋" w:cs="仿宋"/>
          <w:b/>
          <w:sz w:val="44"/>
          <w:szCs w:val="44"/>
        </w:rPr>
        <w:t>研究咨询服务项目</w:t>
      </w:r>
    </w:p>
    <w:bookmarkEnd w:id="2"/>
    <w:p>
      <w:pPr>
        <w:autoSpaceDE w:val="0"/>
        <w:autoSpaceDN w:val="0"/>
        <w:adjustRightInd w:val="0"/>
        <w:jc w:val="center"/>
        <w:rPr>
          <w:rFonts w:ascii="黑体" w:hAnsi="黑体" w:eastAsia="黑体" w:cs="黑体"/>
          <w:kern w:val="0"/>
          <w:sz w:val="44"/>
          <w:szCs w:val="44"/>
        </w:rPr>
      </w:pPr>
    </w:p>
    <w:p>
      <w:pPr>
        <w:autoSpaceDE w:val="0"/>
        <w:autoSpaceDN w:val="0"/>
        <w:adjustRightInd w:val="0"/>
        <w:jc w:val="center"/>
        <w:rPr>
          <w:rFonts w:ascii="黑体" w:hAnsi="黑体" w:eastAsia="黑体" w:cs="黑体"/>
          <w:kern w:val="0"/>
          <w:sz w:val="28"/>
          <w:szCs w:val="28"/>
        </w:rPr>
      </w:pPr>
    </w:p>
    <w:p>
      <w:pPr>
        <w:autoSpaceDE w:val="0"/>
        <w:autoSpaceDN w:val="0"/>
        <w:adjustRightInd w:val="0"/>
        <w:jc w:val="center"/>
        <w:rPr>
          <w:rFonts w:ascii="黑体" w:hAnsi="黑体" w:eastAsia="黑体" w:cs="黑体"/>
          <w:kern w:val="0"/>
          <w:sz w:val="44"/>
          <w:szCs w:val="44"/>
        </w:rPr>
      </w:pPr>
    </w:p>
    <w:p>
      <w:pPr>
        <w:autoSpaceDE w:val="0"/>
        <w:autoSpaceDN w:val="0"/>
        <w:adjustRightInd w:val="0"/>
        <w:jc w:val="center"/>
        <w:rPr>
          <w:rFonts w:hint="eastAsia" w:ascii="黑体" w:hAnsi="黑体" w:eastAsia="黑体" w:cs="黑体"/>
          <w:kern w:val="0"/>
          <w:sz w:val="32"/>
          <w:szCs w:val="32"/>
        </w:rPr>
      </w:pPr>
    </w:p>
    <w:p>
      <w:pPr>
        <w:autoSpaceDE w:val="0"/>
        <w:autoSpaceDN w:val="0"/>
        <w:adjustRightInd w:val="0"/>
        <w:jc w:val="center"/>
        <w:rPr>
          <w:rFonts w:ascii="黑体" w:hAnsi="黑体" w:eastAsia="黑体" w:cs="黑体"/>
          <w:kern w:val="0"/>
          <w:sz w:val="32"/>
          <w:szCs w:val="32"/>
        </w:rPr>
      </w:pPr>
    </w:p>
    <w:p>
      <w:pPr>
        <w:jc w:val="center"/>
        <w:rPr>
          <w:rFonts w:ascii="黑体" w:hAnsi="黑体" w:eastAsia="黑体"/>
          <w:b/>
          <w:sz w:val="48"/>
          <w:szCs w:val="48"/>
        </w:rPr>
      </w:pPr>
      <w:r>
        <w:rPr>
          <w:rFonts w:hint="eastAsia" w:ascii="黑体" w:hAnsi="黑体" w:eastAsia="黑体"/>
          <w:b/>
          <w:sz w:val="48"/>
          <w:szCs w:val="48"/>
        </w:rPr>
        <w:t>（技术要求）</w:t>
      </w:r>
    </w:p>
    <w:p>
      <w:pPr>
        <w:autoSpaceDE w:val="0"/>
        <w:autoSpaceDN w:val="0"/>
        <w:adjustRightInd w:val="0"/>
        <w:jc w:val="center"/>
        <w:rPr>
          <w:rFonts w:ascii="黑体" w:hAnsi="黑体" w:eastAsia="黑体" w:cs="黑体"/>
          <w:kern w:val="0"/>
          <w:sz w:val="44"/>
          <w:szCs w:val="44"/>
        </w:rPr>
      </w:pPr>
    </w:p>
    <w:p>
      <w:pPr>
        <w:autoSpaceDE w:val="0"/>
        <w:autoSpaceDN w:val="0"/>
        <w:adjustRightInd w:val="0"/>
        <w:jc w:val="center"/>
        <w:rPr>
          <w:rFonts w:ascii="黑体" w:hAnsi="黑体" w:eastAsia="黑体" w:cs="黑体"/>
          <w:kern w:val="0"/>
          <w:sz w:val="44"/>
          <w:szCs w:val="44"/>
        </w:rPr>
      </w:pPr>
    </w:p>
    <w:p>
      <w:pPr>
        <w:autoSpaceDE w:val="0"/>
        <w:autoSpaceDN w:val="0"/>
        <w:adjustRightInd w:val="0"/>
        <w:jc w:val="center"/>
        <w:rPr>
          <w:rFonts w:ascii="黑体" w:hAnsi="黑体" w:eastAsia="黑体" w:cs="黑体"/>
          <w:kern w:val="0"/>
          <w:sz w:val="44"/>
          <w:szCs w:val="44"/>
        </w:rPr>
      </w:pPr>
    </w:p>
    <w:p>
      <w:pPr>
        <w:autoSpaceDE w:val="0"/>
        <w:autoSpaceDN w:val="0"/>
        <w:adjustRightInd w:val="0"/>
        <w:jc w:val="center"/>
        <w:rPr>
          <w:rFonts w:ascii="黑体" w:hAnsi="黑体" w:eastAsia="黑体" w:cs="黑体"/>
          <w:kern w:val="0"/>
          <w:sz w:val="44"/>
          <w:szCs w:val="44"/>
        </w:rPr>
      </w:pPr>
    </w:p>
    <w:p>
      <w:pPr>
        <w:autoSpaceDE w:val="0"/>
        <w:autoSpaceDN w:val="0"/>
        <w:adjustRightInd w:val="0"/>
        <w:jc w:val="center"/>
        <w:rPr>
          <w:rFonts w:ascii="黑体" w:hAnsi="黑体" w:eastAsia="黑体" w:cs="黑体"/>
          <w:kern w:val="0"/>
          <w:sz w:val="44"/>
          <w:szCs w:val="44"/>
        </w:rPr>
      </w:pPr>
    </w:p>
    <w:p>
      <w:pPr>
        <w:autoSpaceDE w:val="0"/>
        <w:autoSpaceDN w:val="0"/>
        <w:adjustRightInd w:val="0"/>
        <w:jc w:val="center"/>
        <w:rPr>
          <w:rFonts w:ascii="黑体" w:hAnsi="黑体" w:eastAsia="黑体" w:cs="黑体"/>
          <w:kern w:val="0"/>
          <w:sz w:val="44"/>
          <w:szCs w:val="44"/>
        </w:rPr>
      </w:pPr>
    </w:p>
    <w:p>
      <w:pPr>
        <w:autoSpaceDE w:val="0"/>
        <w:autoSpaceDN w:val="0"/>
        <w:adjustRightInd w:val="0"/>
        <w:jc w:val="center"/>
        <w:rPr>
          <w:rFonts w:hint="default" w:ascii="黑体" w:hAnsi="黑体" w:eastAsia="黑体" w:cs="黑体"/>
          <w:kern w:val="0"/>
          <w:sz w:val="28"/>
          <w:szCs w:val="28"/>
          <w:lang w:val="en-US" w:eastAsia="zh-CN"/>
        </w:rPr>
      </w:pPr>
      <w:r>
        <w:rPr>
          <w:rFonts w:hint="eastAsia" w:ascii="黑体" w:hAnsi="黑体" w:eastAsia="黑体" w:cs="黑体"/>
          <w:kern w:val="0"/>
          <w:sz w:val="28"/>
          <w:szCs w:val="28"/>
        </w:rPr>
        <w:t xml:space="preserve"> 广西</w:t>
      </w:r>
      <w:r>
        <w:rPr>
          <w:rFonts w:hint="eastAsia" w:ascii="黑体" w:hAnsi="黑体" w:eastAsia="黑体" w:cs="黑体"/>
          <w:kern w:val="0"/>
          <w:sz w:val="28"/>
          <w:szCs w:val="28"/>
          <w:lang w:val="en-US" w:eastAsia="zh-CN"/>
        </w:rPr>
        <w:t>电网有限责任公司</w:t>
      </w:r>
    </w:p>
    <w:p>
      <w:pPr>
        <w:autoSpaceDE w:val="0"/>
        <w:autoSpaceDN w:val="0"/>
        <w:adjustRightInd w:val="0"/>
        <w:jc w:val="center"/>
        <w:rPr>
          <w:rFonts w:ascii="黑体" w:hAnsi="黑体" w:eastAsia="黑体" w:cs="黑体"/>
          <w:kern w:val="0"/>
          <w:sz w:val="28"/>
          <w:szCs w:val="28"/>
        </w:rPr>
      </w:pPr>
      <w:r>
        <w:rPr>
          <w:rFonts w:hint="eastAsia" w:ascii="黑体" w:hAnsi="黑体" w:eastAsia="黑体" w:cs="黑体"/>
          <w:kern w:val="0"/>
          <w:sz w:val="28"/>
          <w:szCs w:val="28"/>
        </w:rPr>
        <w:t xml:space="preserve"> </w:t>
      </w:r>
      <w:r>
        <w:rPr>
          <w:rFonts w:hint="eastAsia" w:ascii="黑体" w:hAnsi="黑体" w:eastAsia="黑体" w:cs="黑体"/>
          <w:kern w:val="0"/>
          <w:sz w:val="28"/>
          <w:szCs w:val="28"/>
          <w:lang w:val="en-US" w:eastAsia="zh-CN"/>
        </w:rPr>
        <w:t>2026</w:t>
      </w:r>
      <w:r>
        <w:rPr>
          <w:rFonts w:hint="eastAsia" w:ascii="黑体" w:hAnsi="黑体" w:eastAsia="黑体" w:cs="黑体"/>
          <w:kern w:val="0"/>
          <w:sz w:val="28"/>
          <w:szCs w:val="28"/>
        </w:rPr>
        <w:t>年</w:t>
      </w:r>
      <w:r>
        <w:rPr>
          <w:rFonts w:hint="eastAsia" w:ascii="黑体" w:hAnsi="黑体" w:eastAsia="黑体" w:cs="黑体"/>
          <w:kern w:val="0"/>
          <w:sz w:val="28"/>
          <w:szCs w:val="28"/>
          <w:lang w:val="en-US" w:eastAsia="zh-CN"/>
        </w:rPr>
        <w:t>10</w:t>
      </w:r>
      <w:r>
        <w:rPr>
          <w:rFonts w:hint="eastAsia" w:ascii="黑体" w:hAnsi="黑体" w:eastAsia="黑体" w:cs="黑体"/>
          <w:kern w:val="0"/>
          <w:sz w:val="28"/>
          <w:szCs w:val="28"/>
        </w:rPr>
        <w:t>月</w:t>
      </w:r>
    </w:p>
    <w:p>
      <w:pPr>
        <w:spacing w:line="360" w:lineRule="auto"/>
        <w:jc w:val="center"/>
        <w:rPr>
          <w:rFonts w:hint="eastAsia" w:ascii="仿宋" w:hAnsi="仿宋" w:eastAsia="仿宋" w:cs="仿宋"/>
          <w:b/>
          <w:sz w:val="44"/>
          <w:szCs w:val="44"/>
        </w:rPr>
      </w:pPr>
    </w:p>
    <w:bookmarkEnd w:id="0"/>
    <w:bookmarkEnd w:id="1"/>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b/>
          <w:bCs/>
          <w:sz w:val="32"/>
          <w:szCs w:val="3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一、项目立项背景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rPr>
        <w:t>根据国务院国资委近年推动中央企业建立全级次、全链条、全过程的穿透式监管体系，要求以数字化手段实现业务链路的可追溯、可核对、可预警。同时网公司印发《关于深化新时代新征程南方电网公司青年创新创效活动的实施方案》，要求组织动员广大青年立足岗位开展创新创效、以课题研究和成果竞赛激发青年创新活力。在此背景下，</w:t>
      </w:r>
      <w:r>
        <w:rPr>
          <w:rFonts w:hint="eastAsia" w:ascii="仿宋_GB2312" w:hAnsi="仿宋_GB2312" w:eastAsia="仿宋_GB2312" w:cs="仿宋_GB2312"/>
          <w:sz w:val="32"/>
          <w:szCs w:val="32"/>
          <w:lang w:val="en-US" w:eastAsia="zh-CN"/>
        </w:rPr>
        <w:t>能科公司基本自身战新业务实际情况，开展对应课题研究。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二、任务内容和要求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本课题旨在全面提升能科战新业务投入产出的管控水平，服务内容涵盖调研诊断、理论构建、实证研究及成效评估四大核心环节。选定的中介咨询机构的服务内容包括：</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一是通过资料收集与研讨会形式，深入调研组织制度、流程指标及信息化平台现状，精准识别战新业务投入产出管控痛点和堵点；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是结合政策文献与行业前沿，明确战新业务穿透式管理的总体思路和方向，研究解决管控痛点和堵点的方式方法，进一步细化和完善目标、业务及风险穿透链路，总结数字化平台功能背后的赋能方式，提炼战新业务投入产出穿透式管控的机制和亮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三是量化评估穿透式管控实施后的成果成效，为后续推广确立目标基准；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四是协助完成公司2026年青年创新创效创意比赛及中电联财经专委会论文征集的相关资料填报工作，助力财务更好服务公司经营管理。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三、服务期限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自合同签订之日起至2026年12月30日止。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四、成果要求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1.广西电网公司2026年青年创新创效创意大赛申报书；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2.中电联征集财经论文、案例；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3.其他契合本主题和内容、修改幅度较小的评比。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备注：响应人提交的工作成果文件的知识产权和其他财产权益全部归属于采购人，未经采购人事先书面同意，响应人不得将该工作成果应用于其他项目。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bCs/>
          <w:sz w:val="32"/>
          <w:szCs w:val="32"/>
          <w:highlight w:val="none"/>
          <w:lang w:val="en-US" w:eastAsia="zh-CN"/>
        </w:rPr>
      </w:pPr>
      <w:r>
        <w:rPr>
          <w:rFonts w:hint="eastAsia" w:ascii="黑体" w:hAnsi="黑体" w:eastAsia="黑体" w:cs="黑体"/>
          <w:b/>
          <w:bCs/>
          <w:sz w:val="32"/>
          <w:szCs w:val="32"/>
          <w:highlight w:val="none"/>
          <w:lang w:val="en-US" w:eastAsia="zh-CN"/>
        </w:rPr>
        <w:t>六、保密要求</w:t>
      </w:r>
    </w:p>
    <w:p>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（一）</w:t>
      </w:r>
      <w:r>
        <w:rPr>
          <w:rFonts w:hint="eastAsia" w:ascii="仿宋_GB2312" w:hAnsi="仿宋_GB2312" w:eastAsia="仿宋_GB2312" w:cs="仿宋_GB2312"/>
          <w:color w:val="auto"/>
          <w:sz w:val="32"/>
          <w:szCs w:val="32"/>
          <w:highlight w:val="none"/>
          <w:lang w:eastAsia="zh-CN"/>
        </w:rPr>
        <w:t>合同</w:t>
      </w:r>
      <w:r>
        <w:rPr>
          <w:rFonts w:hint="eastAsia" w:ascii="仿宋_GB2312" w:hAnsi="仿宋_GB2312" w:eastAsia="仿宋_GB2312" w:cs="仿宋_GB2312"/>
          <w:color w:val="auto"/>
          <w:sz w:val="32"/>
          <w:szCs w:val="32"/>
          <w:highlight w:val="none"/>
        </w:rPr>
        <w:t>双方保证对在履行合同过程中所获悉的属于对方的商业秘密、技术秘密和其他经营管理信息、技术信息等予以保密。未经任何一方事先书面同意，另一方不得以任何方式不当地使用或向任何第三方泄露。但如相关政府部门或监管机构依法律法规要求披露相关保密信息的，任何一方可在法律法规规定的范围内做出披露而无需承担本合同项下的责任，但应就其所作出的披露行为及时告知对方。</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color w:val="auto"/>
          <w:sz w:val="32"/>
          <w:szCs w:val="32"/>
          <w:highlight w:val="none"/>
        </w:rPr>
      </w:pPr>
      <w:bookmarkStart w:id="3" w:name="_GoBack"/>
      <w:bookmarkEnd w:id="3"/>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rPr>
        <w:t>因</w:t>
      </w:r>
      <w:r>
        <w:rPr>
          <w:rFonts w:hint="eastAsia" w:ascii="仿宋_GB2312" w:hAnsi="仿宋_GB2312" w:eastAsia="仿宋_GB2312" w:cs="仿宋_GB2312"/>
          <w:color w:val="auto"/>
          <w:sz w:val="32"/>
          <w:szCs w:val="32"/>
          <w:highlight w:val="none"/>
          <w:lang w:eastAsia="zh-CN"/>
        </w:rPr>
        <w:t>任何一</w:t>
      </w:r>
      <w:r>
        <w:rPr>
          <w:rFonts w:hint="eastAsia" w:ascii="仿宋_GB2312" w:hAnsi="仿宋_GB2312" w:eastAsia="仿宋_GB2312" w:cs="仿宋_GB2312"/>
          <w:color w:val="auto"/>
          <w:sz w:val="32"/>
          <w:szCs w:val="32"/>
          <w:highlight w:val="none"/>
        </w:rPr>
        <w:t>方原因造成</w:t>
      </w:r>
      <w:r>
        <w:rPr>
          <w:rFonts w:hint="eastAsia" w:ascii="仿宋_GB2312" w:hAnsi="仿宋_GB2312" w:eastAsia="仿宋_GB2312" w:cs="仿宋_GB2312"/>
          <w:color w:val="auto"/>
          <w:sz w:val="32"/>
          <w:szCs w:val="32"/>
          <w:highlight w:val="none"/>
          <w:lang w:eastAsia="zh-CN"/>
        </w:rPr>
        <w:t>对</w:t>
      </w:r>
      <w:r>
        <w:rPr>
          <w:rFonts w:hint="eastAsia" w:ascii="仿宋_GB2312" w:hAnsi="仿宋_GB2312" w:eastAsia="仿宋_GB2312" w:cs="仿宋_GB2312"/>
          <w:color w:val="auto"/>
          <w:sz w:val="32"/>
          <w:szCs w:val="32"/>
          <w:highlight w:val="none"/>
        </w:rPr>
        <w:t>方保密信息泄露的，</w:t>
      </w:r>
      <w:r>
        <w:rPr>
          <w:rFonts w:hint="eastAsia" w:ascii="仿宋_GB2312" w:hAnsi="仿宋_GB2312" w:eastAsia="仿宋_GB2312" w:cs="仿宋_GB2312"/>
          <w:color w:val="auto"/>
          <w:sz w:val="32"/>
          <w:szCs w:val="32"/>
          <w:highlight w:val="none"/>
          <w:lang w:eastAsia="zh-CN"/>
        </w:rPr>
        <w:t>守约</w:t>
      </w:r>
      <w:r>
        <w:rPr>
          <w:rFonts w:hint="eastAsia" w:ascii="仿宋_GB2312" w:hAnsi="仿宋_GB2312" w:eastAsia="仿宋_GB2312" w:cs="仿宋_GB2312"/>
          <w:color w:val="auto"/>
          <w:sz w:val="32"/>
          <w:szCs w:val="32"/>
          <w:highlight w:val="none"/>
        </w:rPr>
        <w:t>方有权要求</w:t>
      </w:r>
      <w:r>
        <w:rPr>
          <w:rFonts w:hint="eastAsia" w:ascii="仿宋_GB2312" w:hAnsi="仿宋_GB2312" w:eastAsia="仿宋_GB2312" w:cs="仿宋_GB2312"/>
          <w:color w:val="auto"/>
          <w:sz w:val="32"/>
          <w:szCs w:val="32"/>
          <w:highlight w:val="none"/>
          <w:lang w:eastAsia="zh-CN"/>
        </w:rPr>
        <w:t>违约</w:t>
      </w:r>
      <w:r>
        <w:rPr>
          <w:rFonts w:hint="eastAsia" w:ascii="仿宋_GB2312" w:hAnsi="仿宋_GB2312" w:eastAsia="仿宋_GB2312" w:cs="仿宋_GB2312"/>
          <w:color w:val="auto"/>
          <w:sz w:val="32"/>
          <w:szCs w:val="32"/>
          <w:highlight w:val="none"/>
        </w:rPr>
        <w:t>方支付违约金，</w:t>
      </w:r>
      <w:r>
        <w:rPr>
          <w:rFonts w:hint="eastAsia" w:ascii="仿宋_GB2312" w:hAnsi="仿宋_GB2312" w:eastAsia="仿宋_GB2312" w:cs="仿宋_GB2312"/>
          <w:color w:val="auto"/>
          <w:sz w:val="32"/>
          <w:szCs w:val="32"/>
          <w:highlight w:val="none"/>
          <w:lang w:val="en-US" w:eastAsia="zh-CN"/>
        </w:rPr>
        <w:t>违约金额不足以赔偿守约方实际损失的</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违约方应予以补足</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七、安全生产要求</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须重视并加强安全生产工作，遵守</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的规章管理制度，接受</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的安全生产监督管理。在服务履行期间，</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的服务人员发生人身伤亡、疾病或其他意外事件概由</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自行承担赔偿责任，与</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无关。</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（二）响应人保证与其指派的服务人员签订劳动合同或劳务合同，明确双方权利义务，并由响应人负责支付提供服务的专家的一切费用，包括</w:t>
      </w:r>
      <w:r>
        <w:rPr>
          <w:rFonts w:hint="eastAsia" w:ascii="仿宋_GB2312" w:hAnsi="仿宋_GB2312" w:eastAsia="仿宋_GB2312" w:cs="仿宋_GB2312"/>
          <w:color w:val="auto"/>
          <w:sz w:val="32"/>
          <w:szCs w:val="32"/>
          <w:highlight w:val="none"/>
        </w:rPr>
        <w:t>为</w:t>
      </w:r>
      <w:r>
        <w:rPr>
          <w:rFonts w:hint="eastAsia" w:ascii="仿宋_GB2312" w:hAnsi="仿宋_GB2312" w:eastAsia="仿宋_GB2312" w:cs="仿宋_GB2312"/>
          <w:color w:val="auto"/>
          <w:sz w:val="32"/>
          <w:szCs w:val="32"/>
          <w:highlight w:val="none"/>
          <w:lang w:val="en-US" w:eastAsia="zh-CN"/>
        </w:rPr>
        <w:t>服务人员购买社会保险、人身意外保险以及</w:t>
      </w:r>
      <w:r>
        <w:rPr>
          <w:rFonts w:hint="eastAsia" w:ascii="仿宋_GB2312" w:hAnsi="仿宋_GB2312" w:eastAsia="仿宋_GB2312" w:cs="仿宋_GB2312"/>
          <w:color w:val="auto"/>
          <w:sz w:val="32"/>
          <w:szCs w:val="32"/>
          <w:highlight w:val="none"/>
        </w:rPr>
        <w:t>劳保用品等</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default" w:hAnsi="宋体"/>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hZDY0OGM1ZDgxZTA2YjA3OThkYTQyYTRkOTJhZGYifQ=="/>
    <w:docVar w:name="KSO_WPS_MARK_KEY" w:val="4655f5ed-6cbf-42a0-8852-73c463795b6d"/>
  </w:docVars>
  <w:rsids>
    <w:rsidRoot w:val="00032C1F"/>
    <w:rsid w:val="00032C1F"/>
    <w:rsid w:val="00110CEA"/>
    <w:rsid w:val="002749C0"/>
    <w:rsid w:val="00A15A06"/>
    <w:rsid w:val="00EB73F7"/>
    <w:rsid w:val="00F3155E"/>
    <w:rsid w:val="029B1AB0"/>
    <w:rsid w:val="03106FF0"/>
    <w:rsid w:val="079D69B7"/>
    <w:rsid w:val="0C922E30"/>
    <w:rsid w:val="0EAE0F94"/>
    <w:rsid w:val="101533B9"/>
    <w:rsid w:val="10597958"/>
    <w:rsid w:val="123A29F6"/>
    <w:rsid w:val="17EE6ED4"/>
    <w:rsid w:val="1B9262CF"/>
    <w:rsid w:val="1BAF3475"/>
    <w:rsid w:val="209D7B1F"/>
    <w:rsid w:val="2C5A7CEC"/>
    <w:rsid w:val="37895744"/>
    <w:rsid w:val="40612FAD"/>
    <w:rsid w:val="411F5816"/>
    <w:rsid w:val="4247794A"/>
    <w:rsid w:val="427023E7"/>
    <w:rsid w:val="46813AB7"/>
    <w:rsid w:val="469A0B47"/>
    <w:rsid w:val="473B5B14"/>
    <w:rsid w:val="47D15ED8"/>
    <w:rsid w:val="4A190858"/>
    <w:rsid w:val="4A725F93"/>
    <w:rsid w:val="4F1214D6"/>
    <w:rsid w:val="5313020D"/>
    <w:rsid w:val="552A69FF"/>
    <w:rsid w:val="583C5DBB"/>
    <w:rsid w:val="5C0852E0"/>
    <w:rsid w:val="5D7955C6"/>
    <w:rsid w:val="5D881587"/>
    <w:rsid w:val="5DB563D0"/>
    <w:rsid w:val="5FD566B0"/>
    <w:rsid w:val="649C41FC"/>
    <w:rsid w:val="68B404A9"/>
    <w:rsid w:val="6BAB1D6F"/>
    <w:rsid w:val="71D91092"/>
    <w:rsid w:val="737B5940"/>
    <w:rsid w:val="75AD1FE0"/>
    <w:rsid w:val="766449C8"/>
    <w:rsid w:val="76FC4A12"/>
    <w:rsid w:val="779E49CD"/>
    <w:rsid w:val="78CD43B2"/>
    <w:rsid w:val="7B567A6A"/>
    <w:rsid w:val="7BB141BB"/>
    <w:rsid w:val="7FF05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imes New Roman"/>
      <w:kern w:val="2"/>
      <w:sz w:val="24"/>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Indent"/>
    <w:basedOn w:val="1"/>
    <w:qFormat/>
    <w:uiPriority w:val="0"/>
    <w:pPr>
      <w:spacing w:line="440" w:lineRule="exact"/>
      <w:ind w:firstLine="538"/>
    </w:pPr>
  </w:style>
  <w:style w:type="paragraph" w:styleId="4">
    <w:name w:val="header"/>
    <w:basedOn w:val="1"/>
    <w:qFormat/>
    <w:uiPriority w:val="0"/>
    <w:pPr>
      <w:pBdr>
        <w:bottom w:val="single" w:color="auto" w:sz="6" w:space="1"/>
      </w:pBdr>
      <w:tabs>
        <w:tab w:val="center" w:pos="4153"/>
        <w:tab w:val="right" w:pos="8306"/>
      </w:tabs>
      <w:snapToGrid w:val="0"/>
      <w:spacing w:line="240" w:lineRule="auto"/>
      <w:jc w:val="center"/>
    </w:pPr>
    <w:rPr>
      <w:sz w:val="18"/>
    </w:rPr>
  </w:style>
  <w:style w:type="paragraph" w:styleId="5">
    <w:name w:val="Body Text First Indent 2"/>
    <w:basedOn w:val="3"/>
    <w:next w:val="1"/>
    <w:unhideWhenUsed/>
    <w:qFormat/>
    <w:uiPriority w:val="99"/>
    <w:pPr>
      <w:tabs>
        <w:tab w:val="left" w:pos="993"/>
      </w:tabs>
      <w:spacing w:after="120"/>
      <w:ind w:left="420" w:leftChars="200" w:firstLine="420"/>
    </w:pPr>
  </w:style>
  <w:style w:type="paragraph" w:customStyle="1" w:styleId="8">
    <w:name w:val="标题 5（有编号）（绿盟科技）"/>
    <w:basedOn w:val="9"/>
    <w:next w:val="10"/>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0">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708</Words>
  <Characters>736</Characters>
  <Lines>2</Lines>
  <Paragraphs>1</Paragraphs>
  <TotalTime>0</TotalTime>
  <ScaleCrop>false</ScaleCrop>
  <LinksUpToDate>false</LinksUpToDate>
  <CharactersWithSpaces>736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2025-01-21T03:40:00Z</dcterms:created>
  <dc:creator>Think</dc:creator>
  <cp:lastModifiedBy>陆锦欣</cp:lastModifiedBy>
  <dcterms:modified xsi:type="dcterms:W3CDTF">2026-10-13T00:25:42Z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762E47AB59484F01B1A6EBAE61C7B1E1_13</vt:lpwstr>
  </property>
  <property fmtid="{D5CDD505-2E9C-101B-9397-08002B2CF9AE}" pid="4" name="KSOTemplateDocerSaveRecord">
    <vt:lpwstr>eyJoZGlkIjoiMzg4M2RiMWZlZWRiMGRkMmY2OTQ3NDI4NWZjZTZhNmIiLCJ1c2VySWQiOiIxNDMxNjc2NTU2In0=</vt:lpwstr>
  </property>
</Properties>
</file>