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3F0B65">
      <w:pPr>
        <w:spacing w:before="156" w:beforeLines="50" w:line="360" w:lineRule="auto"/>
        <w:jc w:val="center"/>
        <w:rPr>
          <w:rFonts w:ascii="宋体" w:hAnsi="宋体" w:cs="宋体"/>
          <w:b/>
          <w:sz w:val="44"/>
          <w:szCs w:val="21"/>
          <w:u w:val="single"/>
        </w:rPr>
      </w:pPr>
    </w:p>
    <w:p w14:paraId="61C017E4">
      <w:pPr>
        <w:spacing w:before="156" w:beforeLines="50" w:line="360" w:lineRule="auto"/>
        <w:jc w:val="center"/>
        <w:rPr>
          <w:rFonts w:ascii="宋体" w:hAnsi="宋体" w:cs="宋体"/>
          <w:b/>
          <w:sz w:val="44"/>
          <w:szCs w:val="21"/>
        </w:rPr>
      </w:pPr>
      <w:r>
        <w:rPr>
          <w:rFonts w:hint="eastAsia" w:ascii="宋体" w:hAnsi="宋体" w:cs="宋体"/>
          <w:b/>
          <w:sz w:val="44"/>
          <w:szCs w:val="21"/>
        </w:rPr>
        <w:t>《一种快装型智能电缆通道警示桩的研制》</w:t>
      </w:r>
    </w:p>
    <w:p w14:paraId="5E0291DC">
      <w:pPr>
        <w:spacing w:before="156" w:beforeLines="50" w:line="360" w:lineRule="auto"/>
        <w:jc w:val="center"/>
        <w:rPr>
          <w:rFonts w:ascii="宋体" w:hAnsi="宋体" w:cs="宋体"/>
          <w:b/>
          <w:sz w:val="44"/>
          <w:szCs w:val="21"/>
        </w:rPr>
      </w:pPr>
      <w:r>
        <w:rPr>
          <w:rFonts w:hint="eastAsia" w:ascii="宋体" w:hAnsi="宋体" w:cs="宋体"/>
          <w:b/>
          <w:sz w:val="44"/>
          <w:szCs w:val="21"/>
        </w:rPr>
        <w:t>职工创新项目材料部分</w:t>
      </w:r>
    </w:p>
    <w:p w14:paraId="70B7B935">
      <w:pPr>
        <w:spacing w:before="156" w:beforeLines="50" w:line="360" w:lineRule="auto"/>
        <w:jc w:val="center"/>
        <w:rPr>
          <w:rFonts w:ascii="宋体" w:hAnsi="宋体" w:cs="宋体"/>
          <w:b/>
          <w:sz w:val="44"/>
          <w:szCs w:val="21"/>
        </w:rPr>
      </w:pPr>
      <w:r>
        <w:rPr>
          <w:rFonts w:hint="eastAsia" w:ascii="宋体" w:hAnsi="宋体" w:cs="宋体"/>
          <w:b/>
          <w:sz w:val="44"/>
          <w:szCs w:val="21"/>
        </w:rPr>
        <w:t>技术服务采购项目</w:t>
      </w:r>
    </w:p>
    <w:p w14:paraId="56D3E9F5">
      <w:pPr>
        <w:spacing w:before="156" w:beforeLines="50" w:line="360" w:lineRule="auto"/>
        <w:jc w:val="center"/>
        <w:rPr>
          <w:rFonts w:ascii="楷体_GB2312" w:hAnsi="宋体" w:eastAsia="楷体_GB2312"/>
          <w:sz w:val="32"/>
          <w:szCs w:val="32"/>
        </w:rPr>
      </w:pPr>
      <w:r>
        <w:rPr>
          <w:rFonts w:hint="eastAsia" w:ascii="楷体_GB2312" w:hAnsi="宋体" w:eastAsia="楷体_GB2312"/>
          <w:sz w:val="32"/>
          <w:szCs w:val="32"/>
        </w:rPr>
        <w:t xml:space="preserve"> </w:t>
      </w:r>
    </w:p>
    <w:p w14:paraId="1735EB99">
      <w:pPr>
        <w:spacing w:before="156" w:beforeLines="50" w:line="360" w:lineRule="auto"/>
        <w:jc w:val="center"/>
        <w:rPr>
          <w:rFonts w:ascii="楷体_GB2312" w:hAnsi="宋体" w:eastAsia="楷体_GB2312"/>
          <w:sz w:val="32"/>
          <w:szCs w:val="32"/>
        </w:rPr>
      </w:pPr>
    </w:p>
    <w:p w14:paraId="0EB154CB">
      <w:pPr>
        <w:spacing w:before="156" w:beforeLines="50" w:line="360" w:lineRule="auto"/>
        <w:jc w:val="center"/>
        <w:rPr>
          <w:rFonts w:ascii="楷体_GB2312" w:hAnsi="宋体" w:eastAsia="楷体_GB2312"/>
          <w:sz w:val="32"/>
          <w:szCs w:val="32"/>
        </w:rPr>
      </w:pPr>
    </w:p>
    <w:p w14:paraId="5A18D52A">
      <w:pPr>
        <w:spacing w:before="156" w:beforeLines="50" w:line="360" w:lineRule="auto"/>
        <w:jc w:val="center"/>
        <w:rPr>
          <w:rFonts w:ascii="楷体" w:hAnsi="楷体" w:eastAsia="楷体" w:cs="楷体"/>
          <w:sz w:val="52"/>
          <w:szCs w:val="52"/>
        </w:rPr>
      </w:pPr>
      <w:r>
        <w:rPr>
          <w:rFonts w:hint="eastAsia" w:ascii="楷体" w:hAnsi="楷体" w:eastAsia="楷体" w:cs="楷体"/>
          <w:sz w:val="52"/>
          <w:szCs w:val="52"/>
        </w:rPr>
        <w:t>技术条件书</w:t>
      </w:r>
    </w:p>
    <w:p w14:paraId="03273CED">
      <w:pPr>
        <w:spacing w:before="156" w:beforeLines="50" w:line="360" w:lineRule="auto"/>
        <w:jc w:val="center"/>
        <w:rPr>
          <w:rFonts w:ascii="宋体" w:hAnsi="宋体" w:cs="宋体"/>
          <w:sz w:val="32"/>
          <w:szCs w:val="32"/>
        </w:rPr>
      </w:pPr>
    </w:p>
    <w:p w14:paraId="1EDF7ACD">
      <w:pPr>
        <w:spacing w:before="156" w:beforeLines="50" w:line="360" w:lineRule="auto"/>
        <w:jc w:val="center"/>
        <w:rPr>
          <w:rFonts w:ascii="宋体" w:hAnsi="宋体" w:cs="宋体"/>
          <w:sz w:val="32"/>
          <w:szCs w:val="32"/>
        </w:rPr>
      </w:pPr>
    </w:p>
    <w:p w14:paraId="701887FA">
      <w:pPr>
        <w:spacing w:before="156" w:beforeLines="50" w:line="360" w:lineRule="auto"/>
        <w:jc w:val="center"/>
        <w:rPr>
          <w:rFonts w:ascii="楷体" w:hAnsi="楷体" w:eastAsia="楷体" w:cs="楷体"/>
          <w:sz w:val="44"/>
          <w:szCs w:val="44"/>
        </w:rPr>
      </w:pPr>
    </w:p>
    <w:p w14:paraId="34CF3373">
      <w:pPr>
        <w:widowControl/>
        <w:spacing w:line="360" w:lineRule="auto"/>
        <w:jc w:val="left"/>
        <w:rPr>
          <w:rFonts w:ascii="黑体" w:eastAsia="黑体"/>
          <w:sz w:val="36"/>
        </w:rPr>
      </w:pPr>
      <w:r>
        <w:rPr>
          <w:rFonts w:ascii="黑体" w:eastAsia="黑体"/>
          <w:sz w:val="36"/>
        </w:rPr>
        <w:br w:type="page"/>
      </w:r>
    </w:p>
    <w:p w14:paraId="168C745C">
      <w:pPr>
        <w:spacing w:before="624" w:beforeLines="200" w:line="360" w:lineRule="auto"/>
        <w:jc w:val="center"/>
      </w:pPr>
      <w:r>
        <w:rPr>
          <w:rFonts w:hint="eastAsia" w:ascii="黑体" w:eastAsia="黑体"/>
          <w:sz w:val="36"/>
        </w:rPr>
        <w:t>目  录</w:t>
      </w:r>
    </w:p>
    <w:p w14:paraId="070EC827">
      <w:pPr>
        <w:pStyle w:val="55"/>
        <w:tabs>
          <w:tab w:val="right" w:leader="dot" w:pos="8312"/>
          <w:tab w:val="clear" w:pos="8705"/>
        </w:tabs>
        <w:spacing w:line="360" w:lineRule="auto"/>
        <w:rPr>
          <w:rFonts w:hint="eastAsia" w:ascii="黑体" w:hAnsi="黑体" w:eastAsia="黑体" w:cs="黑体"/>
        </w:rPr>
      </w:pPr>
      <w:bookmarkStart w:id="0" w:name="_Toc241911990"/>
      <w:r>
        <w:rPr>
          <w:rFonts w:hint="eastAsia" w:ascii="黑体" w:hAnsi="黑体" w:eastAsia="黑体" w:cs="黑体"/>
          <w:b w:val="0"/>
        </w:rPr>
        <w:fldChar w:fldCharType="begin"/>
      </w:r>
      <w:r>
        <w:rPr>
          <w:rFonts w:hint="eastAsia" w:ascii="黑体" w:hAnsi="黑体" w:eastAsia="黑体" w:cs="黑体"/>
          <w:b w:val="0"/>
        </w:rPr>
        <w:instrText xml:space="preserve">TOC \o "1-2" \h  \u </w:instrText>
      </w:r>
      <w:r>
        <w:rPr>
          <w:rFonts w:hint="eastAsia" w:ascii="黑体" w:hAnsi="黑体" w:eastAsia="黑体" w:cs="黑体"/>
          <w:b w:val="0"/>
        </w:rPr>
        <w:fldChar w:fldCharType="separate"/>
      </w:r>
      <w:r>
        <w:rPr>
          <w:rFonts w:hint="eastAsia" w:ascii="黑体" w:hAnsi="黑体" w:eastAsia="黑体" w:cs="黑体"/>
        </w:rPr>
        <w:fldChar w:fldCharType="begin"/>
      </w:r>
      <w:r>
        <w:rPr>
          <w:rFonts w:hint="eastAsia" w:ascii="黑体" w:hAnsi="黑体" w:eastAsia="黑体" w:cs="黑体"/>
        </w:rPr>
        <w:instrText xml:space="preserve"> HYPERLINK \l _Toc26002 </w:instrText>
      </w:r>
      <w:r>
        <w:rPr>
          <w:rFonts w:hint="eastAsia" w:ascii="黑体" w:hAnsi="黑体" w:eastAsia="黑体" w:cs="黑体"/>
        </w:rPr>
        <w:fldChar w:fldCharType="separate"/>
      </w:r>
      <w:r>
        <w:rPr>
          <w:rFonts w:hint="eastAsia" w:ascii="黑体" w:hAnsi="黑体" w:eastAsia="黑体" w:cs="黑体"/>
          <w:szCs w:val="21"/>
        </w:rPr>
        <w:t>1材料选用标准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_Toc26002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rPr>
        <w:fldChar w:fldCharType="end"/>
      </w:r>
    </w:p>
    <w:p w14:paraId="244C3093">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_Toc12028 </w:instrText>
      </w:r>
      <w:r>
        <w:rPr>
          <w:rFonts w:hint="eastAsia" w:ascii="黑体" w:hAnsi="黑体" w:eastAsia="黑体" w:cs="黑体"/>
        </w:rPr>
        <w:fldChar w:fldCharType="separate"/>
      </w:r>
      <w:r>
        <w:rPr>
          <w:rFonts w:hint="eastAsia" w:ascii="黑体" w:hAnsi="黑体" w:eastAsia="黑体" w:cs="黑体"/>
        </w:rPr>
        <w:t>1.1 声纹感知采集单元</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_Toc12028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rPr>
        <w:fldChar w:fldCharType="end"/>
      </w:r>
    </w:p>
    <w:p w14:paraId="7D4F4031">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_Toc314 </w:instrText>
      </w:r>
      <w:r>
        <w:rPr>
          <w:rFonts w:hint="eastAsia" w:ascii="黑体" w:hAnsi="黑体" w:eastAsia="黑体" w:cs="黑体"/>
        </w:rPr>
        <w:fldChar w:fldCharType="separate"/>
      </w:r>
      <w:r>
        <w:rPr>
          <w:rFonts w:hint="eastAsia" w:ascii="黑体" w:hAnsi="黑体" w:eastAsia="黑体" w:cs="黑体"/>
        </w:rPr>
        <w:t>1.2 主控自适应运算单元</w:t>
      </w:r>
      <w:r>
        <w:rPr>
          <w:rFonts w:hint="eastAsia" w:ascii="黑体" w:hAnsi="黑体" w:eastAsia="黑体" w:cs="黑体"/>
          <w:lang w:val="en-US" w:eastAsia="zh-CN"/>
        </w:rPr>
        <w:t xml:space="preserve"> </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_Toc314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rPr>
        <w:fldChar w:fldCharType="end"/>
      </w:r>
    </w:p>
    <w:p w14:paraId="0ADC11B0">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_Toc12351 </w:instrText>
      </w:r>
      <w:r>
        <w:rPr>
          <w:rFonts w:hint="eastAsia" w:ascii="黑体" w:hAnsi="黑体" w:eastAsia="黑体" w:cs="黑体"/>
        </w:rPr>
        <w:fldChar w:fldCharType="separate"/>
      </w:r>
      <w:r>
        <w:rPr>
          <w:rFonts w:hint="eastAsia" w:ascii="黑体" w:hAnsi="黑体" w:eastAsia="黑体" w:cs="黑体"/>
          <w:shd w:val="clear" w:color="auto" w:fill="auto"/>
        </w:rPr>
        <w:t>1.3 光源驱动与环境感知单元</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_Toc12351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rPr>
        <w:fldChar w:fldCharType="end"/>
      </w:r>
    </w:p>
    <w:p w14:paraId="0EBC109F">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_Toc24159 </w:instrText>
      </w:r>
      <w:r>
        <w:rPr>
          <w:rFonts w:hint="eastAsia" w:ascii="黑体" w:hAnsi="黑体" w:eastAsia="黑体" w:cs="黑体"/>
        </w:rPr>
        <w:fldChar w:fldCharType="separate"/>
      </w:r>
      <w:r>
        <w:rPr>
          <w:rFonts w:hint="eastAsia" w:ascii="黑体" w:hAnsi="黑体" w:eastAsia="黑体" w:cs="黑体"/>
        </w:rPr>
        <w:t>1.4 供电部分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_Toc24159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rPr>
        <w:fldChar w:fldCharType="end"/>
      </w:r>
    </w:p>
    <w:p w14:paraId="7A8B0DB3">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_Toc23845 </w:instrText>
      </w:r>
      <w:r>
        <w:rPr>
          <w:rFonts w:hint="eastAsia" w:ascii="黑体" w:hAnsi="黑体" w:eastAsia="黑体" w:cs="黑体"/>
        </w:rPr>
        <w:fldChar w:fldCharType="separate"/>
      </w:r>
      <w:r>
        <w:rPr>
          <w:rFonts w:hint="eastAsia" w:ascii="黑体" w:hAnsi="黑体" w:eastAsia="黑体" w:cs="黑体"/>
        </w:rPr>
        <w:t>1.5 外壳封装以及辅助材料部分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_Toc23845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rPr>
        <w:fldChar w:fldCharType="end"/>
      </w:r>
    </w:p>
    <w:p w14:paraId="2EDE1C62">
      <w:pPr>
        <w:pStyle w:val="55"/>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_Toc21849 </w:instrText>
      </w:r>
      <w:r>
        <w:rPr>
          <w:rFonts w:hint="eastAsia" w:ascii="黑体" w:hAnsi="黑体" w:eastAsia="黑体" w:cs="黑体"/>
        </w:rPr>
        <w:fldChar w:fldCharType="separate"/>
      </w:r>
      <w:r>
        <w:rPr>
          <w:rFonts w:hint="eastAsia" w:ascii="黑体" w:hAnsi="黑体" w:eastAsia="黑体" w:cs="黑体"/>
          <w:szCs w:val="21"/>
        </w:rPr>
        <w:t>2 使用条件</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_Toc21849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rPr>
        <w:fldChar w:fldCharType="end"/>
      </w:r>
    </w:p>
    <w:p w14:paraId="74BD175A">
      <w:pPr>
        <w:pStyle w:val="55"/>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_Toc8025 </w:instrText>
      </w:r>
      <w:r>
        <w:rPr>
          <w:rFonts w:hint="eastAsia" w:ascii="黑体" w:hAnsi="黑体" w:eastAsia="黑体" w:cs="黑体"/>
        </w:rPr>
        <w:fldChar w:fldCharType="separate"/>
      </w:r>
      <w:r>
        <w:rPr>
          <w:rFonts w:hint="eastAsia" w:ascii="黑体" w:hAnsi="黑体" w:eastAsia="黑体" w:cs="黑体"/>
          <w:szCs w:val="21"/>
        </w:rPr>
        <w:t>3 包装运输安装和质量保证</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_Toc8025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rPr>
        <w:fldChar w:fldCharType="end"/>
      </w:r>
    </w:p>
    <w:p w14:paraId="3C0DC356">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_Toc14578 </w:instrText>
      </w:r>
      <w:r>
        <w:rPr>
          <w:rFonts w:hint="eastAsia" w:ascii="黑体" w:hAnsi="黑体" w:eastAsia="黑体" w:cs="黑体"/>
        </w:rPr>
        <w:fldChar w:fldCharType="separate"/>
      </w:r>
      <w:r>
        <w:rPr>
          <w:rFonts w:hint="eastAsia" w:ascii="黑体" w:hAnsi="黑体" w:eastAsia="黑体" w:cs="黑体"/>
        </w:rPr>
        <w:t>3.1 包装</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_Toc14578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rPr>
        <w:fldChar w:fldCharType="end"/>
      </w:r>
    </w:p>
    <w:p w14:paraId="5E63C9A1">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_Toc5900 </w:instrText>
      </w:r>
      <w:r>
        <w:rPr>
          <w:rFonts w:hint="eastAsia" w:ascii="黑体" w:hAnsi="黑体" w:eastAsia="黑体" w:cs="黑体"/>
        </w:rPr>
        <w:fldChar w:fldCharType="separate"/>
      </w:r>
      <w:r>
        <w:rPr>
          <w:rFonts w:hint="eastAsia" w:ascii="黑体" w:hAnsi="黑体" w:eastAsia="黑体" w:cs="黑体"/>
        </w:rPr>
        <w:t>3.2 运输</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_Toc5900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rPr>
        <w:fldChar w:fldCharType="end"/>
      </w:r>
    </w:p>
    <w:p w14:paraId="63CE193A">
      <w:pPr>
        <w:pStyle w:val="70"/>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_Toc1787 </w:instrText>
      </w:r>
      <w:r>
        <w:rPr>
          <w:rFonts w:hint="eastAsia" w:ascii="黑体" w:hAnsi="黑体" w:eastAsia="黑体" w:cs="黑体"/>
        </w:rPr>
        <w:fldChar w:fldCharType="separate"/>
      </w:r>
      <w:r>
        <w:rPr>
          <w:rFonts w:hint="eastAsia" w:ascii="黑体" w:hAnsi="黑体" w:eastAsia="黑体" w:cs="黑体"/>
        </w:rPr>
        <w:t>3.3 质量保证</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_Toc1787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rPr>
        <w:fldChar w:fldCharType="end"/>
      </w:r>
    </w:p>
    <w:p w14:paraId="45DA6CDA">
      <w:pPr>
        <w:pStyle w:val="55"/>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_Toc14245 </w:instrText>
      </w:r>
      <w:r>
        <w:rPr>
          <w:rFonts w:hint="eastAsia" w:ascii="黑体" w:hAnsi="黑体" w:eastAsia="黑体" w:cs="黑体"/>
        </w:rPr>
        <w:fldChar w:fldCharType="separate"/>
      </w:r>
      <w:r>
        <w:rPr>
          <w:rFonts w:hint="eastAsia" w:ascii="黑体" w:hAnsi="黑体" w:eastAsia="黑体" w:cs="黑体"/>
          <w:szCs w:val="21"/>
        </w:rPr>
        <w:t>4 时间进度要求</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_Toc14245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rPr>
        <w:fldChar w:fldCharType="end"/>
      </w:r>
    </w:p>
    <w:p w14:paraId="06515B71">
      <w:pPr>
        <w:pStyle w:val="55"/>
        <w:tabs>
          <w:tab w:val="right" w:leader="dot" w:pos="8312"/>
          <w:tab w:val="clear" w:pos="8705"/>
        </w:tabs>
        <w:spacing w:line="360" w:lineRule="auto"/>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HYPERLINK \l _Toc1717 </w:instrText>
      </w:r>
      <w:r>
        <w:rPr>
          <w:rFonts w:hint="eastAsia" w:ascii="黑体" w:hAnsi="黑体" w:eastAsia="黑体" w:cs="黑体"/>
        </w:rPr>
        <w:fldChar w:fldCharType="separate"/>
      </w:r>
      <w:r>
        <w:rPr>
          <w:rFonts w:hint="eastAsia" w:ascii="黑体" w:hAnsi="黑体" w:eastAsia="黑体" w:cs="黑体"/>
          <w:szCs w:val="21"/>
        </w:rPr>
        <w:t>5 交付与验收</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_Toc1717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rPr>
        <w:fldChar w:fldCharType="end"/>
      </w:r>
    </w:p>
    <w:p w14:paraId="10BCC281">
      <w:pPr>
        <w:spacing w:line="360" w:lineRule="auto"/>
        <w:rPr>
          <w:rFonts w:ascii="黑体" w:eastAsia="黑体"/>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r>
        <w:rPr>
          <w:rFonts w:hint="eastAsia" w:ascii="黑体" w:hAnsi="黑体" w:eastAsia="黑体" w:cs="黑体"/>
        </w:rPr>
        <w:fldChar w:fldCharType="end"/>
      </w:r>
    </w:p>
    <w:bookmarkEnd w:id="0"/>
    <w:p w14:paraId="1C12EDA7">
      <w:pPr>
        <w:pStyle w:val="336"/>
        <w:spacing w:before="312"/>
        <w:rPr>
          <w:rFonts w:hint="eastAsia" w:ascii="黑体" w:hAnsi="黑体" w:eastAsia="黑体" w:cs="黑体"/>
          <w:b/>
          <w:sz w:val="28"/>
          <w:szCs w:val="28"/>
        </w:rPr>
      </w:pPr>
      <w:bookmarkStart w:id="1" w:name="_Toc391650116"/>
      <w:bookmarkEnd w:id="1"/>
      <w:bookmarkStart w:id="2" w:name="_Toc391647876"/>
      <w:bookmarkEnd w:id="2"/>
      <w:bookmarkStart w:id="3" w:name="_Toc391647314"/>
      <w:bookmarkEnd w:id="3"/>
      <w:bookmarkStart w:id="4" w:name="_Toc391650104"/>
      <w:bookmarkEnd w:id="4"/>
      <w:bookmarkStart w:id="5" w:name="_Toc391654306"/>
      <w:bookmarkEnd w:id="5"/>
      <w:bookmarkStart w:id="6" w:name="_Toc391650043"/>
      <w:bookmarkEnd w:id="6"/>
      <w:bookmarkStart w:id="7" w:name="_Toc391650108"/>
      <w:bookmarkEnd w:id="7"/>
      <w:bookmarkStart w:id="8" w:name="_Toc391649272"/>
      <w:bookmarkEnd w:id="8"/>
      <w:bookmarkStart w:id="9" w:name="_Toc391647169"/>
      <w:bookmarkEnd w:id="9"/>
      <w:bookmarkStart w:id="10" w:name="_Toc391649287"/>
      <w:bookmarkEnd w:id="10"/>
      <w:bookmarkStart w:id="11" w:name="_Toc391649324"/>
      <w:bookmarkEnd w:id="11"/>
      <w:bookmarkStart w:id="12" w:name="_Toc391649318"/>
      <w:bookmarkEnd w:id="12"/>
      <w:bookmarkStart w:id="13" w:name="_Toc391650090"/>
      <w:bookmarkEnd w:id="13"/>
      <w:bookmarkStart w:id="14" w:name="_Toc391649494"/>
      <w:bookmarkEnd w:id="14"/>
      <w:bookmarkStart w:id="15" w:name="_Toc391649757"/>
      <w:bookmarkEnd w:id="15"/>
      <w:bookmarkStart w:id="16" w:name="_Toc391647327"/>
      <w:bookmarkEnd w:id="16"/>
      <w:bookmarkStart w:id="17" w:name="_Toc391649508"/>
      <w:bookmarkEnd w:id="17"/>
      <w:bookmarkStart w:id="18" w:name="_Toc391647194"/>
      <w:bookmarkEnd w:id="18"/>
      <w:bookmarkStart w:id="19" w:name="_Toc391649746"/>
      <w:bookmarkEnd w:id="19"/>
      <w:bookmarkStart w:id="20" w:name="_Toc391649297"/>
      <w:bookmarkEnd w:id="20"/>
      <w:bookmarkStart w:id="21" w:name="_Toc391649322"/>
      <w:bookmarkEnd w:id="21"/>
      <w:bookmarkStart w:id="22" w:name="_Toc391649498"/>
      <w:bookmarkEnd w:id="22"/>
      <w:bookmarkStart w:id="23" w:name="_Toc391654284"/>
      <w:bookmarkEnd w:id="23"/>
      <w:bookmarkStart w:id="24" w:name="_Toc391647163"/>
      <w:bookmarkEnd w:id="24"/>
      <w:bookmarkStart w:id="25" w:name="_Toc391650068"/>
      <w:bookmarkEnd w:id="25"/>
      <w:bookmarkStart w:id="26" w:name="_Toc391647180"/>
      <w:bookmarkEnd w:id="26"/>
      <w:bookmarkStart w:id="27" w:name="_Toc391649339"/>
      <w:bookmarkEnd w:id="27"/>
      <w:bookmarkStart w:id="28" w:name="_Toc391650071"/>
      <w:bookmarkEnd w:id="28"/>
      <w:bookmarkStart w:id="29" w:name="_Toc391649268"/>
      <w:bookmarkEnd w:id="29"/>
      <w:bookmarkStart w:id="30" w:name="_Toc391654307"/>
      <w:bookmarkEnd w:id="30"/>
      <w:bookmarkStart w:id="31" w:name="_Toc391649756"/>
      <w:bookmarkEnd w:id="31"/>
      <w:bookmarkStart w:id="32" w:name="_Toc391654295"/>
      <w:bookmarkEnd w:id="32"/>
      <w:bookmarkStart w:id="33" w:name="_Toc391649738"/>
      <w:bookmarkEnd w:id="33"/>
      <w:bookmarkStart w:id="34" w:name="_Toc391650070"/>
      <w:bookmarkEnd w:id="34"/>
      <w:bookmarkStart w:id="35" w:name="_Toc391647320"/>
      <w:bookmarkEnd w:id="35"/>
      <w:bookmarkStart w:id="36" w:name="_Toc391649753"/>
      <w:bookmarkEnd w:id="36"/>
      <w:bookmarkStart w:id="37" w:name="_Toc391647890"/>
      <w:bookmarkEnd w:id="37"/>
      <w:bookmarkStart w:id="38" w:name="_Toc391649758"/>
      <w:bookmarkEnd w:id="38"/>
      <w:bookmarkStart w:id="39" w:name="_Toc391649319"/>
      <w:bookmarkEnd w:id="39"/>
      <w:bookmarkStart w:id="40" w:name="_Toc391647907"/>
      <w:bookmarkEnd w:id="40"/>
      <w:bookmarkStart w:id="41" w:name="_Toc391649742"/>
      <w:bookmarkEnd w:id="41"/>
      <w:bookmarkStart w:id="42" w:name="_Toc391649323"/>
      <w:bookmarkEnd w:id="42"/>
      <w:bookmarkStart w:id="43" w:name="_Toc391647317"/>
      <w:bookmarkEnd w:id="43"/>
      <w:bookmarkStart w:id="44" w:name="_Toc391647906"/>
      <w:bookmarkEnd w:id="44"/>
      <w:bookmarkStart w:id="45" w:name="_Toc391649741"/>
      <w:bookmarkEnd w:id="45"/>
      <w:bookmarkStart w:id="46" w:name="_Toc391654285"/>
      <w:bookmarkEnd w:id="46"/>
      <w:bookmarkStart w:id="47" w:name="_Toc391647166"/>
      <w:bookmarkEnd w:id="47"/>
      <w:bookmarkStart w:id="48" w:name="_Toc391650118"/>
      <w:bookmarkEnd w:id="48"/>
      <w:bookmarkStart w:id="49" w:name="_Toc391649740"/>
      <w:bookmarkEnd w:id="49"/>
      <w:bookmarkStart w:id="50" w:name="_Toc391649326"/>
      <w:bookmarkEnd w:id="50"/>
      <w:bookmarkStart w:id="51" w:name="_Toc391649320"/>
      <w:bookmarkEnd w:id="51"/>
      <w:bookmarkStart w:id="52" w:name="_Toc391715514"/>
      <w:bookmarkEnd w:id="52"/>
      <w:bookmarkStart w:id="53" w:name="_Toc391647318"/>
      <w:bookmarkEnd w:id="53"/>
      <w:bookmarkStart w:id="54" w:name="_Toc391647903"/>
      <w:bookmarkEnd w:id="54"/>
      <w:bookmarkStart w:id="55" w:name="_Toc391649732"/>
      <w:bookmarkEnd w:id="55"/>
      <w:bookmarkStart w:id="56" w:name="_Toc391649527"/>
      <w:bookmarkEnd w:id="56"/>
      <w:bookmarkStart w:id="57" w:name="_Toc391649525"/>
      <w:bookmarkEnd w:id="57"/>
      <w:bookmarkStart w:id="58" w:name="_Toc391650117"/>
      <w:bookmarkEnd w:id="58"/>
      <w:bookmarkStart w:id="59" w:name="_Toc391654293"/>
      <w:bookmarkEnd w:id="59"/>
      <w:bookmarkStart w:id="60" w:name="_Toc391649317"/>
      <w:bookmarkEnd w:id="60"/>
      <w:bookmarkStart w:id="61" w:name="_Toc391715543"/>
      <w:bookmarkEnd w:id="61"/>
      <w:bookmarkStart w:id="62" w:name="_Toc391654300"/>
      <w:bookmarkEnd w:id="62"/>
      <w:bookmarkStart w:id="63" w:name="_Toc391649285"/>
      <w:bookmarkEnd w:id="63"/>
      <w:bookmarkStart w:id="64" w:name="_Toc391647877"/>
      <w:bookmarkEnd w:id="64"/>
      <w:bookmarkStart w:id="65" w:name="_Toc391650121"/>
      <w:bookmarkEnd w:id="65"/>
      <w:bookmarkStart w:id="66" w:name="_Toc391649751"/>
      <w:bookmarkEnd w:id="66"/>
      <w:bookmarkStart w:id="67" w:name="_Toc391649343"/>
      <w:bookmarkEnd w:id="67"/>
      <w:bookmarkStart w:id="68" w:name="_Toc391649739"/>
      <w:bookmarkEnd w:id="68"/>
      <w:bookmarkStart w:id="69" w:name="_Toc391715511"/>
      <w:bookmarkEnd w:id="69"/>
      <w:bookmarkStart w:id="70" w:name="_Toc391650109"/>
      <w:bookmarkEnd w:id="70"/>
      <w:bookmarkStart w:id="71" w:name="_Toc391647187"/>
      <w:bookmarkEnd w:id="71"/>
      <w:bookmarkStart w:id="72" w:name="_Toc391649336"/>
      <w:bookmarkEnd w:id="72"/>
      <w:bookmarkStart w:id="73" w:name="_Toc391650061"/>
      <w:bookmarkEnd w:id="73"/>
      <w:bookmarkStart w:id="74" w:name="_Toc391715538"/>
      <w:bookmarkEnd w:id="74"/>
      <w:bookmarkStart w:id="75" w:name="_Toc391649734"/>
      <w:bookmarkEnd w:id="75"/>
      <w:bookmarkStart w:id="76" w:name="_Toc391715528"/>
      <w:bookmarkEnd w:id="76"/>
      <w:bookmarkStart w:id="77" w:name="_Toc391650105"/>
      <w:bookmarkEnd w:id="77"/>
      <w:bookmarkStart w:id="78" w:name="_Toc391649278"/>
      <w:bookmarkEnd w:id="78"/>
      <w:bookmarkStart w:id="79" w:name="_Toc391647339"/>
      <w:bookmarkEnd w:id="79"/>
      <w:bookmarkStart w:id="80" w:name="_Toc391647881"/>
      <w:bookmarkEnd w:id="80"/>
      <w:bookmarkStart w:id="81" w:name="_Toc391650113"/>
      <w:bookmarkEnd w:id="81"/>
      <w:bookmarkStart w:id="82" w:name="_Toc391650055"/>
      <w:bookmarkEnd w:id="82"/>
      <w:bookmarkStart w:id="83" w:name="_Toc391649291"/>
      <w:bookmarkEnd w:id="83"/>
      <w:bookmarkStart w:id="84" w:name="_Toc391649736"/>
      <w:bookmarkEnd w:id="84"/>
      <w:bookmarkStart w:id="85" w:name="_Toc391649349"/>
      <w:bookmarkEnd w:id="85"/>
      <w:bookmarkStart w:id="86" w:name="_Toc391649332"/>
      <w:bookmarkEnd w:id="86"/>
      <w:bookmarkStart w:id="87" w:name="_Toc391649269"/>
      <w:bookmarkEnd w:id="87"/>
      <w:bookmarkStart w:id="88" w:name="_Toc391715539"/>
      <w:bookmarkEnd w:id="88"/>
      <w:bookmarkStart w:id="89" w:name="_Toc391715540"/>
      <w:bookmarkEnd w:id="89"/>
      <w:bookmarkStart w:id="90" w:name="_Toc391650103"/>
      <w:bookmarkEnd w:id="90"/>
      <w:bookmarkStart w:id="91" w:name="_Toc391650120"/>
      <w:bookmarkEnd w:id="91"/>
      <w:bookmarkStart w:id="92" w:name="_Toc391647168"/>
      <w:bookmarkEnd w:id="92"/>
      <w:bookmarkStart w:id="93" w:name="_Toc391715515"/>
      <w:bookmarkEnd w:id="93"/>
      <w:bookmarkStart w:id="94" w:name="_Toc391649503"/>
      <w:bookmarkEnd w:id="94"/>
      <w:bookmarkStart w:id="95" w:name="_Toc391649500"/>
      <w:bookmarkEnd w:id="95"/>
      <w:bookmarkStart w:id="96" w:name="_Toc391649765"/>
      <w:bookmarkEnd w:id="96"/>
      <w:bookmarkStart w:id="97" w:name="_Toc391647311"/>
      <w:bookmarkEnd w:id="97"/>
      <w:bookmarkStart w:id="98" w:name="_Toc391647895"/>
      <w:bookmarkEnd w:id="98"/>
      <w:bookmarkStart w:id="99" w:name="_Toc391650107"/>
      <w:bookmarkEnd w:id="99"/>
      <w:bookmarkStart w:id="100" w:name="_Toc391654283"/>
      <w:bookmarkEnd w:id="100"/>
      <w:bookmarkStart w:id="101" w:name="_Toc391647191"/>
      <w:bookmarkEnd w:id="101"/>
      <w:bookmarkStart w:id="102" w:name="_Toc391649495"/>
      <w:bookmarkEnd w:id="102"/>
      <w:bookmarkStart w:id="103" w:name="_Toc391715517"/>
      <w:bookmarkEnd w:id="103"/>
      <w:bookmarkStart w:id="104" w:name="_Toc391649762"/>
      <w:bookmarkEnd w:id="104"/>
      <w:bookmarkStart w:id="105" w:name="_Toc391650123"/>
      <w:bookmarkEnd w:id="105"/>
      <w:bookmarkStart w:id="106" w:name="_Toc391715516"/>
      <w:bookmarkEnd w:id="106"/>
      <w:bookmarkStart w:id="107" w:name="_Toc391649301"/>
      <w:bookmarkEnd w:id="107"/>
      <w:bookmarkStart w:id="108" w:name="_Toc391654296"/>
      <w:bookmarkEnd w:id="108"/>
      <w:bookmarkStart w:id="109" w:name="_Toc391649506"/>
      <w:bookmarkEnd w:id="109"/>
      <w:bookmarkStart w:id="110" w:name="_Toc391647891"/>
      <w:bookmarkEnd w:id="110"/>
      <w:bookmarkStart w:id="111" w:name="_Toc391649286"/>
      <w:bookmarkEnd w:id="111"/>
      <w:bookmarkStart w:id="112" w:name="_Toc391647185"/>
      <w:bookmarkEnd w:id="112"/>
      <w:bookmarkStart w:id="113" w:name="_Toc391647313"/>
      <w:bookmarkEnd w:id="113"/>
      <w:bookmarkStart w:id="114" w:name="_Toc391649759"/>
      <w:bookmarkEnd w:id="114"/>
      <w:bookmarkStart w:id="115" w:name="_Toc391647340"/>
      <w:bookmarkEnd w:id="115"/>
      <w:bookmarkStart w:id="116" w:name="_Toc391649344"/>
      <w:bookmarkEnd w:id="116"/>
      <w:bookmarkStart w:id="117" w:name="_Toc391649334"/>
      <w:bookmarkEnd w:id="117"/>
      <w:bookmarkStart w:id="118" w:name="_Toc391649513"/>
      <w:bookmarkEnd w:id="118"/>
      <w:bookmarkStart w:id="119" w:name="_Toc391647171"/>
      <w:bookmarkEnd w:id="119"/>
      <w:bookmarkStart w:id="120" w:name="_Toc391649526"/>
      <w:bookmarkEnd w:id="120"/>
      <w:bookmarkStart w:id="121" w:name="_Toc391647190"/>
      <w:bookmarkEnd w:id="121"/>
      <w:bookmarkStart w:id="122" w:name="_Toc391650074"/>
      <w:bookmarkEnd w:id="122"/>
      <w:bookmarkStart w:id="123" w:name="_Toc391649763"/>
      <w:bookmarkEnd w:id="123"/>
      <w:bookmarkStart w:id="124" w:name="_Toc391650098"/>
      <w:bookmarkEnd w:id="124"/>
      <w:bookmarkStart w:id="125" w:name="_Toc391647315"/>
      <w:bookmarkEnd w:id="125"/>
      <w:bookmarkStart w:id="126" w:name="_Toc391647188"/>
      <w:bookmarkEnd w:id="126"/>
      <w:bookmarkStart w:id="127" w:name="_Toc391715537"/>
      <w:bookmarkEnd w:id="127"/>
      <w:bookmarkStart w:id="128" w:name="_Toc391647885"/>
      <w:bookmarkEnd w:id="128"/>
      <w:bookmarkStart w:id="129" w:name="_Toc391649340"/>
      <w:bookmarkEnd w:id="129"/>
      <w:bookmarkStart w:id="130" w:name="_Toc391647884"/>
      <w:bookmarkEnd w:id="130"/>
      <w:bookmarkStart w:id="131" w:name="_Toc391654309"/>
      <w:bookmarkEnd w:id="131"/>
      <w:bookmarkStart w:id="132" w:name="_Toc391650096"/>
      <w:bookmarkEnd w:id="132"/>
      <w:bookmarkStart w:id="133" w:name="_Toc391647893"/>
      <w:bookmarkEnd w:id="133"/>
      <w:bookmarkStart w:id="134" w:name="_Toc391654304"/>
      <w:bookmarkEnd w:id="134"/>
      <w:bookmarkStart w:id="135" w:name="_Toc391715525"/>
      <w:bookmarkEnd w:id="135"/>
      <w:bookmarkStart w:id="136" w:name="_Toc391649522"/>
      <w:bookmarkEnd w:id="136"/>
      <w:bookmarkStart w:id="137" w:name="_Toc391715536"/>
      <w:bookmarkEnd w:id="137"/>
      <w:bookmarkStart w:id="138" w:name="_Toc391715512"/>
      <w:bookmarkEnd w:id="138"/>
      <w:bookmarkStart w:id="139" w:name="_Toc391650075"/>
      <w:bookmarkEnd w:id="139"/>
      <w:bookmarkStart w:id="140" w:name="_Toc391647183"/>
      <w:bookmarkEnd w:id="140"/>
      <w:bookmarkStart w:id="141" w:name="_Toc391647321"/>
      <w:bookmarkEnd w:id="141"/>
      <w:bookmarkStart w:id="142" w:name="_Toc391649515"/>
      <w:bookmarkEnd w:id="142"/>
      <w:bookmarkStart w:id="143" w:name="_Toc391647330"/>
      <w:bookmarkEnd w:id="143"/>
      <w:bookmarkStart w:id="144" w:name="_Toc391647186"/>
      <w:bookmarkEnd w:id="144"/>
      <w:bookmarkStart w:id="145" w:name="_Toc391647331"/>
      <w:bookmarkEnd w:id="145"/>
      <w:bookmarkStart w:id="146" w:name="_Toc391649507"/>
      <w:bookmarkEnd w:id="146"/>
      <w:bookmarkStart w:id="147" w:name="_Toc391647170"/>
      <w:bookmarkEnd w:id="147"/>
      <w:bookmarkStart w:id="148" w:name="_Toc391647333"/>
      <w:bookmarkEnd w:id="148"/>
      <w:bookmarkStart w:id="149" w:name="_Toc391649516"/>
      <w:bookmarkEnd w:id="149"/>
      <w:bookmarkStart w:id="150" w:name="_Toc391649279"/>
      <w:bookmarkEnd w:id="150"/>
      <w:bookmarkStart w:id="151" w:name="_Toc391650059"/>
      <w:bookmarkEnd w:id="151"/>
      <w:bookmarkStart w:id="152" w:name="_Toc391649275"/>
      <w:bookmarkEnd w:id="152"/>
      <w:bookmarkStart w:id="153" w:name="_Toc391654305"/>
      <w:bookmarkEnd w:id="153"/>
      <w:bookmarkStart w:id="154" w:name="_Toc391650114"/>
      <w:bookmarkEnd w:id="154"/>
      <w:bookmarkStart w:id="155" w:name="_Toc391647196"/>
      <w:bookmarkEnd w:id="155"/>
      <w:bookmarkStart w:id="156" w:name="_Toc391649512"/>
      <w:bookmarkEnd w:id="156"/>
      <w:bookmarkStart w:id="157" w:name="_Toc391647337"/>
      <w:bookmarkEnd w:id="157"/>
      <w:bookmarkStart w:id="158" w:name="_Toc391649294"/>
      <w:bookmarkEnd w:id="158"/>
      <w:bookmarkStart w:id="159" w:name="_Toc391649737"/>
      <w:bookmarkEnd w:id="159"/>
      <w:bookmarkStart w:id="160" w:name="_Toc391654313"/>
      <w:bookmarkEnd w:id="160"/>
      <w:bookmarkStart w:id="161" w:name="_Toc391647193"/>
      <w:bookmarkEnd w:id="161"/>
      <w:bookmarkStart w:id="162" w:name="_Toc391650092"/>
      <w:bookmarkEnd w:id="162"/>
      <w:bookmarkStart w:id="163" w:name="_Toc391650049"/>
      <w:bookmarkEnd w:id="163"/>
      <w:bookmarkStart w:id="164" w:name="_Toc391715535"/>
      <w:bookmarkEnd w:id="164"/>
      <w:bookmarkStart w:id="165" w:name="_Toc391649341"/>
      <w:bookmarkEnd w:id="165"/>
      <w:bookmarkStart w:id="166" w:name="_Toc391647879"/>
      <w:bookmarkEnd w:id="166"/>
      <w:bookmarkStart w:id="167" w:name="_Toc391650119"/>
      <w:bookmarkEnd w:id="167"/>
      <w:bookmarkStart w:id="168" w:name="_Toc391650091"/>
      <w:bookmarkEnd w:id="168"/>
      <w:bookmarkStart w:id="169" w:name="_Toc391649337"/>
      <w:bookmarkEnd w:id="169"/>
      <w:bookmarkStart w:id="170" w:name="_Toc391647899"/>
      <w:bookmarkEnd w:id="170"/>
      <w:bookmarkStart w:id="171" w:name="_Toc391649274"/>
      <w:bookmarkEnd w:id="171"/>
      <w:bookmarkStart w:id="172" w:name="_Toc391650069"/>
      <w:bookmarkEnd w:id="172"/>
      <w:bookmarkStart w:id="173" w:name="_Toc391647886"/>
      <w:bookmarkEnd w:id="173"/>
      <w:bookmarkStart w:id="174" w:name="_Toc391650056"/>
      <w:bookmarkEnd w:id="174"/>
      <w:bookmarkStart w:id="175" w:name="_Toc391649333"/>
      <w:bookmarkEnd w:id="175"/>
      <w:bookmarkStart w:id="176" w:name="_Toc391654310"/>
      <w:bookmarkEnd w:id="176"/>
      <w:bookmarkStart w:id="177" w:name="_Toc391649283"/>
      <w:bookmarkEnd w:id="177"/>
      <w:bookmarkStart w:id="178" w:name="_Toc391654299"/>
      <w:bookmarkEnd w:id="178"/>
      <w:bookmarkStart w:id="179" w:name="_Toc391649761"/>
      <w:bookmarkEnd w:id="179"/>
      <w:bookmarkStart w:id="180" w:name="_Toc391650042"/>
      <w:bookmarkEnd w:id="180"/>
      <w:bookmarkStart w:id="181" w:name="_Toc391649329"/>
      <w:bookmarkEnd w:id="181"/>
      <w:bookmarkStart w:id="182" w:name="_Toc391647323"/>
      <w:bookmarkEnd w:id="182"/>
      <w:bookmarkStart w:id="183" w:name="_Toc391649754"/>
      <w:bookmarkEnd w:id="183"/>
      <w:bookmarkStart w:id="184" w:name="_Toc391649331"/>
      <w:bookmarkEnd w:id="184"/>
      <w:bookmarkStart w:id="185" w:name="_Toc391649270"/>
      <w:bookmarkEnd w:id="185"/>
      <w:bookmarkStart w:id="186" w:name="_Toc391654302"/>
      <w:bookmarkEnd w:id="186"/>
      <w:bookmarkStart w:id="187" w:name="_Toc391715527"/>
      <w:bookmarkEnd w:id="187"/>
      <w:bookmarkStart w:id="188" w:name="_Toc391649743"/>
      <w:bookmarkEnd w:id="188"/>
      <w:bookmarkStart w:id="189" w:name="_Toc391647322"/>
      <w:bookmarkEnd w:id="189"/>
      <w:bookmarkStart w:id="190" w:name="_Toc391649517"/>
      <w:bookmarkEnd w:id="190"/>
      <w:bookmarkStart w:id="191" w:name="_Toc391649273"/>
      <w:bookmarkEnd w:id="191"/>
      <w:bookmarkStart w:id="192" w:name="_Toc391650063"/>
      <w:bookmarkEnd w:id="192"/>
      <w:bookmarkStart w:id="193" w:name="_Toc391650065"/>
      <w:bookmarkEnd w:id="193"/>
      <w:bookmarkStart w:id="194" w:name="_Toc391647316"/>
      <w:bookmarkEnd w:id="194"/>
      <w:bookmarkStart w:id="195" w:name="_Toc391649296"/>
      <w:bookmarkEnd w:id="195"/>
      <w:bookmarkStart w:id="196" w:name="_Toc391650045"/>
      <w:bookmarkEnd w:id="196"/>
      <w:bookmarkStart w:id="197" w:name="_Toc391715524"/>
      <w:bookmarkEnd w:id="197"/>
      <w:bookmarkStart w:id="198" w:name="_Toc391647889"/>
      <w:bookmarkEnd w:id="198"/>
      <w:bookmarkStart w:id="199" w:name="_Toc391650052"/>
      <w:bookmarkEnd w:id="199"/>
      <w:bookmarkStart w:id="200" w:name="_Toc391650051"/>
      <w:bookmarkEnd w:id="200"/>
      <w:bookmarkStart w:id="201" w:name="_Toc391647875"/>
      <w:bookmarkEnd w:id="201"/>
      <w:bookmarkStart w:id="202" w:name="_Toc391647326"/>
      <w:bookmarkEnd w:id="202"/>
      <w:bookmarkStart w:id="203" w:name="_Toc391649764"/>
      <w:bookmarkEnd w:id="203"/>
      <w:bookmarkStart w:id="204" w:name="_Toc391647179"/>
      <w:bookmarkEnd w:id="204"/>
      <w:bookmarkStart w:id="205" w:name="_Toc391649271"/>
      <w:bookmarkEnd w:id="205"/>
      <w:bookmarkStart w:id="206" w:name="_Toc391647336"/>
      <w:bookmarkEnd w:id="206"/>
      <w:bookmarkStart w:id="207" w:name="_Toc391647162"/>
      <w:bookmarkEnd w:id="207"/>
      <w:bookmarkStart w:id="208" w:name="_Toc391654303"/>
      <w:bookmarkEnd w:id="208"/>
      <w:bookmarkStart w:id="209" w:name="_Toc391647164"/>
      <w:bookmarkEnd w:id="209"/>
      <w:bookmarkStart w:id="210" w:name="_Toc391654297"/>
      <w:bookmarkEnd w:id="210"/>
      <w:bookmarkStart w:id="211" w:name="_Toc391647905"/>
      <w:bookmarkEnd w:id="211"/>
      <w:bookmarkStart w:id="212" w:name="_Toc391649347"/>
      <w:bookmarkEnd w:id="212"/>
      <w:bookmarkStart w:id="213" w:name="_Toc391647342"/>
      <w:bookmarkEnd w:id="213"/>
      <w:bookmarkStart w:id="214" w:name="_Toc391654289"/>
      <w:bookmarkEnd w:id="214"/>
      <w:bookmarkStart w:id="215" w:name="_Toc391647892"/>
      <w:bookmarkEnd w:id="215"/>
      <w:bookmarkStart w:id="216" w:name="_Toc391650100"/>
      <w:bookmarkEnd w:id="216"/>
      <w:bookmarkStart w:id="217" w:name="_Toc391715510"/>
      <w:bookmarkEnd w:id="217"/>
      <w:bookmarkStart w:id="218" w:name="_Toc391647335"/>
      <w:bookmarkEnd w:id="218"/>
      <w:bookmarkStart w:id="219" w:name="_Toc391649523"/>
      <w:bookmarkEnd w:id="219"/>
      <w:bookmarkStart w:id="220" w:name="_Toc391715541"/>
      <w:bookmarkEnd w:id="220"/>
      <w:bookmarkStart w:id="221" w:name="_Toc391650112"/>
      <w:bookmarkEnd w:id="221"/>
      <w:bookmarkStart w:id="222" w:name="_Toc391650099"/>
      <w:bookmarkEnd w:id="222"/>
      <w:bookmarkStart w:id="223" w:name="_Toc391650058"/>
      <w:bookmarkEnd w:id="223"/>
      <w:bookmarkStart w:id="224" w:name="_Toc391647182"/>
      <w:bookmarkEnd w:id="224"/>
      <w:bookmarkStart w:id="225" w:name="_Toc391650122"/>
      <w:bookmarkEnd w:id="225"/>
      <w:bookmarkStart w:id="226" w:name="_Toc391649290"/>
      <w:bookmarkEnd w:id="226"/>
      <w:bookmarkStart w:id="227" w:name="_Toc391649499"/>
      <w:bookmarkEnd w:id="227"/>
      <w:bookmarkStart w:id="228" w:name="_Toc391650057"/>
      <w:bookmarkEnd w:id="228"/>
      <w:bookmarkStart w:id="229" w:name="_Toc391647341"/>
      <w:bookmarkEnd w:id="229"/>
      <w:bookmarkStart w:id="230" w:name="_Toc391647325"/>
      <w:bookmarkEnd w:id="230"/>
      <w:bookmarkStart w:id="231" w:name="_Toc391654287"/>
      <w:bookmarkEnd w:id="231"/>
      <w:bookmarkStart w:id="232" w:name="_Toc391649293"/>
      <w:bookmarkEnd w:id="232"/>
      <w:bookmarkStart w:id="233" w:name="_Toc391715533"/>
      <w:bookmarkEnd w:id="233"/>
      <w:bookmarkStart w:id="234" w:name="_Toc391649733"/>
      <w:bookmarkEnd w:id="234"/>
      <w:bookmarkStart w:id="235" w:name="_Toc391654308"/>
      <w:bookmarkEnd w:id="235"/>
      <w:bookmarkStart w:id="236" w:name="_Toc391650053"/>
      <w:bookmarkEnd w:id="236"/>
      <w:bookmarkStart w:id="237" w:name="_Toc391715522"/>
      <w:bookmarkEnd w:id="237"/>
      <w:bookmarkStart w:id="238" w:name="_Toc391650062"/>
      <w:bookmarkEnd w:id="238"/>
      <w:bookmarkStart w:id="239" w:name="_Toc391649281"/>
      <w:bookmarkEnd w:id="239"/>
      <w:bookmarkStart w:id="240" w:name="_Toc391647898"/>
      <w:bookmarkEnd w:id="240"/>
      <w:bookmarkStart w:id="241" w:name="_Toc391650054"/>
      <w:bookmarkEnd w:id="241"/>
      <w:bookmarkStart w:id="242" w:name="_Toc391649298"/>
      <w:bookmarkEnd w:id="242"/>
      <w:bookmarkStart w:id="243" w:name="_Toc391647888"/>
      <w:bookmarkEnd w:id="243"/>
      <w:bookmarkStart w:id="244" w:name="_Toc391654291"/>
      <w:bookmarkEnd w:id="244"/>
      <w:bookmarkStart w:id="245" w:name="_Toc391647189"/>
      <w:bookmarkEnd w:id="245"/>
      <w:bookmarkStart w:id="246" w:name="_Toc391650094"/>
      <w:bookmarkEnd w:id="246"/>
      <w:bookmarkStart w:id="247" w:name="_Toc391715532"/>
      <w:bookmarkEnd w:id="247"/>
      <w:bookmarkStart w:id="248" w:name="_Toc391649497"/>
      <w:bookmarkEnd w:id="248"/>
      <w:bookmarkStart w:id="249" w:name="_Toc391654281"/>
      <w:bookmarkEnd w:id="249"/>
      <w:bookmarkStart w:id="250" w:name="_Toc391649338"/>
      <w:bookmarkEnd w:id="250"/>
      <w:bookmarkStart w:id="251" w:name="_Toc391715530"/>
      <w:bookmarkEnd w:id="251"/>
      <w:bookmarkStart w:id="252" w:name="_Toc391649315"/>
      <w:bookmarkEnd w:id="252"/>
      <w:bookmarkStart w:id="253" w:name="_Toc391650093"/>
      <w:bookmarkEnd w:id="253"/>
      <w:bookmarkStart w:id="254" w:name="_Toc391647310"/>
      <w:bookmarkEnd w:id="254"/>
      <w:bookmarkStart w:id="255" w:name="_Toc391647167"/>
      <w:bookmarkEnd w:id="255"/>
      <w:bookmarkStart w:id="256" w:name="_Toc391647882"/>
      <w:bookmarkEnd w:id="256"/>
      <w:bookmarkStart w:id="257" w:name="_Toc391647897"/>
      <w:bookmarkEnd w:id="257"/>
      <w:bookmarkStart w:id="258" w:name="_Toc391649267"/>
      <w:bookmarkEnd w:id="258"/>
      <w:bookmarkStart w:id="259" w:name="_Toc391649321"/>
      <w:bookmarkEnd w:id="259"/>
      <w:bookmarkStart w:id="260" w:name="_Toc391647192"/>
      <w:bookmarkEnd w:id="260"/>
      <w:bookmarkStart w:id="261" w:name="_Toc391654279"/>
      <w:bookmarkEnd w:id="261"/>
      <w:bookmarkStart w:id="262" w:name="_Toc391650064"/>
      <w:bookmarkEnd w:id="262"/>
      <w:bookmarkStart w:id="263" w:name="_Toc391649748"/>
      <w:bookmarkEnd w:id="263"/>
      <w:bookmarkStart w:id="264" w:name="_Toc391649345"/>
      <w:bookmarkEnd w:id="264"/>
      <w:bookmarkStart w:id="265" w:name="_Toc391647184"/>
      <w:bookmarkEnd w:id="265"/>
      <w:bookmarkStart w:id="266" w:name="_Toc391650076"/>
      <w:bookmarkEnd w:id="266"/>
      <w:bookmarkStart w:id="267" w:name="_Toc391715531"/>
      <w:bookmarkEnd w:id="267"/>
      <w:bookmarkStart w:id="268" w:name="_Toc391647195"/>
      <w:bookmarkEnd w:id="268"/>
      <w:bookmarkStart w:id="269" w:name="_Toc391647319"/>
      <w:bookmarkEnd w:id="269"/>
      <w:bookmarkStart w:id="270" w:name="_Toc391650060"/>
      <w:bookmarkEnd w:id="270"/>
      <w:bookmarkStart w:id="271" w:name="_Toc391715529"/>
      <w:bookmarkEnd w:id="271"/>
      <w:bookmarkStart w:id="272" w:name="_Toc391650102"/>
      <w:bookmarkEnd w:id="272"/>
      <w:bookmarkStart w:id="273" w:name="_Toc391650050"/>
      <w:bookmarkEnd w:id="273"/>
      <w:bookmarkStart w:id="274" w:name="_Toc391649284"/>
      <w:bookmarkEnd w:id="274"/>
      <w:bookmarkStart w:id="275" w:name="_Toc391649496"/>
      <w:bookmarkEnd w:id="275"/>
      <w:bookmarkStart w:id="276" w:name="_Toc391649501"/>
      <w:bookmarkEnd w:id="276"/>
      <w:bookmarkStart w:id="277" w:name="_Toc391647176"/>
      <w:bookmarkEnd w:id="277"/>
      <w:bookmarkStart w:id="278" w:name="_Toc391649330"/>
      <w:bookmarkEnd w:id="278"/>
      <w:bookmarkStart w:id="279" w:name="_Toc391650110"/>
      <w:bookmarkEnd w:id="279"/>
      <w:bookmarkStart w:id="280" w:name="_Toc391647902"/>
      <w:bookmarkEnd w:id="280"/>
      <w:bookmarkStart w:id="281" w:name="_Toc391649766"/>
      <w:bookmarkEnd w:id="281"/>
      <w:bookmarkStart w:id="282" w:name="_Toc391647883"/>
      <w:bookmarkEnd w:id="282"/>
      <w:bookmarkStart w:id="283" w:name="_Toc391649327"/>
      <w:bookmarkEnd w:id="283"/>
      <w:bookmarkStart w:id="284" w:name="_Toc391649282"/>
      <w:bookmarkEnd w:id="284"/>
      <w:bookmarkStart w:id="285" w:name="_Toc391647181"/>
      <w:bookmarkEnd w:id="285"/>
      <w:bookmarkStart w:id="286" w:name="_Toc391715518"/>
      <w:bookmarkEnd w:id="286"/>
      <w:bookmarkStart w:id="287" w:name="_Toc391647175"/>
      <w:bookmarkEnd w:id="287"/>
      <w:bookmarkStart w:id="288" w:name="_Toc391649514"/>
      <w:bookmarkEnd w:id="288"/>
      <w:bookmarkStart w:id="289" w:name="_Toc391715521"/>
      <w:bookmarkEnd w:id="289"/>
      <w:bookmarkStart w:id="290" w:name="_Toc391715542"/>
      <w:bookmarkEnd w:id="290"/>
      <w:bookmarkStart w:id="291" w:name="_Toc391647312"/>
      <w:bookmarkEnd w:id="291"/>
      <w:bookmarkStart w:id="292" w:name="_Toc391650067"/>
      <w:bookmarkEnd w:id="292"/>
      <w:bookmarkStart w:id="293" w:name="_Toc391649335"/>
      <w:bookmarkEnd w:id="293"/>
      <w:bookmarkStart w:id="294" w:name="_Toc391654282"/>
      <w:bookmarkEnd w:id="294"/>
      <w:bookmarkStart w:id="295" w:name="_Toc391647900"/>
      <w:bookmarkEnd w:id="295"/>
      <w:bookmarkStart w:id="296" w:name="_Toc391647908"/>
      <w:bookmarkEnd w:id="296"/>
      <w:bookmarkStart w:id="297" w:name="_Toc391649348"/>
      <w:bookmarkEnd w:id="297"/>
      <w:bookmarkStart w:id="298" w:name="_Toc391654312"/>
      <w:bookmarkEnd w:id="298"/>
      <w:bookmarkStart w:id="299" w:name="_Toc391650073"/>
      <w:bookmarkEnd w:id="299"/>
      <w:bookmarkStart w:id="300" w:name="_Toc391649299"/>
      <w:bookmarkEnd w:id="300"/>
      <w:bookmarkStart w:id="301" w:name="_Toc391650095"/>
      <w:bookmarkEnd w:id="301"/>
      <w:bookmarkStart w:id="302" w:name="_Toc391647172"/>
      <w:bookmarkEnd w:id="302"/>
      <w:bookmarkStart w:id="303" w:name="_Toc391649511"/>
      <w:bookmarkEnd w:id="303"/>
      <w:bookmarkStart w:id="304" w:name="_Toc391647334"/>
      <w:bookmarkEnd w:id="304"/>
      <w:bookmarkStart w:id="305" w:name="_Toc391649295"/>
      <w:bookmarkEnd w:id="305"/>
      <w:bookmarkStart w:id="306" w:name="_Toc391654290"/>
      <w:bookmarkEnd w:id="306"/>
      <w:bookmarkStart w:id="307" w:name="_Toc391650115"/>
      <w:bookmarkEnd w:id="307"/>
      <w:bookmarkStart w:id="308" w:name="_Toc391650111"/>
      <w:bookmarkEnd w:id="308"/>
      <w:bookmarkStart w:id="309" w:name="_Toc391647324"/>
      <w:bookmarkEnd w:id="309"/>
      <w:bookmarkStart w:id="310" w:name="_Toc391649502"/>
      <w:bookmarkEnd w:id="310"/>
      <w:bookmarkStart w:id="311" w:name="_Toc391649752"/>
      <w:bookmarkEnd w:id="311"/>
      <w:bookmarkStart w:id="312" w:name="_Toc391647173"/>
      <w:bookmarkEnd w:id="312"/>
      <w:bookmarkStart w:id="313" w:name="_Toc391649316"/>
      <w:bookmarkEnd w:id="313"/>
      <w:bookmarkStart w:id="314" w:name="_Toc391650089"/>
      <w:bookmarkEnd w:id="314"/>
      <w:bookmarkStart w:id="315" w:name="_Toc391649493"/>
      <w:bookmarkEnd w:id="315"/>
      <w:bookmarkStart w:id="316" w:name="_Toc391647332"/>
      <w:bookmarkEnd w:id="316"/>
      <w:bookmarkStart w:id="317" w:name="_Toc391649747"/>
      <w:bookmarkEnd w:id="317"/>
      <w:bookmarkStart w:id="318" w:name="_Toc391715534"/>
      <w:bookmarkEnd w:id="318"/>
      <w:bookmarkStart w:id="319" w:name="_Toc391647880"/>
      <w:bookmarkEnd w:id="319"/>
      <w:bookmarkStart w:id="320" w:name="_Toc391647338"/>
      <w:bookmarkEnd w:id="320"/>
      <w:bookmarkStart w:id="321" w:name="_Toc391647309"/>
      <w:bookmarkEnd w:id="321"/>
      <w:bookmarkStart w:id="322" w:name="_Toc391647308"/>
      <w:bookmarkEnd w:id="322"/>
      <w:bookmarkStart w:id="323" w:name="_Toc391649342"/>
      <w:bookmarkEnd w:id="323"/>
      <w:bookmarkStart w:id="324" w:name="_Toc391654301"/>
      <w:bookmarkEnd w:id="324"/>
      <w:bookmarkStart w:id="325" w:name="_Toc391649519"/>
      <w:bookmarkEnd w:id="325"/>
      <w:bookmarkStart w:id="326" w:name="_Toc391650048"/>
      <w:bookmarkEnd w:id="326"/>
      <w:bookmarkStart w:id="327" w:name="_Toc391649755"/>
      <w:bookmarkEnd w:id="327"/>
      <w:bookmarkStart w:id="328" w:name="_Toc391649292"/>
      <w:bookmarkEnd w:id="328"/>
      <w:bookmarkStart w:id="329" w:name="_Toc391650066"/>
      <w:bookmarkEnd w:id="329"/>
      <w:bookmarkStart w:id="330" w:name="_Toc391650101"/>
      <w:bookmarkEnd w:id="330"/>
      <w:bookmarkStart w:id="331" w:name="_Toc391715519"/>
      <w:bookmarkEnd w:id="331"/>
      <w:bookmarkStart w:id="332" w:name="_Toc391647901"/>
      <w:bookmarkEnd w:id="332"/>
      <w:bookmarkStart w:id="333" w:name="_Toc391649276"/>
      <w:bookmarkEnd w:id="333"/>
      <w:bookmarkStart w:id="334" w:name="_Toc391649328"/>
      <w:bookmarkEnd w:id="334"/>
      <w:bookmarkStart w:id="335" w:name="_Toc391649289"/>
      <w:bookmarkEnd w:id="335"/>
      <w:bookmarkStart w:id="336" w:name="_Toc391649325"/>
      <w:bookmarkEnd w:id="336"/>
      <w:bookmarkStart w:id="337" w:name="_Toc391647174"/>
      <w:bookmarkEnd w:id="337"/>
      <w:bookmarkStart w:id="338" w:name="_Toc391649510"/>
      <w:bookmarkEnd w:id="338"/>
      <w:bookmarkStart w:id="339" w:name="_Toc391647329"/>
      <w:bookmarkEnd w:id="339"/>
      <w:bookmarkStart w:id="340" w:name="_Toc391654288"/>
      <w:bookmarkEnd w:id="340"/>
      <w:bookmarkStart w:id="341" w:name="_Toc391649520"/>
      <w:bookmarkEnd w:id="341"/>
      <w:bookmarkStart w:id="342" w:name="_Toc391649744"/>
      <w:bookmarkEnd w:id="342"/>
      <w:bookmarkStart w:id="343" w:name="_Toc391654311"/>
      <w:bookmarkEnd w:id="343"/>
      <w:bookmarkStart w:id="344" w:name="_Toc391654298"/>
      <w:bookmarkEnd w:id="344"/>
      <w:bookmarkStart w:id="345" w:name="_Toc391649277"/>
      <w:bookmarkEnd w:id="345"/>
      <w:bookmarkStart w:id="346" w:name="_Toc391649504"/>
      <w:bookmarkEnd w:id="346"/>
      <w:bookmarkStart w:id="347" w:name="_Toc391650046"/>
      <w:bookmarkEnd w:id="347"/>
      <w:bookmarkStart w:id="348" w:name="_Toc391649750"/>
      <w:bookmarkEnd w:id="348"/>
      <w:bookmarkStart w:id="349" w:name="_Toc391715509"/>
      <w:bookmarkEnd w:id="349"/>
      <w:bookmarkStart w:id="350" w:name="_Toc391715526"/>
      <w:bookmarkEnd w:id="350"/>
      <w:bookmarkStart w:id="351" w:name="_Toc391647904"/>
      <w:bookmarkEnd w:id="351"/>
      <w:bookmarkStart w:id="352" w:name="_Toc391647165"/>
      <w:bookmarkEnd w:id="352"/>
      <w:bookmarkStart w:id="353" w:name="_Toc391649288"/>
      <w:bookmarkEnd w:id="353"/>
      <w:bookmarkStart w:id="354" w:name="_Toc391649521"/>
      <w:bookmarkEnd w:id="354"/>
      <w:bookmarkStart w:id="355" w:name="_Toc391654286"/>
      <w:bookmarkEnd w:id="355"/>
      <w:bookmarkStart w:id="356" w:name="_Toc391715513"/>
      <w:bookmarkEnd w:id="356"/>
      <w:bookmarkStart w:id="357" w:name="_Toc391715523"/>
      <w:bookmarkEnd w:id="357"/>
      <w:bookmarkStart w:id="358" w:name="_Toc391649505"/>
      <w:bookmarkEnd w:id="358"/>
      <w:bookmarkStart w:id="359" w:name="_Toc391654294"/>
      <w:bookmarkEnd w:id="359"/>
      <w:bookmarkStart w:id="360" w:name="_Toc391654292"/>
      <w:bookmarkEnd w:id="360"/>
      <w:bookmarkStart w:id="361" w:name="_Toc391649280"/>
      <w:bookmarkEnd w:id="361"/>
      <w:bookmarkStart w:id="362" w:name="_Toc391650106"/>
      <w:bookmarkEnd w:id="362"/>
      <w:bookmarkStart w:id="363" w:name="_Toc391649346"/>
      <w:bookmarkEnd w:id="363"/>
      <w:bookmarkStart w:id="364" w:name="_Toc391649509"/>
      <w:bookmarkEnd w:id="364"/>
      <w:bookmarkStart w:id="365" w:name="_Toc391650047"/>
      <w:bookmarkEnd w:id="365"/>
      <w:bookmarkStart w:id="366" w:name="_Toc391647887"/>
      <w:bookmarkEnd w:id="366"/>
      <w:bookmarkStart w:id="367" w:name="_Toc391649745"/>
      <w:bookmarkEnd w:id="367"/>
      <w:bookmarkStart w:id="368" w:name="_Toc391649300"/>
      <w:bookmarkEnd w:id="368"/>
      <w:bookmarkStart w:id="369" w:name="_Toc391647896"/>
      <w:bookmarkEnd w:id="369"/>
      <w:bookmarkStart w:id="370" w:name="_Toc391649735"/>
      <w:bookmarkEnd w:id="370"/>
      <w:bookmarkStart w:id="371" w:name="_Toc391647178"/>
      <w:bookmarkEnd w:id="371"/>
      <w:bookmarkStart w:id="372" w:name="_Toc391650044"/>
      <w:bookmarkEnd w:id="372"/>
      <w:bookmarkStart w:id="373" w:name="_Toc391647878"/>
      <w:bookmarkEnd w:id="373"/>
      <w:bookmarkStart w:id="374" w:name="_Toc391650097"/>
      <w:bookmarkEnd w:id="374"/>
      <w:bookmarkStart w:id="375" w:name="_Toc391654280"/>
      <w:bookmarkEnd w:id="375"/>
      <w:bookmarkStart w:id="376" w:name="_Toc391649760"/>
      <w:bookmarkEnd w:id="376"/>
      <w:bookmarkStart w:id="377" w:name="_Toc391647177"/>
      <w:bookmarkEnd w:id="377"/>
      <w:bookmarkStart w:id="378" w:name="_Toc391649749"/>
      <w:bookmarkEnd w:id="378"/>
      <w:bookmarkStart w:id="379" w:name="_Toc391647894"/>
      <w:bookmarkEnd w:id="379"/>
      <w:bookmarkStart w:id="380" w:name="_Toc391649518"/>
      <w:bookmarkEnd w:id="380"/>
      <w:bookmarkStart w:id="381" w:name="_Toc391647328"/>
      <w:bookmarkEnd w:id="381"/>
      <w:bookmarkStart w:id="382" w:name="_Toc391649524"/>
      <w:bookmarkEnd w:id="382"/>
      <w:bookmarkStart w:id="383" w:name="_Toc391647909"/>
      <w:bookmarkEnd w:id="383"/>
      <w:bookmarkStart w:id="384" w:name="_Toc391715520"/>
      <w:bookmarkEnd w:id="384"/>
      <w:bookmarkStart w:id="385" w:name="_Toc391650072"/>
      <w:bookmarkEnd w:id="385"/>
      <w:bookmarkStart w:id="386" w:name="_Toc155114612"/>
      <w:bookmarkStart w:id="387" w:name="_Toc241912000"/>
      <w:bookmarkStart w:id="388" w:name="_Toc448828694"/>
      <w:bookmarkStart w:id="389" w:name="_Toc455373921"/>
      <w:bookmarkStart w:id="390" w:name="_Toc457979127"/>
      <w:bookmarkStart w:id="391" w:name="_Toc482581219"/>
      <w:bookmarkStart w:id="392" w:name="_Toc146182538"/>
      <w:bookmarkStart w:id="393" w:name="_Toc114253693"/>
      <w:bookmarkStart w:id="394" w:name="_Toc455543289"/>
      <w:bookmarkStart w:id="395" w:name="_Toc457986926"/>
      <w:bookmarkStart w:id="396" w:name="_Toc459534976"/>
      <w:bookmarkStart w:id="397" w:name="_Toc20054"/>
      <w:bookmarkStart w:id="398" w:name="_Toc26002"/>
      <w:bookmarkStart w:id="399" w:name="_Toc169448501"/>
      <w:r>
        <w:rPr>
          <w:rFonts w:hint="eastAsia" w:ascii="黑体" w:hAnsi="黑体" w:eastAsia="黑体" w:cs="黑体"/>
          <w:b/>
          <w:sz w:val="28"/>
          <w:szCs w:val="28"/>
        </w:rPr>
        <w:t>1</w:t>
      </w:r>
      <w:bookmarkEnd w:id="386"/>
      <w:bookmarkEnd w:id="387"/>
      <w:bookmarkEnd w:id="388"/>
      <w:bookmarkEnd w:id="389"/>
      <w:bookmarkEnd w:id="390"/>
      <w:bookmarkEnd w:id="391"/>
      <w:bookmarkEnd w:id="392"/>
      <w:bookmarkEnd w:id="393"/>
      <w:bookmarkEnd w:id="394"/>
      <w:bookmarkEnd w:id="395"/>
      <w:bookmarkEnd w:id="396"/>
      <w:r>
        <w:rPr>
          <w:rFonts w:hint="eastAsia" w:ascii="黑体" w:hAnsi="黑体" w:eastAsia="黑体" w:cs="黑体"/>
          <w:b/>
          <w:sz w:val="28"/>
          <w:szCs w:val="28"/>
          <w:lang w:val="en-US" w:eastAsia="zh-CN"/>
        </w:rPr>
        <w:t xml:space="preserve"> </w:t>
      </w:r>
      <w:r>
        <w:rPr>
          <w:rFonts w:hint="eastAsia" w:ascii="黑体" w:hAnsi="黑体" w:eastAsia="黑体" w:cs="黑体"/>
          <w:b/>
          <w:sz w:val="28"/>
          <w:szCs w:val="28"/>
        </w:rPr>
        <w:t>材料选用标准</w:t>
      </w:r>
      <w:bookmarkEnd w:id="397"/>
      <w:bookmarkEnd w:id="398"/>
      <w:bookmarkEnd w:id="399"/>
    </w:p>
    <w:p w14:paraId="3265AE40">
      <w:pPr>
        <w:snapToGrid w:val="0"/>
        <w:spacing w:line="360" w:lineRule="auto"/>
        <w:ind w:firstLine="420"/>
        <w:rPr>
          <w:sz w:val="24"/>
          <w:szCs w:val="24"/>
        </w:rPr>
      </w:pPr>
      <w:bookmarkStart w:id="400" w:name="_Toc283142574"/>
      <w:r>
        <w:rPr>
          <w:rFonts w:hint="eastAsia"/>
          <w:sz w:val="24"/>
          <w:szCs w:val="24"/>
        </w:rPr>
        <w:t>本项目旨在研制快装型智能电缆通道警示桩，集成声纹识别、环境感知与自适应控制技术，实现电缆通道保护区施工风险主动识别、多环境自适应警示、免开挖快速安装，防范外力破坏，保障电缆通道运行安全</w:t>
      </w:r>
      <w:r>
        <w:rPr>
          <w:sz w:val="24"/>
          <w:szCs w:val="24"/>
        </w:rPr>
        <w:t>。</w:t>
      </w:r>
    </w:p>
    <w:p w14:paraId="4CE5468E">
      <w:pPr>
        <w:pStyle w:val="3"/>
        <w:numPr>
          <w:ilvl w:val="0"/>
          <w:numId w:val="0"/>
        </w:numPr>
        <w:spacing w:line="360" w:lineRule="auto"/>
        <w:ind w:firstLine="480" w:firstLineChars="200"/>
        <w:rPr>
          <w:sz w:val="24"/>
          <w:szCs w:val="24"/>
        </w:rPr>
      </w:pPr>
      <w:bookmarkStart w:id="401" w:name="_Toc12028"/>
      <w:bookmarkStart w:id="402" w:name="_Toc10081"/>
      <w:bookmarkStart w:id="403" w:name="_Toc169448502"/>
      <w:r>
        <w:rPr>
          <w:rFonts w:hint="eastAsia"/>
          <w:sz w:val="24"/>
          <w:szCs w:val="24"/>
        </w:rPr>
        <w:t>1.1 声纹感知采集单元</w:t>
      </w:r>
      <w:bookmarkEnd w:id="401"/>
      <w:bookmarkEnd w:id="402"/>
      <w:bookmarkEnd w:id="403"/>
    </w:p>
    <w:p w14:paraId="588E91F4">
      <w:pPr>
        <w:snapToGrid w:val="0"/>
        <w:spacing w:line="360" w:lineRule="auto"/>
        <w:ind w:firstLine="420"/>
      </w:pPr>
      <w:r>
        <w:rPr>
          <w:rFonts w:hint="eastAsia" w:ascii="Open Sans" w:hAnsi="Open Sans" w:cs="Open Sans"/>
          <w:color w:val="333333"/>
          <w:sz w:val="24"/>
          <w:szCs w:val="24"/>
          <w:shd w:val="clear" w:color="auto" w:fill="FFFFFF"/>
        </w:rPr>
        <w:t>通过一体化工业声纹采集模块完成现场施工声源采集、信号预处理与数字化输出，依托内置电路完成MFCC声纹特征预处理，结合后台声纹特征库实时比对，匹配阈值达标后输出预警触发信号。单元硬件应满足如下技术要求</w:t>
      </w:r>
      <w:r>
        <w:rPr>
          <w:rFonts w:hint="eastAsia" w:ascii="Open Sans" w:hAnsi="Open Sans" w:cs="Open Sans"/>
          <w:color w:val="333333"/>
          <w:sz w:val="24"/>
          <w:szCs w:val="24"/>
          <w:shd w:val="clear" w:color="auto" w:fill="FFFFFF"/>
          <w:lang w:eastAsia="zh-CN"/>
        </w:rPr>
        <w:t>：</w:t>
      </w:r>
    </w:p>
    <w:tbl>
      <w:tblPr>
        <w:tblStyle w:val="84"/>
        <w:tblW w:w="5000" w:type="pct"/>
        <w:tblInd w:w="0" w:type="dxa"/>
        <w:tblLayout w:type="autofit"/>
        <w:tblCellMar>
          <w:top w:w="0" w:type="dxa"/>
          <w:left w:w="108" w:type="dxa"/>
          <w:bottom w:w="0" w:type="dxa"/>
          <w:right w:w="108" w:type="dxa"/>
        </w:tblCellMar>
      </w:tblPr>
      <w:tblGrid>
        <w:gridCol w:w="2105"/>
        <w:gridCol w:w="7181"/>
      </w:tblGrid>
      <w:tr w14:paraId="39B4DE78">
        <w:tblPrEx>
          <w:tblCellMar>
            <w:top w:w="0" w:type="dxa"/>
            <w:left w:w="108" w:type="dxa"/>
            <w:bottom w:w="0" w:type="dxa"/>
            <w:right w:w="108" w:type="dxa"/>
          </w:tblCellMar>
        </w:tblPrEx>
        <w:trPr>
          <w:trHeight w:val="624" w:hRule="atLeast"/>
        </w:trPr>
        <w:tc>
          <w:tcPr>
            <w:tcW w:w="113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F40CE27">
            <w:pPr>
              <w:widowControl/>
              <w:spacing w:line="360" w:lineRule="auto"/>
              <w:jc w:val="center"/>
              <w:rPr>
                <w:rFonts w:hint="default" w:cs="宋体" w:asciiTheme="minorEastAsia" w:hAnsiTheme="minorEastAsia" w:eastAsiaTheme="minorEastAsia"/>
                <w:color w:val="000000"/>
                <w:kern w:val="0"/>
                <w:szCs w:val="21"/>
                <w:lang w:val="en-US" w:eastAsia="zh-CN"/>
              </w:rPr>
            </w:pPr>
            <w:r>
              <w:rPr>
                <w:rFonts w:hint="eastAsia" w:cs="宋体" w:asciiTheme="minorEastAsia" w:hAnsiTheme="minorEastAsia" w:eastAsiaTheme="minorEastAsia"/>
                <w:color w:val="000000"/>
                <w:kern w:val="0"/>
                <w:szCs w:val="21"/>
                <w:lang w:val="en-US" w:eastAsia="zh-CN"/>
              </w:rPr>
              <w:t>项目</w:t>
            </w:r>
          </w:p>
        </w:tc>
        <w:tc>
          <w:tcPr>
            <w:tcW w:w="3866" w:type="pct"/>
            <w:tcBorders>
              <w:top w:val="single" w:color="auto" w:sz="4" w:space="0"/>
              <w:left w:val="nil"/>
              <w:bottom w:val="single" w:color="auto" w:sz="4" w:space="0"/>
              <w:right w:val="single" w:color="auto" w:sz="4" w:space="0"/>
            </w:tcBorders>
            <w:shd w:val="clear" w:color="auto" w:fill="auto"/>
            <w:noWrap/>
            <w:vAlign w:val="center"/>
          </w:tcPr>
          <w:p w14:paraId="54D02222">
            <w:pPr>
              <w:widowControl/>
              <w:spacing w:line="360" w:lineRule="auto"/>
              <w:jc w:val="center"/>
              <w:rPr>
                <w:rFonts w:hint="default" w:cs="宋体" w:asciiTheme="minorEastAsia" w:hAnsiTheme="minorEastAsia" w:eastAsiaTheme="minorEastAsia"/>
                <w:color w:val="000000"/>
                <w:kern w:val="0"/>
                <w:szCs w:val="21"/>
                <w:lang w:val="en-US"/>
              </w:rPr>
            </w:pPr>
            <w:r>
              <w:rPr>
                <w:rFonts w:hint="eastAsia" w:cs="宋体" w:asciiTheme="minorEastAsia" w:hAnsiTheme="minorEastAsia" w:eastAsiaTheme="minorEastAsia"/>
                <w:color w:val="000000"/>
                <w:kern w:val="0"/>
                <w:szCs w:val="21"/>
              </w:rPr>
              <w:t>技术参数要求</w:t>
            </w:r>
          </w:p>
        </w:tc>
      </w:tr>
      <w:tr w14:paraId="4F3905A0">
        <w:tblPrEx>
          <w:tblCellMar>
            <w:top w:w="0" w:type="dxa"/>
            <w:left w:w="108" w:type="dxa"/>
            <w:bottom w:w="0" w:type="dxa"/>
            <w:right w:w="108" w:type="dxa"/>
          </w:tblCellMar>
        </w:tblPrEx>
        <w:trPr>
          <w:trHeight w:val="634" w:hRule="atLeast"/>
        </w:trPr>
        <w:tc>
          <w:tcPr>
            <w:tcW w:w="1133" w:type="pct"/>
            <w:tcBorders>
              <w:top w:val="nil"/>
              <w:left w:val="single" w:color="auto" w:sz="4" w:space="0"/>
              <w:bottom w:val="single" w:color="auto" w:sz="4" w:space="0"/>
              <w:right w:val="single" w:color="auto" w:sz="4" w:space="0"/>
            </w:tcBorders>
            <w:shd w:val="clear" w:color="auto" w:fill="auto"/>
            <w:noWrap/>
            <w:vAlign w:val="center"/>
          </w:tcPr>
          <w:p w14:paraId="1661918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声纹采集模块</w:t>
            </w:r>
          </w:p>
        </w:tc>
        <w:tc>
          <w:tcPr>
            <w:tcW w:w="3866" w:type="pct"/>
            <w:tcBorders>
              <w:top w:val="nil"/>
              <w:left w:val="nil"/>
              <w:bottom w:val="single" w:color="auto" w:sz="4" w:space="0"/>
              <w:right w:val="single" w:color="auto" w:sz="4" w:space="0"/>
            </w:tcBorders>
            <w:shd w:val="clear" w:color="auto" w:fill="auto"/>
            <w:noWrap/>
            <w:vAlign w:val="center"/>
          </w:tcPr>
          <w:p w14:paraId="55F7AA88">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适配户外复杂噪声环境，支持施工机械特征声纹稳定采集</w:t>
            </w:r>
          </w:p>
        </w:tc>
      </w:tr>
      <w:tr w14:paraId="7CA93845">
        <w:tblPrEx>
          <w:tblCellMar>
            <w:top w:w="0" w:type="dxa"/>
            <w:left w:w="108" w:type="dxa"/>
            <w:bottom w:w="0" w:type="dxa"/>
            <w:right w:w="108" w:type="dxa"/>
          </w:tblCellMar>
        </w:tblPrEx>
        <w:trPr>
          <w:trHeight w:val="285" w:hRule="atLeast"/>
        </w:trPr>
        <w:tc>
          <w:tcPr>
            <w:tcW w:w="1133" w:type="pct"/>
            <w:tcBorders>
              <w:top w:val="nil"/>
              <w:left w:val="single" w:color="auto" w:sz="4" w:space="0"/>
              <w:bottom w:val="single" w:color="auto" w:sz="4" w:space="0"/>
              <w:right w:val="single" w:color="auto" w:sz="4" w:space="0"/>
            </w:tcBorders>
            <w:shd w:val="clear" w:color="auto" w:fill="auto"/>
            <w:noWrap/>
            <w:vAlign w:val="center"/>
          </w:tcPr>
          <w:p w14:paraId="744228D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声纹特征提取响应</w:t>
            </w:r>
          </w:p>
        </w:tc>
        <w:tc>
          <w:tcPr>
            <w:tcW w:w="3866" w:type="pct"/>
            <w:tcBorders>
              <w:top w:val="nil"/>
              <w:left w:val="nil"/>
              <w:bottom w:val="single" w:color="auto" w:sz="4" w:space="0"/>
              <w:right w:val="single" w:color="auto" w:sz="4" w:space="0"/>
            </w:tcBorders>
            <w:shd w:val="clear" w:color="auto" w:fill="auto"/>
            <w:noWrap/>
            <w:vAlign w:val="center"/>
          </w:tcPr>
          <w:p w14:paraId="71109E9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可精准区分施工机械作业声与环境背景噪音，识别稳定、无误触发</w:t>
            </w:r>
          </w:p>
        </w:tc>
      </w:tr>
    </w:tbl>
    <w:p w14:paraId="4F893C42">
      <w:pPr>
        <w:snapToGrid w:val="0"/>
        <w:spacing w:before="240" w:line="360" w:lineRule="auto"/>
        <w:ind w:firstLine="420"/>
        <w:outlineLvl w:val="1"/>
        <w:rPr>
          <w:rFonts w:ascii="黑体" w:hAnsi="黑体" w:eastAsia="黑体"/>
          <w:sz w:val="24"/>
          <w:szCs w:val="24"/>
        </w:rPr>
      </w:pPr>
      <w:bookmarkStart w:id="404" w:name="_Toc314"/>
      <w:bookmarkStart w:id="405" w:name="_Toc29096"/>
      <w:bookmarkStart w:id="406" w:name="_Toc169448503"/>
      <w:r>
        <w:rPr>
          <w:rFonts w:hint="eastAsia" w:ascii="黑体" w:hAnsi="黑体" w:eastAsia="黑体"/>
          <w:sz w:val="24"/>
          <w:szCs w:val="24"/>
        </w:rPr>
        <w:t>1.2 主控自适应运算单元</w:t>
      </w:r>
      <w:r>
        <w:rPr>
          <w:rFonts w:hint="eastAsia" w:ascii="黑体" w:hAnsi="黑体" w:eastAsia="黑体"/>
          <w:sz w:val="24"/>
          <w:szCs w:val="24"/>
          <w:lang w:val="en-US" w:eastAsia="zh-CN"/>
        </w:rPr>
        <w:t xml:space="preserve"> </w:t>
      </w:r>
      <w:bookmarkEnd w:id="404"/>
      <w:bookmarkEnd w:id="405"/>
      <w:bookmarkEnd w:id="406"/>
    </w:p>
    <w:p w14:paraId="4B955074">
      <w:pPr>
        <w:snapToGrid w:val="0"/>
        <w:spacing w:line="360" w:lineRule="auto"/>
        <w:ind w:firstLine="420"/>
        <w:rPr>
          <w:rFonts w:ascii="Open Sans" w:hAnsi="Open Sans" w:cs="Open Sans"/>
          <w:color w:val="333333"/>
          <w:shd w:val="clear" w:color="auto" w:fill="FFFFFF"/>
        </w:rPr>
      </w:pPr>
      <w:r>
        <w:rPr>
          <w:rFonts w:hint="eastAsia" w:ascii="Open Sans" w:hAnsi="Open Sans" w:cs="Open Sans"/>
          <w:color w:val="333333"/>
          <w:sz w:val="24"/>
          <w:szCs w:val="24"/>
          <w:shd w:val="clear" w:color="auto" w:fill="FFFFFF"/>
        </w:rPr>
        <w:t>以微处理器为核心，实现声纹、照度、能见度多源数据综合运算，存储施工声纹特征库，输出光源变频、功率调节控制指令。硬件应满足如下技术要求：</w:t>
      </w:r>
    </w:p>
    <w:tbl>
      <w:tblPr>
        <w:tblStyle w:val="84"/>
        <w:tblW w:w="5000" w:type="pct"/>
        <w:tblInd w:w="0" w:type="dxa"/>
        <w:tblLayout w:type="autofit"/>
        <w:tblCellMar>
          <w:top w:w="0" w:type="dxa"/>
          <w:left w:w="108" w:type="dxa"/>
          <w:bottom w:w="0" w:type="dxa"/>
          <w:right w:w="108" w:type="dxa"/>
        </w:tblCellMar>
      </w:tblPr>
      <w:tblGrid>
        <w:gridCol w:w="1346"/>
        <w:gridCol w:w="7940"/>
      </w:tblGrid>
      <w:tr w14:paraId="382CCBDA">
        <w:tblPrEx>
          <w:tblCellMar>
            <w:top w:w="0" w:type="dxa"/>
            <w:left w:w="108" w:type="dxa"/>
            <w:bottom w:w="0" w:type="dxa"/>
            <w:right w:w="108" w:type="dxa"/>
          </w:tblCellMar>
        </w:tblPrEx>
        <w:trPr>
          <w:trHeight w:val="285" w:hRule="atLeast"/>
        </w:trPr>
        <w:tc>
          <w:tcPr>
            <w:tcW w:w="10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D29FF0">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主控微处理器</w:t>
            </w:r>
          </w:p>
        </w:tc>
        <w:tc>
          <w:tcPr>
            <w:tcW w:w="398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9B016F">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低功耗主控单元，支持多传感器数据融合运算、嵌入式算法部署，适配户外长期无人值守运行</w:t>
            </w:r>
          </w:p>
        </w:tc>
      </w:tr>
      <w:tr w14:paraId="05E70FDA">
        <w:tblPrEx>
          <w:tblCellMar>
            <w:top w:w="0" w:type="dxa"/>
            <w:left w:w="108" w:type="dxa"/>
            <w:bottom w:w="0" w:type="dxa"/>
            <w:right w:w="108" w:type="dxa"/>
          </w:tblCellMar>
        </w:tblPrEx>
        <w:trPr>
          <w:trHeight w:val="285" w:hRule="atLeast"/>
        </w:trPr>
        <w:tc>
          <w:tcPr>
            <w:tcW w:w="101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44EC3E">
            <w:pPr>
              <w:widowControl/>
              <w:spacing w:line="360" w:lineRule="auto"/>
              <w:jc w:val="center"/>
              <w:rPr>
                <w:rFonts w:hint="eastAsia" w:cs="宋体" w:asciiTheme="minorEastAsia" w:hAnsiTheme="minorEastAsia" w:eastAsiaTheme="minorEastAsia"/>
                <w:color w:val="000000"/>
                <w:kern w:val="0"/>
                <w:szCs w:val="21"/>
                <w:lang w:eastAsia="zh-CN"/>
              </w:rPr>
            </w:pPr>
            <w:r>
              <w:rPr>
                <w:rFonts w:hint="eastAsia" w:cs="宋体" w:asciiTheme="minorEastAsia" w:hAnsiTheme="minorEastAsia" w:eastAsiaTheme="minorEastAsia"/>
                <w:color w:val="000000"/>
                <w:kern w:val="0"/>
                <w:szCs w:val="21"/>
                <w:lang w:val="en-US" w:eastAsia="zh-CN"/>
              </w:rPr>
              <w:t>存储模块</w:t>
            </w:r>
          </w:p>
        </w:tc>
        <w:tc>
          <w:tcPr>
            <w:tcW w:w="398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AEBBFE">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支持本地声纹特征库存储、设备运行日志缓存，断电数据不丢失</w:t>
            </w:r>
          </w:p>
        </w:tc>
      </w:tr>
    </w:tbl>
    <w:p w14:paraId="5DF39D9C">
      <w:pPr>
        <w:snapToGrid w:val="0"/>
        <w:spacing w:before="240" w:line="360" w:lineRule="auto"/>
        <w:ind w:firstLine="420"/>
        <w:outlineLvl w:val="1"/>
        <w:rPr>
          <w:rFonts w:hint="eastAsia" w:ascii="黑体" w:hAnsi="黑体" w:eastAsia="黑体" w:cs="Times New Roman"/>
          <w:color w:val="auto"/>
          <w:sz w:val="24"/>
          <w:szCs w:val="24"/>
          <w:shd w:val="clear" w:color="auto" w:fill="auto"/>
        </w:rPr>
      </w:pPr>
      <w:bookmarkStart w:id="407" w:name="_Toc12351"/>
      <w:r>
        <w:rPr>
          <w:rFonts w:hint="eastAsia" w:ascii="黑体" w:hAnsi="黑体" w:eastAsia="黑体" w:cs="Times New Roman"/>
          <w:color w:val="auto"/>
          <w:sz w:val="24"/>
          <w:szCs w:val="24"/>
          <w:shd w:val="clear" w:color="auto" w:fill="auto"/>
        </w:rPr>
        <w:t>1.3 光源驱动与环境感知单元</w:t>
      </w:r>
      <w:bookmarkEnd w:id="407"/>
    </w:p>
    <w:p w14:paraId="37EAAC52">
      <w:pPr>
        <w:snapToGrid w:val="0"/>
        <w:spacing w:line="360" w:lineRule="auto"/>
        <w:ind w:firstLine="420"/>
        <w:rPr>
          <w:sz w:val="24"/>
          <w:szCs w:val="24"/>
        </w:rPr>
      </w:pPr>
      <w:r>
        <w:rPr>
          <w:rFonts w:hint="eastAsia"/>
          <w:sz w:val="24"/>
          <w:szCs w:val="24"/>
        </w:rPr>
        <w:t>采集环境照度、大气能见度数据；依靠PWM驱动实现1‑5Hz变频闪烁，预警模式固定2.5Hz频闪；支持低功耗待机、雾天满功率模式切换，有效警示距离≥300米。硬件应满足如下技术要求：</w:t>
      </w:r>
    </w:p>
    <w:tbl>
      <w:tblPr>
        <w:tblStyle w:val="84"/>
        <w:tblW w:w="5000" w:type="pct"/>
        <w:tblInd w:w="0" w:type="dxa"/>
        <w:tblLayout w:type="fixed"/>
        <w:tblCellMar>
          <w:top w:w="0" w:type="dxa"/>
          <w:left w:w="108" w:type="dxa"/>
          <w:bottom w:w="0" w:type="dxa"/>
          <w:right w:w="108" w:type="dxa"/>
        </w:tblCellMar>
      </w:tblPr>
      <w:tblGrid>
        <w:gridCol w:w="1553"/>
        <w:gridCol w:w="7733"/>
      </w:tblGrid>
      <w:tr w14:paraId="453C9542">
        <w:tblPrEx>
          <w:tblCellMar>
            <w:top w:w="0" w:type="dxa"/>
            <w:left w:w="108" w:type="dxa"/>
            <w:bottom w:w="0" w:type="dxa"/>
            <w:right w:w="108" w:type="dxa"/>
          </w:tblCellMar>
        </w:tblPrEx>
        <w:trPr>
          <w:trHeight w:val="724" w:hRule="atLeast"/>
        </w:trPr>
        <w:tc>
          <w:tcPr>
            <w:tcW w:w="83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58BA10">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高亮LED光源模组</w:t>
            </w:r>
          </w:p>
        </w:tc>
        <w:tc>
          <w:tcPr>
            <w:tcW w:w="4163" w:type="pct"/>
            <w:tcBorders>
              <w:top w:val="single" w:color="auto" w:sz="4" w:space="0"/>
              <w:left w:val="nil"/>
              <w:bottom w:val="single" w:color="auto" w:sz="4" w:space="0"/>
              <w:right w:val="single" w:color="auto" w:sz="4" w:space="0"/>
            </w:tcBorders>
            <w:shd w:val="clear" w:color="auto" w:fill="auto"/>
            <w:noWrap/>
            <w:vAlign w:val="center"/>
          </w:tcPr>
          <w:p w14:paraId="721E93EE">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高亮警示光源，支持多档位亮度调节，支持1~5Hz变频闪烁、2.5Hz固定预警频闪，强光可视距离不低于300米</w:t>
            </w:r>
          </w:p>
        </w:tc>
      </w:tr>
      <w:tr w14:paraId="670346BF">
        <w:tblPrEx>
          <w:tblCellMar>
            <w:top w:w="0" w:type="dxa"/>
            <w:left w:w="108" w:type="dxa"/>
            <w:bottom w:w="0" w:type="dxa"/>
            <w:right w:w="108" w:type="dxa"/>
          </w:tblCellMar>
        </w:tblPrEx>
        <w:trPr>
          <w:trHeight w:val="285" w:hRule="atLeast"/>
        </w:trPr>
        <w:tc>
          <w:tcPr>
            <w:tcW w:w="836" w:type="pct"/>
            <w:tcBorders>
              <w:top w:val="nil"/>
              <w:left w:val="single" w:color="auto" w:sz="4" w:space="0"/>
              <w:bottom w:val="single" w:color="auto" w:sz="4" w:space="0"/>
              <w:right w:val="single" w:color="auto" w:sz="4" w:space="0"/>
            </w:tcBorders>
            <w:shd w:val="clear" w:color="auto" w:fill="auto"/>
            <w:noWrap/>
            <w:vAlign w:val="center"/>
          </w:tcPr>
          <w:p w14:paraId="43CA3362">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光敏照度传感器</w:t>
            </w:r>
          </w:p>
        </w:tc>
        <w:tc>
          <w:tcPr>
            <w:tcW w:w="4163" w:type="pct"/>
            <w:tcBorders>
              <w:top w:val="nil"/>
              <w:left w:val="nil"/>
              <w:bottom w:val="single" w:color="auto" w:sz="4" w:space="0"/>
              <w:right w:val="single" w:color="auto" w:sz="4" w:space="0"/>
            </w:tcBorders>
            <w:shd w:val="clear" w:color="auto" w:fill="auto"/>
            <w:noWrap/>
            <w:vAlign w:val="center"/>
          </w:tcPr>
          <w:p w14:paraId="07D23C08">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实时监测环境光照强度，自适应切换设备待机、常亮、闪烁模式，响应灵敏、工况切换无延迟</w:t>
            </w:r>
          </w:p>
        </w:tc>
      </w:tr>
      <w:tr w14:paraId="65C78DA3">
        <w:tblPrEx>
          <w:tblCellMar>
            <w:top w:w="0" w:type="dxa"/>
            <w:left w:w="108" w:type="dxa"/>
            <w:bottom w:w="0" w:type="dxa"/>
            <w:right w:w="108" w:type="dxa"/>
          </w:tblCellMar>
        </w:tblPrEx>
        <w:trPr>
          <w:trHeight w:val="90" w:hRule="atLeast"/>
        </w:trPr>
        <w:tc>
          <w:tcPr>
            <w:tcW w:w="836" w:type="pct"/>
            <w:tcBorders>
              <w:top w:val="nil"/>
              <w:left w:val="single" w:color="auto" w:sz="4" w:space="0"/>
              <w:bottom w:val="single" w:color="auto" w:sz="4" w:space="0"/>
              <w:right w:val="single" w:color="auto" w:sz="4" w:space="0"/>
            </w:tcBorders>
            <w:shd w:val="clear" w:color="auto" w:fill="auto"/>
            <w:noWrap/>
            <w:vAlign w:val="center"/>
          </w:tcPr>
          <w:p w14:paraId="05978E12">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能见度检测传感器</w:t>
            </w:r>
          </w:p>
        </w:tc>
        <w:tc>
          <w:tcPr>
            <w:tcW w:w="4163" w:type="pct"/>
            <w:tcBorders>
              <w:top w:val="nil"/>
              <w:left w:val="nil"/>
              <w:bottom w:val="single" w:color="auto" w:sz="4" w:space="0"/>
              <w:right w:val="single" w:color="auto" w:sz="4" w:space="0"/>
            </w:tcBorders>
            <w:shd w:val="clear" w:color="auto" w:fill="auto"/>
            <w:noWrap/>
            <w:vAlign w:val="center"/>
          </w:tcPr>
          <w:p w14:paraId="4D763A6C">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采集大气能见度数据，可识别雨、雾、沙尘低能见度工况，自动触发雾天警示增强模式</w:t>
            </w:r>
          </w:p>
        </w:tc>
      </w:tr>
      <w:tr w14:paraId="1D6F82A1">
        <w:tblPrEx>
          <w:tblCellMar>
            <w:top w:w="0" w:type="dxa"/>
            <w:left w:w="108" w:type="dxa"/>
            <w:bottom w:w="0" w:type="dxa"/>
            <w:right w:w="108" w:type="dxa"/>
          </w:tblCellMar>
        </w:tblPrEx>
        <w:trPr>
          <w:trHeight w:val="285" w:hRule="atLeast"/>
        </w:trPr>
        <w:tc>
          <w:tcPr>
            <w:tcW w:w="836" w:type="pct"/>
            <w:tcBorders>
              <w:top w:val="nil"/>
              <w:left w:val="single" w:color="auto" w:sz="4" w:space="0"/>
              <w:bottom w:val="single" w:color="auto" w:sz="4" w:space="0"/>
              <w:right w:val="single" w:color="auto" w:sz="4" w:space="0"/>
            </w:tcBorders>
            <w:shd w:val="clear" w:color="auto" w:fill="auto"/>
            <w:noWrap/>
            <w:vAlign w:val="center"/>
          </w:tcPr>
          <w:p w14:paraId="4C1E61D4">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光源驱动模块</w:t>
            </w:r>
          </w:p>
        </w:tc>
        <w:tc>
          <w:tcPr>
            <w:tcW w:w="4163" w:type="pct"/>
            <w:tcBorders>
              <w:top w:val="nil"/>
              <w:left w:val="nil"/>
              <w:bottom w:val="single" w:color="auto" w:sz="4" w:space="0"/>
              <w:right w:val="single" w:color="auto" w:sz="4" w:space="0"/>
            </w:tcBorders>
            <w:shd w:val="clear" w:color="auto" w:fill="auto"/>
            <w:noWrap/>
            <w:vAlign w:val="center"/>
          </w:tcPr>
          <w:p w14:paraId="1126810D">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Cs w:val="21"/>
              </w:rPr>
              <w:t>支持光源无级调光、低功耗休眠、满功率雾天模式切换，能耗低、工况运行稳定</w:t>
            </w:r>
          </w:p>
        </w:tc>
      </w:tr>
    </w:tbl>
    <w:p w14:paraId="03E23F46">
      <w:pPr>
        <w:snapToGrid w:val="0"/>
        <w:spacing w:before="240" w:line="360" w:lineRule="auto"/>
        <w:ind w:firstLine="420"/>
        <w:outlineLvl w:val="1"/>
        <w:rPr>
          <w:rFonts w:ascii="黑体" w:hAnsi="黑体" w:eastAsia="黑体"/>
          <w:sz w:val="24"/>
          <w:szCs w:val="24"/>
        </w:rPr>
      </w:pPr>
      <w:bookmarkStart w:id="408" w:name="_Toc24159"/>
      <w:bookmarkStart w:id="409" w:name="_Toc7397"/>
      <w:bookmarkStart w:id="410" w:name="_Toc169448505"/>
      <w:r>
        <w:rPr>
          <w:rFonts w:hint="eastAsia" w:ascii="黑体" w:hAnsi="黑体" w:eastAsia="黑体"/>
          <w:sz w:val="24"/>
          <w:szCs w:val="24"/>
        </w:rPr>
        <w:t>1.4 供电部分</w:t>
      </w:r>
      <w:bookmarkEnd w:id="408"/>
      <w:bookmarkEnd w:id="409"/>
      <w:bookmarkEnd w:id="410"/>
    </w:p>
    <w:p w14:paraId="7E4876D8">
      <w:pPr>
        <w:snapToGrid w:val="0"/>
        <w:spacing w:line="360" w:lineRule="auto"/>
        <w:ind w:left="420" w:firstLine="420"/>
        <w:rPr>
          <w:sz w:val="24"/>
          <w:szCs w:val="24"/>
        </w:rPr>
      </w:pPr>
      <w:r>
        <w:rPr>
          <w:rFonts w:hint="eastAsia"/>
          <w:sz w:val="24"/>
          <w:szCs w:val="24"/>
        </w:rPr>
        <w:t>1）</w:t>
      </w:r>
      <w:r>
        <w:rPr>
          <w:rFonts w:hint="eastAsia" w:ascii="Times New Roman" w:hAnsi="Times New Roman" w:eastAsia="宋体" w:cs="Times New Roman"/>
          <w:color w:val="auto"/>
          <w:sz w:val="24"/>
          <w:szCs w:val="24"/>
          <w:lang w:val="en-US" w:eastAsia="zh-CN"/>
        </w:rPr>
        <w:t>太阳能供电+充电电池</w:t>
      </w:r>
      <w:r>
        <w:rPr>
          <w:rFonts w:hint="eastAsia"/>
          <w:sz w:val="24"/>
          <w:szCs w:val="24"/>
        </w:rPr>
        <w:t>；</w:t>
      </w:r>
    </w:p>
    <w:p w14:paraId="46CADB5E">
      <w:pPr>
        <w:snapToGrid w:val="0"/>
        <w:spacing w:line="360" w:lineRule="auto"/>
        <w:ind w:left="420" w:firstLine="420"/>
        <w:rPr>
          <w:sz w:val="24"/>
          <w:szCs w:val="24"/>
        </w:rPr>
      </w:pPr>
      <w:r>
        <w:rPr>
          <w:rFonts w:hint="eastAsia"/>
          <w:sz w:val="24"/>
          <w:szCs w:val="24"/>
          <w:lang w:val="en-US" w:eastAsia="zh-CN"/>
        </w:rPr>
        <w:t>2</w:t>
      </w:r>
      <w:r>
        <w:rPr>
          <w:rFonts w:hint="eastAsia"/>
          <w:sz w:val="24"/>
          <w:szCs w:val="24"/>
        </w:rPr>
        <w:t>）相应配套的</w:t>
      </w:r>
      <w:r>
        <w:rPr>
          <w:rFonts w:hint="eastAsia"/>
          <w:sz w:val="24"/>
          <w:szCs w:val="24"/>
          <w:lang w:val="en-US" w:eastAsia="zh-CN"/>
        </w:rPr>
        <w:t>供电</w:t>
      </w:r>
      <w:r>
        <w:rPr>
          <w:rFonts w:hint="eastAsia"/>
          <w:sz w:val="24"/>
          <w:szCs w:val="24"/>
        </w:rPr>
        <w:t>管理控制模块；</w:t>
      </w:r>
    </w:p>
    <w:p w14:paraId="0CE4517E">
      <w:pPr>
        <w:snapToGrid w:val="0"/>
        <w:spacing w:before="240" w:line="360" w:lineRule="auto"/>
        <w:ind w:firstLine="420"/>
        <w:outlineLvl w:val="1"/>
        <w:rPr>
          <w:rFonts w:ascii="黑体" w:hAnsi="黑体" w:eastAsia="黑体"/>
          <w:sz w:val="24"/>
          <w:szCs w:val="24"/>
        </w:rPr>
      </w:pPr>
      <w:bookmarkStart w:id="411" w:name="_Toc169448506"/>
      <w:bookmarkStart w:id="412" w:name="_Toc23845"/>
      <w:bookmarkStart w:id="413" w:name="_Toc13625"/>
      <w:r>
        <w:rPr>
          <w:rFonts w:hint="eastAsia" w:ascii="黑体" w:hAnsi="黑体" w:eastAsia="黑体"/>
          <w:sz w:val="24"/>
          <w:szCs w:val="24"/>
        </w:rPr>
        <w:t>1.5 外壳封装以及辅助材料部分</w:t>
      </w:r>
      <w:bookmarkEnd w:id="411"/>
      <w:bookmarkEnd w:id="412"/>
      <w:bookmarkEnd w:id="413"/>
    </w:p>
    <w:p w14:paraId="43732720">
      <w:pPr>
        <w:snapToGrid w:val="0"/>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外壳用于整机防护，满足户外防尘防水耐候；辅材用于整机装配固定、接线密封，其中要求如下：</w:t>
      </w:r>
    </w:p>
    <w:p w14:paraId="3EBED133">
      <w:pPr>
        <w:snapToGrid w:val="0"/>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外壳封装要求</w:t>
      </w:r>
    </w:p>
    <w:tbl>
      <w:tblPr>
        <w:tblStyle w:val="84"/>
        <w:tblW w:w="5000" w:type="pct"/>
        <w:jc w:val="center"/>
        <w:tblLayout w:type="autofit"/>
        <w:tblCellMar>
          <w:top w:w="0" w:type="dxa"/>
          <w:left w:w="108" w:type="dxa"/>
          <w:bottom w:w="0" w:type="dxa"/>
          <w:right w:w="108" w:type="dxa"/>
        </w:tblCellMar>
      </w:tblPr>
      <w:tblGrid>
        <w:gridCol w:w="4463"/>
        <w:gridCol w:w="4823"/>
      </w:tblGrid>
      <w:tr w14:paraId="2659A32A">
        <w:tblPrEx>
          <w:tblCellMar>
            <w:top w:w="0" w:type="dxa"/>
            <w:left w:w="108" w:type="dxa"/>
            <w:bottom w:w="0" w:type="dxa"/>
            <w:right w:w="108" w:type="dxa"/>
          </w:tblCellMar>
        </w:tblPrEx>
        <w:trPr>
          <w:trHeight w:val="285" w:hRule="atLeast"/>
          <w:jc w:val="center"/>
        </w:trPr>
        <w:tc>
          <w:tcPr>
            <w:tcW w:w="24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AF12DF">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材质</w:t>
            </w:r>
          </w:p>
        </w:tc>
        <w:tc>
          <w:tcPr>
            <w:tcW w:w="2597" w:type="pct"/>
            <w:tcBorders>
              <w:top w:val="single" w:color="auto" w:sz="4" w:space="0"/>
              <w:left w:val="nil"/>
              <w:bottom w:val="single" w:color="auto" w:sz="4" w:space="0"/>
              <w:right w:val="single" w:color="auto" w:sz="4" w:space="0"/>
            </w:tcBorders>
            <w:shd w:val="clear" w:color="auto" w:fill="auto"/>
            <w:noWrap/>
            <w:vAlign w:val="center"/>
          </w:tcPr>
          <w:p w14:paraId="38EAC700">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ABS/金属/树脂等</w:t>
            </w:r>
          </w:p>
        </w:tc>
      </w:tr>
      <w:tr w14:paraId="177461B7">
        <w:tblPrEx>
          <w:tblCellMar>
            <w:top w:w="0" w:type="dxa"/>
            <w:left w:w="108" w:type="dxa"/>
            <w:bottom w:w="0" w:type="dxa"/>
            <w:right w:w="108" w:type="dxa"/>
          </w:tblCellMar>
        </w:tblPrEx>
        <w:trPr>
          <w:trHeight w:val="285" w:hRule="atLeast"/>
          <w:jc w:val="center"/>
        </w:trPr>
        <w:tc>
          <w:tcPr>
            <w:tcW w:w="2403" w:type="pct"/>
            <w:tcBorders>
              <w:top w:val="nil"/>
              <w:left w:val="single" w:color="auto" w:sz="4" w:space="0"/>
              <w:bottom w:val="single" w:color="auto" w:sz="4" w:space="0"/>
              <w:right w:val="single" w:color="auto" w:sz="4" w:space="0"/>
            </w:tcBorders>
            <w:shd w:val="clear" w:color="auto" w:fill="auto"/>
            <w:noWrap/>
            <w:vAlign w:val="center"/>
          </w:tcPr>
          <w:p w14:paraId="51D679A6">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密封性及防水等级</w:t>
            </w:r>
          </w:p>
        </w:tc>
        <w:tc>
          <w:tcPr>
            <w:tcW w:w="2597" w:type="pct"/>
            <w:tcBorders>
              <w:top w:val="nil"/>
              <w:left w:val="nil"/>
              <w:bottom w:val="single" w:color="auto" w:sz="4" w:space="0"/>
              <w:right w:val="single" w:color="auto" w:sz="4" w:space="0"/>
            </w:tcBorders>
            <w:shd w:val="clear" w:color="auto" w:fill="auto"/>
            <w:noWrap/>
            <w:vAlign w:val="center"/>
          </w:tcPr>
          <w:p w14:paraId="3BEE9A1E">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IP6</w:t>
            </w:r>
            <w:r>
              <w:rPr>
                <w:rFonts w:hint="eastAsia" w:cs="宋体" w:asciiTheme="minorEastAsia" w:hAnsiTheme="minorEastAsia" w:eastAsiaTheme="minorEastAsia"/>
                <w:color w:val="000000"/>
                <w:kern w:val="0"/>
                <w:sz w:val="21"/>
                <w:szCs w:val="21"/>
                <w:lang w:val="en-US" w:eastAsia="zh-CN"/>
              </w:rPr>
              <w:t>7</w:t>
            </w:r>
            <w:r>
              <w:rPr>
                <w:rFonts w:hint="eastAsia" w:cs="宋体" w:asciiTheme="minorEastAsia" w:hAnsiTheme="minorEastAsia" w:eastAsiaTheme="minorEastAsia"/>
                <w:color w:val="000000"/>
                <w:kern w:val="0"/>
                <w:sz w:val="21"/>
                <w:szCs w:val="21"/>
              </w:rPr>
              <w:t>以上</w:t>
            </w:r>
          </w:p>
        </w:tc>
      </w:tr>
      <w:tr w14:paraId="459C7551">
        <w:tblPrEx>
          <w:tblCellMar>
            <w:top w:w="0" w:type="dxa"/>
            <w:left w:w="108" w:type="dxa"/>
            <w:bottom w:w="0" w:type="dxa"/>
            <w:right w:w="108" w:type="dxa"/>
          </w:tblCellMar>
        </w:tblPrEx>
        <w:trPr>
          <w:trHeight w:val="285" w:hRule="atLeast"/>
          <w:jc w:val="center"/>
        </w:trPr>
        <w:tc>
          <w:tcPr>
            <w:tcW w:w="2403" w:type="pct"/>
            <w:tcBorders>
              <w:top w:val="nil"/>
              <w:left w:val="single" w:color="auto" w:sz="4" w:space="0"/>
              <w:bottom w:val="single" w:color="auto" w:sz="4" w:space="0"/>
              <w:right w:val="single" w:color="auto" w:sz="4" w:space="0"/>
            </w:tcBorders>
            <w:shd w:val="clear" w:color="auto" w:fill="auto"/>
            <w:noWrap/>
            <w:vAlign w:val="center"/>
          </w:tcPr>
          <w:p w14:paraId="38C84B49">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适用范围</w:t>
            </w:r>
          </w:p>
        </w:tc>
        <w:tc>
          <w:tcPr>
            <w:tcW w:w="2597" w:type="pct"/>
            <w:tcBorders>
              <w:top w:val="nil"/>
              <w:left w:val="nil"/>
              <w:bottom w:val="single" w:color="auto" w:sz="4" w:space="0"/>
              <w:right w:val="single" w:color="auto" w:sz="4" w:space="0"/>
            </w:tcBorders>
            <w:shd w:val="clear" w:color="auto" w:fill="auto"/>
            <w:noWrap/>
            <w:vAlign w:val="center"/>
          </w:tcPr>
          <w:p w14:paraId="01047D9F">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满足设备封装要求且不影响设备正常运行</w:t>
            </w:r>
          </w:p>
        </w:tc>
      </w:tr>
      <w:tr w14:paraId="66C63880">
        <w:tblPrEx>
          <w:tblCellMar>
            <w:top w:w="0" w:type="dxa"/>
            <w:left w:w="108" w:type="dxa"/>
            <w:bottom w:w="0" w:type="dxa"/>
            <w:right w:w="108" w:type="dxa"/>
          </w:tblCellMar>
        </w:tblPrEx>
        <w:trPr>
          <w:trHeight w:val="285" w:hRule="atLeast"/>
          <w:jc w:val="center"/>
        </w:trPr>
        <w:tc>
          <w:tcPr>
            <w:tcW w:w="2403" w:type="pct"/>
            <w:tcBorders>
              <w:top w:val="nil"/>
              <w:left w:val="single" w:color="auto" w:sz="4" w:space="0"/>
              <w:bottom w:val="single" w:color="auto" w:sz="4" w:space="0"/>
              <w:right w:val="single" w:color="auto" w:sz="4" w:space="0"/>
            </w:tcBorders>
            <w:shd w:val="clear" w:color="auto" w:fill="auto"/>
            <w:noWrap/>
            <w:vAlign w:val="center"/>
          </w:tcPr>
          <w:p w14:paraId="40566A47">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外观</w:t>
            </w:r>
          </w:p>
        </w:tc>
        <w:tc>
          <w:tcPr>
            <w:tcW w:w="2597" w:type="pct"/>
            <w:tcBorders>
              <w:top w:val="nil"/>
              <w:left w:val="nil"/>
              <w:bottom w:val="single" w:color="auto" w:sz="4" w:space="0"/>
              <w:right w:val="single" w:color="auto" w:sz="4" w:space="0"/>
            </w:tcBorders>
            <w:shd w:val="clear" w:color="auto" w:fill="auto"/>
            <w:noWrap/>
            <w:vAlign w:val="center"/>
          </w:tcPr>
          <w:p w14:paraId="1FD553A5">
            <w:pPr>
              <w:widowControl/>
              <w:spacing w:line="360" w:lineRule="auto"/>
              <w:jc w:val="center"/>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rPr>
              <w:t>美观</w:t>
            </w:r>
            <w:r>
              <w:rPr>
                <w:rFonts w:hint="eastAsia" w:cs="宋体" w:asciiTheme="minorEastAsia" w:hAnsiTheme="minorEastAsia" w:eastAsiaTheme="minorEastAsia"/>
                <w:color w:val="000000"/>
                <w:kern w:val="0"/>
                <w:sz w:val="21"/>
                <w:szCs w:val="21"/>
                <w:lang w:val="en-US" w:eastAsia="zh-CN"/>
              </w:rPr>
              <w:t>实用</w:t>
            </w:r>
          </w:p>
        </w:tc>
      </w:tr>
    </w:tbl>
    <w:p w14:paraId="59A50188">
      <w:pPr>
        <w:snapToGrid w:val="0"/>
        <w:spacing w:before="240"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辅材要求</w:t>
      </w:r>
    </w:p>
    <w:tbl>
      <w:tblPr>
        <w:tblStyle w:val="84"/>
        <w:tblW w:w="5000" w:type="pct"/>
        <w:tblInd w:w="0" w:type="dxa"/>
        <w:tblLayout w:type="autofit"/>
        <w:tblCellMar>
          <w:top w:w="0" w:type="dxa"/>
          <w:left w:w="108" w:type="dxa"/>
          <w:bottom w:w="0" w:type="dxa"/>
          <w:right w:w="108" w:type="dxa"/>
        </w:tblCellMar>
      </w:tblPr>
      <w:tblGrid>
        <w:gridCol w:w="4463"/>
        <w:gridCol w:w="4823"/>
      </w:tblGrid>
      <w:tr w14:paraId="190D5E82">
        <w:tblPrEx>
          <w:tblCellMar>
            <w:top w:w="0" w:type="dxa"/>
            <w:left w:w="108" w:type="dxa"/>
            <w:bottom w:w="0" w:type="dxa"/>
            <w:right w:w="108" w:type="dxa"/>
          </w:tblCellMar>
        </w:tblPrEx>
        <w:trPr>
          <w:trHeight w:val="285" w:hRule="atLeast"/>
        </w:trPr>
        <w:tc>
          <w:tcPr>
            <w:tcW w:w="24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04BDE5">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五金件</w:t>
            </w:r>
          </w:p>
        </w:tc>
        <w:tc>
          <w:tcPr>
            <w:tcW w:w="2597" w:type="pct"/>
            <w:tcBorders>
              <w:top w:val="single" w:color="auto" w:sz="4" w:space="0"/>
              <w:left w:val="nil"/>
              <w:bottom w:val="single" w:color="auto" w:sz="4" w:space="0"/>
              <w:right w:val="single" w:color="auto" w:sz="4" w:space="0"/>
            </w:tcBorders>
            <w:shd w:val="clear" w:color="auto" w:fill="auto"/>
            <w:noWrap/>
            <w:vAlign w:val="center"/>
          </w:tcPr>
          <w:p w14:paraId="683D2DEF">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304/316及以上标准</w:t>
            </w:r>
          </w:p>
        </w:tc>
      </w:tr>
      <w:tr w14:paraId="1D232999">
        <w:tblPrEx>
          <w:tblCellMar>
            <w:top w:w="0" w:type="dxa"/>
            <w:left w:w="108" w:type="dxa"/>
            <w:bottom w:w="0" w:type="dxa"/>
            <w:right w:w="108" w:type="dxa"/>
          </w:tblCellMar>
        </w:tblPrEx>
        <w:trPr>
          <w:trHeight w:val="285" w:hRule="atLeast"/>
        </w:trPr>
        <w:tc>
          <w:tcPr>
            <w:tcW w:w="2403" w:type="pct"/>
            <w:vMerge w:val="restart"/>
            <w:tcBorders>
              <w:top w:val="nil"/>
              <w:left w:val="single" w:color="auto" w:sz="4" w:space="0"/>
              <w:bottom w:val="single" w:color="auto" w:sz="4" w:space="0"/>
              <w:right w:val="single" w:color="auto" w:sz="4" w:space="0"/>
            </w:tcBorders>
            <w:shd w:val="clear" w:color="auto" w:fill="auto"/>
            <w:noWrap/>
            <w:vAlign w:val="center"/>
          </w:tcPr>
          <w:p w14:paraId="6BE27AB5">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导线线材</w:t>
            </w:r>
          </w:p>
        </w:tc>
        <w:tc>
          <w:tcPr>
            <w:tcW w:w="2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232D2A">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承受电压不低于300V</w:t>
            </w:r>
          </w:p>
        </w:tc>
      </w:tr>
      <w:tr w14:paraId="05593230">
        <w:tblPrEx>
          <w:tblCellMar>
            <w:top w:w="0" w:type="dxa"/>
            <w:left w:w="108" w:type="dxa"/>
            <w:bottom w:w="0" w:type="dxa"/>
            <w:right w:w="108" w:type="dxa"/>
          </w:tblCellMar>
        </w:tblPrEx>
        <w:trPr>
          <w:trHeight w:val="285" w:hRule="atLeast"/>
        </w:trPr>
        <w:tc>
          <w:tcPr>
            <w:tcW w:w="2403" w:type="pct"/>
            <w:vMerge w:val="continue"/>
            <w:tcBorders>
              <w:top w:val="nil"/>
              <w:left w:val="single" w:color="auto" w:sz="4" w:space="0"/>
              <w:bottom w:val="single" w:color="auto" w:sz="4" w:space="0"/>
              <w:right w:val="single" w:color="auto" w:sz="4" w:space="0"/>
            </w:tcBorders>
            <w:vAlign w:val="center"/>
          </w:tcPr>
          <w:p w14:paraId="496F6518">
            <w:pPr>
              <w:widowControl/>
              <w:spacing w:line="360" w:lineRule="auto"/>
              <w:jc w:val="center"/>
              <w:rPr>
                <w:rFonts w:hint="eastAsia" w:cs="宋体" w:asciiTheme="minorEastAsia" w:hAnsiTheme="minorEastAsia" w:eastAsiaTheme="minorEastAsia"/>
                <w:color w:val="000000"/>
                <w:kern w:val="0"/>
                <w:sz w:val="21"/>
                <w:szCs w:val="21"/>
              </w:rPr>
            </w:pPr>
          </w:p>
        </w:tc>
        <w:tc>
          <w:tcPr>
            <w:tcW w:w="2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C0AC75">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导电性良好</w:t>
            </w:r>
          </w:p>
        </w:tc>
      </w:tr>
      <w:tr w14:paraId="5F2019C6">
        <w:tblPrEx>
          <w:tblCellMar>
            <w:top w:w="0" w:type="dxa"/>
            <w:left w:w="108" w:type="dxa"/>
            <w:bottom w:w="0" w:type="dxa"/>
            <w:right w:w="108" w:type="dxa"/>
          </w:tblCellMar>
        </w:tblPrEx>
        <w:trPr>
          <w:trHeight w:val="285" w:hRule="atLeast"/>
        </w:trPr>
        <w:tc>
          <w:tcPr>
            <w:tcW w:w="2403" w:type="pct"/>
            <w:tcBorders>
              <w:top w:val="nil"/>
              <w:left w:val="single" w:color="auto" w:sz="4" w:space="0"/>
              <w:bottom w:val="single" w:color="auto" w:sz="4" w:space="0"/>
              <w:right w:val="single" w:color="auto" w:sz="4" w:space="0"/>
            </w:tcBorders>
            <w:shd w:val="clear" w:color="auto" w:fill="auto"/>
            <w:noWrap/>
            <w:vAlign w:val="center"/>
          </w:tcPr>
          <w:p w14:paraId="5811C979">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塑料配件</w:t>
            </w:r>
          </w:p>
        </w:tc>
        <w:tc>
          <w:tcPr>
            <w:tcW w:w="2597" w:type="pct"/>
            <w:tcBorders>
              <w:top w:val="single" w:color="auto" w:sz="4" w:space="0"/>
              <w:left w:val="nil"/>
              <w:bottom w:val="single" w:color="auto" w:sz="4" w:space="0"/>
              <w:right w:val="single" w:color="auto" w:sz="4" w:space="0"/>
            </w:tcBorders>
            <w:shd w:val="clear" w:color="auto" w:fill="auto"/>
            <w:noWrap/>
            <w:vAlign w:val="center"/>
          </w:tcPr>
          <w:p w14:paraId="15D8CE7C">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耐风化，耐腐蚀性良好</w:t>
            </w:r>
          </w:p>
        </w:tc>
      </w:tr>
      <w:tr w14:paraId="5E52BD94">
        <w:tblPrEx>
          <w:tblCellMar>
            <w:top w:w="0" w:type="dxa"/>
            <w:left w:w="108" w:type="dxa"/>
            <w:bottom w:w="0" w:type="dxa"/>
            <w:right w:w="108" w:type="dxa"/>
          </w:tblCellMar>
        </w:tblPrEx>
        <w:trPr>
          <w:trHeight w:val="285" w:hRule="atLeast"/>
        </w:trPr>
        <w:tc>
          <w:tcPr>
            <w:tcW w:w="2403" w:type="pct"/>
            <w:tcBorders>
              <w:top w:val="nil"/>
              <w:left w:val="single" w:color="auto" w:sz="4" w:space="0"/>
              <w:bottom w:val="single" w:color="auto" w:sz="4" w:space="0"/>
              <w:right w:val="single" w:color="auto" w:sz="4" w:space="0"/>
            </w:tcBorders>
            <w:shd w:val="clear" w:color="auto" w:fill="auto"/>
            <w:noWrap/>
            <w:vAlign w:val="center"/>
          </w:tcPr>
          <w:p w14:paraId="7CC7243D">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其它</w:t>
            </w:r>
          </w:p>
        </w:tc>
        <w:tc>
          <w:tcPr>
            <w:tcW w:w="2597" w:type="pct"/>
            <w:tcBorders>
              <w:top w:val="nil"/>
              <w:left w:val="nil"/>
              <w:bottom w:val="single" w:color="auto" w:sz="4" w:space="0"/>
              <w:right w:val="single" w:color="auto" w:sz="4" w:space="0"/>
            </w:tcBorders>
            <w:shd w:val="clear" w:color="auto" w:fill="auto"/>
            <w:noWrap/>
            <w:vAlign w:val="center"/>
          </w:tcPr>
          <w:p w14:paraId="4C4B6C9B">
            <w:pPr>
              <w:widowControl/>
              <w:spacing w:line="360" w:lineRule="auto"/>
              <w:jc w:val="center"/>
              <w:rPr>
                <w:rFonts w:hint="eastAsia" w:cs="宋体" w:asciiTheme="minorEastAsia" w:hAnsiTheme="minorEastAsia" w:eastAsiaTheme="minorEastAsia"/>
                <w:color w:val="000000"/>
                <w:kern w:val="0"/>
                <w:sz w:val="21"/>
                <w:szCs w:val="21"/>
              </w:rPr>
            </w:pPr>
            <w:r>
              <w:rPr>
                <w:rFonts w:hint="eastAsia" w:cs="宋体" w:asciiTheme="minorEastAsia" w:hAnsiTheme="minorEastAsia" w:eastAsiaTheme="minorEastAsia"/>
                <w:color w:val="000000"/>
                <w:kern w:val="0"/>
                <w:sz w:val="21"/>
                <w:szCs w:val="21"/>
              </w:rPr>
              <w:t>至少应具备对应行业标准，且不易损坏</w:t>
            </w:r>
          </w:p>
        </w:tc>
      </w:tr>
    </w:tbl>
    <w:p w14:paraId="625D4367">
      <w:pPr>
        <w:snapToGrid w:val="0"/>
        <w:spacing w:before="240" w:line="360" w:lineRule="auto"/>
        <w:ind w:firstLine="4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装置全部零部件在正确安装使用条件下，各模块功能正常稳定，适配电缆通道户外现场，降低运维风险，保障电缆通道安全防护效果。</w:t>
      </w:r>
    </w:p>
    <w:p w14:paraId="2ECA7EDF">
      <w:pPr>
        <w:pStyle w:val="336"/>
        <w:spacing w:before="312"/>
        <w:rPr>
          <w:rFonts w:hint="eastAsia" w:ascii="黑体" w:hAnsi="黑体" w:eastAsia="黑体" w:cs="黑体"/>
          <w:b/>
          <w:sz w:val="28"/>
          <w:szCs w:val="28"/>
        </w:rPr>
      </w:pPr>
      <w:bookmarkStart w:id="414" w:name="_Toc2776"/>
      <w:bookmarkStart w:id="415" w:name="_Toc169448507"/>
      <w:bookmarkStart w:id="416" w:name="_Toc21849"/>
      <w:r>
        <w:rPr>
          <w:rFonts w:hint="eastAsia" w:ascii="黑体" w:hAnsi="黑体" w:eastAsia="黑体" w:cs="黑体"/>
          <w:b/>
          <w:sz w:val="28"/>
          <w:szCs w:val="28"/>
        </w:rPr>
        <w:t>2 使用条件</w:t>
      </w:r>
      <w:bookmarkEnd w:id="414"/>
      <w:bookmarkEnd w:id="415"/>
      <w:bookmarkEnd w:id="416"/>
    </w:p>
    <w:p w14:paraId="300EAA33">
      <w:pPr>
        <w:pStyle w:val="110"/>
        <w:snapToGrid w:val="0"/>
        <w:spacing w:line="360" w:lineRule="auto"/>
        <w:rPr>
          <w:rFonts w:ascii="宋体" w:hAnsi="宋体" w:eastAsia="宋体"/>
          <w:color w:val="000000"/>
          <w:sz w:val="24"/>
          <w:szCs w:val="24"/>
        </w:rPr>
      </w:pPr>
      <w:r>
        <w:rPr>
          <w:rFonts w:hint="eastAsia" w:ascii="宋体" w:hAnsi="宋体" w:eastAsia="宋体"/>
          <w:color w:val="000000"/>
          <w:sz w:val="24"/>
          <w:szCs w:val="24"/>
        </w:rPr>
        <w:t>周围空气温度：</w:t>
      </w:r>
    </w:p>
    <w:p w14:paraId="423C6FBF">
      <w:pPr>
        <w:pStyle w:val="110"/>
        <w:snapToGrid w:val="0"/>
        <w:spacing w:line="360" w:lineRule="auto"/>
        <w:rPr>
          <w:rFonts w:ascii="宋体" w:hAnsi="宋体" w:eastAsia="宋体"/>
          <w:color w:val="000000"/>
          <w:sz w:val="24"/>
          <w:szCs w:val="24"/>
        </w:rPr>
      </w:pPr>
      <w:r>
        <w:rPr>
          <w:rFonts w:ascii="宋体" w:hAnsi="宋体" w:eastAsia="宋体"/>
          <w:color w:val="000000"/>
          <w:sz w:val="24"/>
          <w:szCs w:val="24"/>
        </w:rPr>
        <w:t>最高温度：</w:t>
      </w:r>
      <w:r>
        <w:rPr>
          <w:rFonts w:hint="eastAsia" w:ascii="宋体" w:hAnsi="宋体" w:eastAsia="宋体"/>
          <w:color w:val="000000"/>
          <w:sz w:val="24"/>
          <w:szCs w:val="24"/>
          <w:lang w:val="en-US" w:eastAsia="zh-CN"/>
        </w:rPr>
        <w:t>85</w:t>
      </w:r>
      <w:r>
        <w:rPr>
          <w:rFonts w:hint="eastAsia" w:ascii="宋体" w:hAnsi="宋体" w:eastAsia="宋体"/>
          <w:color w:val="000000"/>
          <w:sz w:val="24"/>
          <w:szCs w:val="24"/>
        </w:rPr>
        <w:t>℃</w:t>
      </w:r>
      <w:r>
        <w:rPr>
          <w:rFonts w:ascii="宋体" w:hAnsi="宋体" w:eastAsia="宋体"/>
          <w:color w:val="000000"/>
          <w:sz w:val="24"/>
          <w:szCs w:val="24"/>
        </w:rPr>
        <w:t>；</w:t>
      </w:r>
    </w:p>
    <w:p w14:paraId="2ABC7BD2">
      <w:pPr>
        <w:pStyle w:val="110"/>
        <w:snapToGrid w:val="0"/>
        <w:spacing w:line="360" w:lineRule="auto"/>
        <w:rPr>
          <w:rFonts w:ascii="宋体" w:hAnsi="宋体" w:eastAsia="宋体"/>
          <w:color w:val="000000"/>
          <w:sz w:val="24"/>
          <w:szCs w:val="24"/>
        </w:rPr>
      </w:pPr>
      <w:r>
        <w:rPr>
          <w:rFonts w:ascii="宋体" w:hAnsi="宋体" w:eastAsia="宋体"/>
          <w:color w:val="000000"/>
          <w:sz w:val="24"/>
          <w:szCs w:val="24"/>
        </w:rPr>
        <w:t>最低</w:t>
      </w:r>
      <w:r>
        <w:rPr>
          <w:rFonts w:hint="eastAsia" w:ascii="宋体" w:hAnsi="宋体" w:eastAsia="宋体"/>
          <w:color w:val="000000"/>
          <w:sz w:val="24"/>
          <w:szCs w:val="24"/>
        </w:rPr>
        <w:t>温度</w:t>
      </w:r>
      <w:r>
        <w:rPr>
          <w:rFonts w:ascii="宋体" w:hAnsi="宋体" w:eastAsia="宋体"/>
          <w:color w:val="000000"/>
          <w:sz w:val="24"/>
          <w:szCs w:val="24"/>
        </w:rPr>
        <w:t>：</w:t>
      </w:r>
      <w:r>
        <w:rPr>
          <w:rFonts w:hint="eastAsia" w:ascii="宋体" w:hAnsi="宋体" w:eastAsia="宋体"/>
          <w:color w:val="000000"/>
          <w:sz w:val="24"/>
          <w:szCs w:val="24"/>
        </w:rPr>
        <w:t>-</w:t>
      </w:r>
      <w:r>
        <w:rPr>
          <w:rFonts w:hint="eastAsia" w:ascii="宋体" w:hAnsi="宋体" w:eastAsia="宋体"/>
          <w:color w:val="000000"/>
          <w:sz w:val="24"/>
          <w:szCs w:val="24"/>
          <w:lang w:val="en-US" w:eastAsia="zh-CN"/>
        </w:rPr>
        <w:t>25</w:t>
      </w:r>
      <w:r>
        <w:rPr>
          <w:rFonts w:hint="eastAsia" w:ascii="宋体" w:hAnsi="宋体" w:eastAsia="宋体"/>
          <w:color w:val="000000"/>
          <w:sz w:val="24"/>
          <w:szCs w:val="24"/>
        </w:rPr>
        <w:t>℃</w:t>
      </w:r>
      <w:r>
        <w:rPr>
          <w:rFonts w:ascii="宋体" w:hAnsi="宋体" w:eastAsia="宋体"/>
          <w:color w:val="000000"/>
          <w:sz w:val="24"/>
          <w:szCs w:val="24"/>
        </w:rPr>
        <w:t>；</w:t>
      </w:r>
    </w:p>
    <w:p w14:paraId="35505380">
      <w:pPr>
        <w:pStyle w:val="110"/>
        <w:snapToGrid w:val="0"/>
        <w:spacing w:line="360" w:lineRule="auto"/>
        <w:rPr>
          <w:rFonts w:ascii="宋体" w:hAnsi="宋体" w:eastAsia="宋体"/>
          <w:color w:val="000000"/>
          <w:sz w:val="24"/>
          <w:szCs w:val="24"/>
        </w:rPr>
      </w:pPr>
      <w:r>
        <w:rPr>
          <w:rFonts w:ascii="宋体" w:hAnsi="宋体" w:eastAsia="宋体"/>
          <w:color w:val="000000"/>
          <w:sz w:val="24"/>
          <w:szCs w:val="24"/>
        </w:rPr>
        <w:t>环境</w:t>
      </w:r>
      <w:r>
        <w:rPr>
          <w:rFonts w:hint="eastAsia" w:ascii="宋体" w:hAnsi="宋体" w:eastAsia="宋体"/>
          <w:color w:val="000000"/>
          <w:sz w:val="24"/>
          <w:szCs w:val="24"/>
        </w:rPr>
        <w:t>湿度：5%-100%</w:t>
      </w:r>
      <w:r>
        <w:rPr>
          <w:rFonts w:hint="eastAsia" w:ascii="宋体" w:hAnsi="宋体" w:eastAsia="宋体"/>
          <w:color w:val="000000"/>
          <w:sz w:val="24"/>
          <w:szCs w:val="24"/>
          <w:lang w:val="en-US" w:eastAsia="zh-CN"/>
        </w:rPr>
        <w:t>RH</w:t>
      </w:r>
      <w:r>
        <w:rPr>
          <w:rFonts w:ascii="宋体" w:hAnsi="宋体" w:eastAsia="宋体"/>
          <w:color w:val="000000"/>
          <w:sz w:val="24"/>
          <w:szCs w:val="24"/>
        </w:rPr>
        <w:t>；</w:t>
      </w:r>
    </w:p>
    <w:p w14:paraId="07ED2D77">
      <w:pPr>
        <w:pStyle w:val="336"/>
        <w:spacing w:before="312"/>
        <w:rPr>
          <w:rFonts w:hint="eastAsia" w:ascii="黑体" w:hAnsi="黑体" w:eastAsia="黑体" w:cs="黑体"/>
          <w:b/>
          <w:sz w:val="28"/>
          <w:szCs w:val="28"/>
        </w:rPr>
      </w:pPr>
      <w:bookmarkStart w:id="417" w:name="_Toc8025"/>
      <w:bookmarkStart w:id="418" w:name="_Toc7060"/>
      <w:bookmarkStart w:id="419" w:name="_Toc169448508"/>
      <w:r>
        <w:rPr>
          <w:rFonts w:hint="eastAsia" w:ascii="黑体" w:hAnsi="黑体" w:eastAsia="黑体" w:cs="黑体"/>
          <w:b/>
          <w:sz w:val="28"/>
          <w:szCs w:val="28"/>
        </w:rPr>
        <w:t>3 包装运输安装和质量保证</w:t>
      </w:r>
      <w:bookmarkEnd w:id="417"/>
      <w:bookmarkEnd w:id="418"/>
      <w:bookmarkEnd w:id="419"/>
    </w:p>
    <w:p w14:paraId="2A35D850">
      <w:pPr>
        <w:pStyle w:val="3"/>
        <w:numPr>
          <w:ilvl w:val="0"/>
          <w:numId w:val="0"/>
        </w:numPr>
        <w:spacing w:line="360" w:lineRule="auto"/>
        <w:ind w:firstLine="480" w:firstLineChars="200"/>
        <w:rPr>
          <w:sz w:val="24"/>
          <w:szCs w:val="24"/>
        </w:rPr>
      </w:pPr>
      <w:bookmarkStart w:id="420" w:name="_Toc14578"/>
      <w:bookmarkStart w:id="421" w:name="_Toc169448509"/>
      <w:bookmarkStart w:id="422" w:name="_Toc11330"/>
      <w:r>
        <w:rPr>
          <w:rFonts w:hint="eastAsia"/>
          <w:sz w:val="24"/>
          <w:szCs w:val="24"/>
        </w:rPr>
        <w:t>3.1 包装</w:t>
      </w:r>
      <w:bookmarkEnd w:id="420"/>
      <w:bookmarkEnd w:id="421"/>
      <w:bookmarkEnd w:id="422"/>
    </w:p>
    <w:p w14:paraId="7BA004F2">
      <w:pPr>
        <w:spacing w:line="360" w:lineRule="auto"/>
        <w:ind w:firstLine="480" w:firstLineChars="200"/>
        <w:rPr>
          <w:rFonts w:ascii="宋体" w:hAnsi="宋体"/>
          <w:color w:val="000000"/>
          <w:sz w:val="24"/>
          <w:szCs w:val="24"/>
        </w:rPr>
      </w:pPr>
      <w:r>
        <w:rPr>
          <w:rFonts w:hint="eastAsia" w:ascii="宋体" w:hAnsi="宋体"/>
          <w:color w:val="000000"/>
          <w:sz w:val="24"/>
          <w:szCs w:val="24"/>
        </w:rPr>
        <w:t>1）严格按照制造厂说明书对设备进行包装、运输和储存。</w:t>
      </w:r>
    </w:p>
    <w:p w14:paraId="4F2CB747">
      <w:pPr>
        <w:spacing w:line="360" w:lineRule="auto"/>
        <w:ind w:firstLine="480" w:firstLineChars="200"/>
        <w:rPr>
          <w:rFonts w:ascii="宋体" w:hAnsi="宋体"/>
          <w:color w:val="000000"/>
          <w:sz w:val="24"/>
          <w:szCs w:val="24"/>
        </w:rPr>
      </w:pPr>
      <w:r>
        <w:rPr>
          <w:rFonts w:hint="eastAsia" w:ascii="宋体" w:hAnsi="宋体"/>
          <w:color w:val="000000"/>
          <w:sz w:val="24"/>
          <w:szCs w:val="24"/>
        </w:rPr>
        <w:t>2）包装应能保证设备在运输过程中不遭脏污、损坏、变形、丢失及受潮。</w:t>
      </w:r>
    </w:p>
    <w:p w14:paraId="1C4AC57C">
      <w:pPr>
        <w:pStyle w:val="3"/>
        <w:numPr>
          <w:ilvl w:val="0"/>
          <w:numId w:val="0"/>
        </w:numPr>
        <w:spacing w:line="360" w:lineRule="auto"/>
        <w:ind w:firstLine="480" w:firstLineChars="200"/>
        <w:rPr>
          <w:sz w:val="24"/>
          <w:szCs w:val="24"/>
        </w:rPr>
      </w:pPr>
      <w:bookmarkStart w:id="423" w:name="_Toc2693"/>
      <w:bookmarkStart w:id="424" w:name="_Toc169448510"/>
      <w:bookmarkStart w:id="425" w:name="_Toc5900"/>
      <w:r>
        <w:rPr>
          <w:rFonts w:hint="eastAsia"/>
          <w:sz w:val="24"/>
          <w:szCs w:val="24"/>
        </w:rPr>
        <w:t>3.2 运输</w:t>
      </w:r>
      <w:bookmarkEnd w:id="423"/>
      <w:bookmarkEnd w:id="424"/>
      <w:bookmarkEnd w:id="425"/>
    </w:p>
    <w:p w14:paraId="2B4F7B76">
      <w:pPr>
        <w:spacing w:line="360" w:lineRule="auto"/>
        <w:ind w:firstLine="480" w:firstLineChars="200"/>
        <w:rPr>
          <w:rFonts w:ascii="宋体" w:hAnsi="宋体"/>
          <w:color w:val="000000"/>
          <w:sz w:val="24"/>
          <w:szCs w:val="24"/>
        </w:rPr>
      </w:pPr>
      <w:r>
        <w:rPr>
          <w:rFonts w:hint="eastAsia" w:ascii="宋体" w:hAnsi="宋体"/>
          <w:color w:val="000000"/>
          <w:sz w:val="24"/>
          <w:szCs w:val="24"/>
        </w:rPr>
        <w:t>1）整体运输时，内部元件应不得移位、损坏和受潮。</w:t>
      </w:r>
    </w:p>
    <w:p w14:paraId="6D3D5804">
      <w:pPr>
        <w:spacing w:line="360" w:lineRule="auto"/>
        <w:ind w:firstLine="480" w:firstLineChars="200"/>
        <w:rPr>
          <w:rFonts w:ascii="宋体" w:hAnsi="宋体"/>
          <w:color w:val="000000"/>
          <w:sz w:val="24"/>
          <w:szCs w:val="24"/>
        </w:rPr>
      </w:pPr>
      <w:r>
        <w:rPr>
          <w:rFonts w:hint="eastAsia" w:ascii="宋体" w:hAnsi="宋体"/>
          <w:color w:val="000000"/>
          <w:sz w:val="24"/>
          <w:szCs w:val="24"/>
        </w:rPr>
        <w:t>2）单独运输的零部件应有标志，便于用户安装。</w:t>
      </w:r>
    </w:p>
    <w:p w14:paraId="2DC4E6CE">
      <w:pPr>
        <w:pStyle w:val="3"/>
        <w:numPr>
          <w:ilvl w:val="0"/>
          <w:numId w:val="0"/>
        </w:numPr>
        <w:spacing w:line="360" w:lineRule="auto"/>
        <w:ind w:firstLine="480" w:firstLineChars="200"/>
        <w:rPr>
          <w:sz w:val="24"/>
          <w:szCs w:val="24"/>
        </w:rPr>
      </w:pPr>
      <w:bookmarkStart w:id="426" w:name="_Toc1787"/>
      <w:bookmarkStart w:id="427" w:name="_Toc169448511"/>
      <w:bookmarkStart w:id="428" w:name="_Toc29706"/>
      <w:r>
        <w:rPr>
          <w:rFonts w:hint="eastAsia"/>
          <w:sz w:val="24"/>
          <w:szCs w:val="24"/>
        </w:rPr>
        <w:t>3.3 质量保证</w:t>
      </w:r>
      <w:bookmarkEnd w:id="426"/>
      <w:bookmarkEnd w:id="427"/>
      <w:bookmarkEnd w:id="428"/>
    </w:p>
    <w:p w14:paraId="64BACC82">
      <w:pPr>
        <w:spacing w:line="360" w:lineRule="auto"/>
        <w:ind w:firstLine="480" w:firstLineChars="200"/>
        <w:rPr>
          <w:rFonts w:ascii="宋体" w:hAnsi="宋体"/>
          <w:color w:val="000000"/>
          <w:sz w:val="24"/>
          <w:szCs w:val="24"/>
        </w:rPr>
      </w:pPr>
      <w:r>
        <w:rPr>
          <w:rFonts w:hint="eastAsia" w:ascii="宋体" w:hAnsi="宋体"/>
          <w:color w:val="000000"/>
          <w:sz w:val="24"/>
          <w:szCs w:val="24"/>
        </w:rPr>
        <w:t>1）投标方应按使用说明书进行安装和维护，确保设备在规定的使用条件下安全运行；</w:t>
      </w:r>
    </w:p>
    <w:p w14:paraId="372455EE">
      <w:pPr>
        <w:spacing w:line="360" w:lineRule="auto"/>
        <w:ind w:firstLine="480" w:firstLineChars="200"/>
        <w:rPr>
          <w:rFonts w:ascii="宋体" w:hAnsi="宋体"/>
          <w:color w:val="000000"/>
          <w:sz w:val="24"/>
          <w:szCs w:val="24"/>
        </w:rPr>
      </w:pPr>
      <w:r>
        <w:rPr>
          <w:rFonts w:hint="eastAsia" w:ascii="宋体" w:hAnsi="宋体"/>
          <w:color w:val="000000"/>
          <w:sz w:val="24"/>
          <w:szCs w:val="24"/>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14:paraId="633EFF0A">
      <w:pPr>
        <w:spacing w:line="360" w:lineRule="auto"/>
        <w:ind w:firstLine="480" w:firstLineChars="200"/>
        <w:rPr>
          <w:rFonts w:ascii="宋体" w:hAnsi="宋体"/>
          <w:color w:val="000000"/>
          <w:sz w:val="24"/>
          <w:szCs w:val="24"/>
        </w:rPr>
      </w:pPr>
      <w:r>
        <w:rPr>
          <w:rFonts w:hint="eastAsia" w:ascii="宋体" w:hAnsi="宋体"/>
          <w:color w:val="000000"/>
          <w:sz w:val="24"/>
          <w:szCs w:val="24"/>
        </w:rPr>
        <w:t xml:space="preserve">3）投标方保证其提供的产品是全新的、未使用过的，所有合同货物本体及附件必须防腐防锈，质保期内不得出现锈蚀、开裂，否则应无条件更换； </w:t>
      </w:r>
    </w:p>
    <w:p w14:paraId="1231DBF6">
      <w:pPr>
        <w:spacing w:line="360" w:lineRule="auto"/>
        <w:ind w:firstLine="480" w:firstLineChars="200"/>
        <w:rPr>
          <w:rFonts w:ascii="宋体" w:hAnsi="宋体"/>
          <w:color w:val="000000"/>
          <w:sz w:val="24"/>
          <w:szCs w:val="24"/>
        </w:rPr>
      </w:pPr>
      <w:r>
        <w:rPr>
          <w:rFonts w:hint="eastAsia" w:ascii="宋体" w:hAnsi="宋体"/>
          <w:color w:val="000000"/>
          <w:sz w:val="24"/>
          <w:szCs w:val="24"/>
        </w:rPr>
        <w:t>4）投标方应保证制造过程中的所有工艺、材料试验等（包括投标方的外购件在内）均应符合本标准的规定。若招标方根据运行经验指定投标方提供某种外购零部件，投标方应积极配合；</w:t>
      </w:r>
    </w:p>
    <w:p w14:paraId="375FF67C">
      <w:pPr>
        <w:spacing w:line="360" w:lineRule="auto"/>
        <w:ind w:firstLine="480" w:firstLineChars="200"/>
        <w:rPr>
          <w:rFonts w:ascii="宋体" w:hAnsi="宋体"/>
          <w:color w:val="000000"/>
          <w:sz w:val="24"/>
          <w:szCs w:val="24"/>
        </w:rPr>
      </w:pPr>
      <w:r>
        <w:rPr>
          <w:rFonts w:hint="eastAsia" w:ascii="宋体" w:hAnsi="宋体"/>
          <w:color w:val="000000"/>
          <w:sz w:val="24"/>
          <w:szCs w:val="24"/>
        </w:rPr>
        <w:t>5）投标方须建立能够满足本标准各项条款及全部工作项目要求的质量保证体系，体系应完整健全，并保持持续正常运转。</w:t>
      </w:r>
      <w:bookmarkStart w:id="438" w:name="_GoBack"/>
      <w:bookmarkEnd w:id="438"/>
    </w:p>
    <w:p w14:paraId="48AAA0C3">
      <w:pPr>
        <w:pStyle w:val="336"/>
        <w:spacing w:before="312"/>
        <w:rPr>
          <w:rFonts w:hint="eastAsia" w:ascii="黑体" w:hAnsi="黑体" w:eastAsia="黑体" w:cs="黑体"/>
          <w:b/>
          <w:sz w:val="28"/>
          <w:szCs w:val="28"/>
        </w:rPr>
      </w:pPr>
      <w:bookmarkStart w:id="429" w:name="_Toc4689"/>
      <w:bookmarkStart w:id="430" w:name="_Toc14245"/>
      <w:bookmarkStart w:id="431" w:name="_Toc19201"/>
      <w:bookmarkStart w:id="432" w:name="_Toc24569"/>
      <w:bookmarkStart w:id="433" w:name="_Toc266713650"/>
      <w:bookmarkStart w:id="434" w:name="_Toc169448512"/>
      <w:r>
        <w:rPr>
          <w:rFonts w:hint="eastAsia" w:ascii="黑体" w:hAnsi="黑体" w:eastAsia="黑体" w:cs="黑体"/>
          <w:b/>
          <w:sz w:val="28"/>
          <w:szCs w:val="28"/>
        </w:rPr>
        <w:t>4 时间进度要求</w:t>
      </w:r>
      <w:bookmarkEnd w:id="429"/>
      <w:bookmarkEnd w:id="430"/>
      <w:bookmarkEnd w:id="431"/>
      <w:bookmarkEnd w:id="432"/>
      <w:bookmarkEnd w:id="433"/>
      <w:bookmarkEnd w:id="434"/>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14:paraId="07B381A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14:paraId="5B8ECEDF">
            <w:pPr>
              <w:adjustRightInd w:val="0"/>
              <w:snapToGrid w:val="0"/>
              <w:spacing w:line="360" w:lineRule="auto"/>
              <w:textAlignment w:val="center"/>
              <w:rPr>
                <w:rFonts w:ascii="宋体" w:hAnsi="宋体" w:cs="宋体"/>
                <w:b/>
                <w:sz w:val="24"/>
              </w:rPr>
            </w:pPr>
            <w:r>
              <w:rPr>
                <w:rFonts w:hint="eastAsia" w:ascii="宋体" w:hAnsi="宋体" w:cs="宋体"/>
                <w:b/>
                <w:sz w:val="24"/>
              </w:rPr>
              <w:t>进度计划</w:t>
            </w:r>
          </w:p>
        </w:tc>
      </w:tr>
      <w:tr w14:paraId="1348A16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176"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14:paraId="52090251">
            <w:pPr>
              <w:adjustRightInd w:val="0"/>
              <w:snapToGrid w:val="0"/>
              <w:spacing w:line="360" w:lineRule="auto"/>
              <w:textAlignment w:val="center"/>
              <w:rPr>
                <w:rFonts w:ascii="宋体" w:hAnsi="宋体" w:cs="宋体"/>
                <w:b/>
                <w:sz w:val="24"/>
              </w:rPr>
            </w:pPr>
          </w:p>
        </w:tc>
        <w:tc>
          <w:tcPr>
            <w:tcW w:w="8073" w:type="dxa"/>
            <w:tcBorders>
              <w:top w:val="single" w:color="auto" w:sz="12" w:space="0"/>
              <w:left w:val="single" w:color="auto" w:sz="12" w:space="0"/>
              <w:bottom w:val="single" w:color="auto" w:sz="12" w:space="0"/>
              <w:right w:val="single" w:color="auto" w:sz="12" w:space="0"/>
            </w:tcBorders>
            <w:vAlign w:val="center"/>
          </w:tcPr>
          <w:p w14:paraId="1D07332F">
            <w:pPr>
              <w:adjustRightInd w:val="0"/>
              <w:snapToGrid w:val="0"/>
              <w:spacing w:line="360" w:lineRule="auto"/>
              <w:ind w:right="249"/>
              <w:jc w:val="left"/>
              <w:textAlignment w:val="center"/>
              <w:rPr>
                <w:rFonts w:ascii="宋体" w:hAnsi="宋体" w:cs="宋体"/>
                <w:b/>
                <w:sz w:val="24"/>
              </w:rPr>
            </w:pPr>
            <w:r>
              <w:rPr>
                <w:rFonts w:hint="eastAsia" w:ascii="宋体" w:hAnsi="宋体" w:cs="宋体"/>
                <w:b/>
                <w:sz w:val="24"/>
              </w:rPr>
              <w:t>[成交通知书发出后</w:t>
            </w:r>
            <w:r>
              <w:rPr>
                <w:rFonts w:hint="eastAsia" w:ascii="宋体" w:hAnsi="宋体" w:cs="宋体"/>
                <w:b/>
                <w:sz w:val="24"/>
                <w:lang w:val="en-US" w:eastAsia="zh-CN"/>
              </w:rPr>
              <w:t>30</w:t>
            </w:r>
            <w:r>
              <w:rPr>
                <w:rFonts w:hint="eastAsia" w:ascii="宋体" w:hAnsi="宋体" w:cs="宋体"/>
                <w:b/>
                <w:sz w:val="24"/>
              </w:rPr>
              <w:t>日内]</w:t>
            </w:r>
          </w:p>
          <w:p w14:paraId="61779AD0">
            <w:pPr>
              <w:adjustRightInd w:val="0"/>
              <w:snapToGrid w:val="0"/>
              <w:spacing w:line="360" w:lineRule="auto"/>
              <w:ind w:right="249"/>
              <w:jc w:val="left"/>
              <w:textAlignment w:val="center"/>
              <w:rPr>
                <w:rFonts w:hint="eastAsia" w:ascii="宋体" w:hAnsi="宋体" w:cs="宋体"/>
                <w:b/>
                <w:sz w:val="24"/>
              </w:rPr>
            </w:pPr>
            <w:r>
              <w:rPr>
                <w:rFonts w:hint="eastAsia" w:ascii="宋体" w:hAnsi="宋体" w:cs="宋体"/>
                <w:b/>
                <w:sz w:val="24"/>
              </w:rPr>
              <w:t>主要内容：</w:t>
            </w:r>
          </w:p>
          <w:p w14:paraId="7A48A08B">
            <w:pPr>
              <w:numPr>
                <w:ilvl w:val="-1"/>
                <w:numId w:val="0"/>
              </w:numPr>
              <w:adjustRightInd w:val="0"/>
              <w:snapToGrid w:val="0"/>
              <w:spacing w:line="360" w:lineRule="auto"/>
              <w:ind w:left="0" w:right="249" w:rightChars="0" w:firstLine="0"/>
              <w:jc w:val="left"/>
              <w:textAlignment w:val="center"/>
              <w:rPr>
                <w:rFonts w:ascii="宋体" w:hAnsi="宋体" w:cs="宋体"/>
                <w:sz w:val="24"/>
              </w:rPr>
            </w:pPr>
            <w:r>
              <w:rPr>
                <w:rFonts w:hint="eastAsia" w:ascii="宋体" w:hAnsi="宋体" w:cs="宋体"/>
                <w:color w:val="000000"/>
              </w:rPr>
              <w:t>根据技术服务内容要求，完成</w:t>
            </w:r>
            <w:r>
              <w:rPr>
                <w:rFonts w:hint="eastAsia" w:ascii="宋体" w:hAnsi="宋体" w:eastAsia="宋体" w:cs="宋体"/>
                <w:szCs w:val="21"/>
              </w:rPr>
              <w:t>材料部分准备工作</w:t>
            </w:r>
            <w:r>
              <w:rPr>
                <w:rFonts w:hint="eastAsia" w:ascii="宋体" w:hAnsi="宋体" w:cs="宋体"/>
                <w:color w:val="000000"/>
              </w:rPr>
              <w:t>。</w:t>
            </w:r>
          </w:p>
        </w:tc>
      </w:tr>
      <w:tr w14:paraId="666F1C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595"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14:paraId="1D59517E">
            <w:pPr>
              <w:widowControl/>
              <w:spacing w:line="360" w:lineRule="auto"/>
              <w:jc w:val="left"/>
              <w:rPr>
                <w:rFonts w:ascii="宋体" w:hAnsi="宋体" w:cs="宋体"/>
                <w:b/>
                <w:sz w:val="24"/>
              </w:rPr>
            </w:pPr>
          </w:p>
        </w:tc>
        <w:tc>
          <w:tcPr>
            <w:tcW w:w="8073" w:type="dxa"/>
            <w:tcBorders>
              <w:top w:val="single" w:color="auto" w:sz="12" w:space="0"/>
              <w:left w:val="single" w:color="auto" w:sz="12" w:space="0"/>
              <w:bottom w:val="single" w:color="auto" w:sz="12" w:space="0"/>
              <w:right w:val="single" w:color="auto" w:sz="12" w:space="0"/>
            </w:tcBorders>
            <w:vAlign w:val="center"/>
          </w:tcPr>
          <w:p w14:paraId="49295555">
            <w:pPr>
              <w:numPr>
                <w:ilvl w:val="-1"/>
                <w:numId w:val="0"/>
              </w:numPr>
              <w:adjustRightInd/>
              <w:snapToGrid/>
              <w:spacing w:line="360" w:lineRule="auto"/>
              <w:ind w:left="0" w:right="0" w:firstLine="0"/>
              <w:textAlignment w:val="auto"/>
              <w:rPr>
                <w:rFonts w:ascii="宋体" w:hAnsi="宋体" w:cs="宋体"/>
                <w:b/>
                <w:sz w:val="24"/>
              </w:rPr>
            </w:pPr>
            <w:r>
              <w:rPr>
                <w:rFonts w:hint="eastAsia" w:ascii="宋体" w:hAnsi="宋体" w:cs="宋体"/>
                <w:b/>
                <w:sz w:val="24"/>
              </w:rPr>
              <w:t>[加工制作完成后</w:t>
            </w:r>
            <w:r>
              <w:rPr>
                <w:rFonts w:hint="eastAsia" w:ascii="宋体" w:hAnsi="宋体" w:cs="宋体"/>
                <w:b/>
                <w:sz w:val="24"/>
                <w:lang w:val="en-US" w:eastAsia="zh-CN"/>
              </w:rPr>
              <w:t>30</w:t>
            </w:r>
            <w:r>
              <w:rPr>
                <w:rFonts w:hint="eastAsia" w:ascii="宋体" w:hAnsi="宋体" w:cs="宋体"/>
                <w:b/>
                <w:sz w:val="24"/>
              </w:rPr>
              <w:t>日内]</w:t>
            </w:r>
          </w:p>
          <w:p w14:paraId="7F830541">
            <w:pPr>
              <w:numPr>
                <w:ilvl w:val="-1"/>
                <w:numId w:val="0"/>
              </w:numPr>
              <w:adjustRightInd/>
              <w:snapToGrid/>
              <w:spacing w:line="360" w:lineRule="auto"/>
              <w:ind w:left="0" w:right="0" w:firstLine="0"/>
              <w:jc w:val="left"/>
              <w:textAlignment w:val="auto"/>
              <w:rPr>
                <w:rFonts w:ascii="宋体" w:hAnsi="宋体" w:cs="宋体"/>
                <w:b/>
                <w:sz w:val="24"/>
              </w:rPr>
            </w:pPr>
            <w:r>
              <w:rPr>
                <w:rFonts w:hint="eastAsia" w:ascii="宋体" w:hAnsi="宋体" w:cs="宋体"/>
                <w:b/>
                <w:sz w:val="24"/>
              </w:rPr>
              <w:t>主要内容：</w:t>
            </w:r>
          </w:p>
          <w:p w14:paraId="623A056A">
            <w:pPr>
              <w:numPr>
                <w:ilvl w:val="-1"/>
                <w:numId w:val="0"/>
              </w:numPr>
              <w:spacing w:line="360" w:lineRule="auto"/>
              <w:ind w:left="0" w:firstLine="0"/>
              <w:rPr>
                <w:rFonts w:ascii="宋体" w:hAnsi="宋体" w:cs="宋体"/>
                <w:b/>
                <w:sz w:val="24"/>
              </w:rPr>
            </w:pPr>
            <w:r>
              <w:rPr>
                <w:rFonts w:hint="eastAsia" w:ascii="宋体" w:hAnsi="宋体" w:cs="宋体"/>
                <w:color w:val="000000"/>
              </w:rPr>
              <w:t>完成材料测试检定</w:t>
            </w:r>
            <w:r>
              <w:rPr>
                <w:rFonts w:hint="eastAsia" w:ascii="宋体" w:hAnsi="宋体" w:cs="宋体"/>
                <w:color w:val="000000"/>
                <w:lang w:val="en-US" w:eastAsia="zh-CN"/>
              </w:rPr>
              <w:t>,并提供</w:t>
            </w:r>
            <w:r>
              <w:rPr>
                <w:rFonts w:hint="eastAsia" w:ascii="宋体" w:hAnsi="宋体" w:cs="宋体"/>
                <w:color w:val="000000"/>
              </w:rPr>
              <w:t>自检测试报告。</w:t>
            </w:r>
          </w:p>
        </w:tc>
      </w:tr>
    </w:tbl>
    <w:p w14:paraId="59252A25">
      <w:pPr>
        <w:pStyle w:val="336"/>
        <w:spacing w:before="312"/>
        <w:rPr>
          <w:rFonts w:hint="eastAsia" w:ascii="黑体" w:hAnsi="黑体" w:eastAsia="黑体" w:cs="黑体"/>
          <w:b/>
          <w:sz w:val="28"/>
          <w:szCs w:val="28"/>
        </w:rPr>
      </w:pPr>
      <w:bookmarkStart w:id="435" w:name="_Toc27188"/>
      <w:bookmarkStart w:id="436" w:name="_Toc169448513"/>
      <w:bookmarkStart w:id="437" w:name="_Toc1717"/>
      <w:r>
        <w:rPr>
          <w:rFonts w:hint="eastAsia" w:ascii="黑体" w:hAnsi="黑体" w:eastAsia="黑体" w:cs="黑体"/>
          <w:b/>
          <w:sz w:val="28"/>
          <w:szCs w:val="28"/>
        </w:rPr>
        <w:t>5 交付与验收</w:t>
      </w:r>
      <w:bookmarkEnd w:id="435"/>
      <w:bookmarkEnd w:id="436"/>
      <w:bookmarkEnd w:id="437"/>
    </w:p>
    <w:p w14:paraId="5796E4A5">
      <w:pPr>
        <w:numPr>
          <w:ilvl w:val="0"/>
          <w:numId w:val="2"/>
        </w:numPr>
        <w:spacing w:line="360" w:lineRule="auto"/>
        <w:ind w:left="0" w:firstLine="480" w:firstLineChars="200"/>
        <w:rPr>
          <w:rFonts w:hint="eastAsia" w:ascii="宋体" w:hAnsi="宋体"/>
          <w:color w:val="000000"/>
          <w:sz w:val="24"/>
          <w:szCs w:val="24"/>
        </w:rPr>
      </w:pPr>
      <w:r>
        <w:rPr>
          <w:rFonts w:hint="eastAsia" w:ascii="宋体" w:hAnsi="宋体" w:eastAsia="宋体"/>
          <w:color w:val="000000"/>
          <w:sz w:val="24"/>
          <w:szCs w:val="24"/>
        </w:rPr>
        <w:t>按照技术服务内容要求完成相关内容交付</w:t>
      </w:r>
      <w:r>
        <w:rPr>
          <w:rFonts w:hint="eastAsia" w:ascii="宋体" w:hAnsi="宋体"/>
          <w:color w:val="000000"/>
          <w:sz w:val="24"/>
          <w:szCs w:val="24"/>
        </w:rPr>
        <w:t>。</w:t>
      </w:r>
      <w:bookmarkEnd w:id="400"/>
    </w:p>
    <w:p w14:paraId="525E731E">
      <w:pPr>
        <w:numPr>
          <w:ilvl w:val="0"/>
          <w:numId w:val="2"/>
        </w:numPr>
        <w:spacing w:line="360" w:lineRule="auto"/>
        <w:ind w:left="0" w:firstLine="480" w:firstLineChars="200"/>
        <w:rPr>
          <w:rFonts w:hint="eastAsia" w:ascii="宋体" w:hAnsi="宋体"/>
          <w:color w:val="000000"/>
          <w:sz w:val="24"/>
          <w:szCs w:val="24"/>
        </w:rPr>
      </w:pPr>
      <w:r>
        <w:rPr>
          <w:rFonts w:hint="eastAsia" w:ascii="宋体" w:hAnsi="宋体"/>
          <w:color w:val="000000"/>
          <w:sz w:val="24"/>
          <w:szCs w:val="24"/>
          <w:lang w:val="en-US" w:eastAsia="zh-CN"/>
        </w:rPr>
        <w:t>各材料应提供证明符合技术参数的检验报告。</w:t>
      </w:r>
    </w:p>
    <w:p w14:paraId="44A53D5C">
      <w:pPr>
        <w:spacing w:line="360" w:lineRule="auto"/>
        <w:ind w:firstLine="480" w:firstLineChars="200"/>
        <w:rPr>
          <w:rFonts w:hint="eastAsia" w:ascii="宋体" w:hAnsi="宋体"/>
          <w:color w:val="000000"/>
          <w:sz w:val="24"/>
          <w:szCs w:val="24"/>
        </w:rPr>
      </w:pPr>
      <w:r>
        <w:rPr>
          <w:rFonts w:hint="eastAsia" w:ascii="宋体" w:hAnsi="宋体" w:cs="Times New Roman"/>
          <w:color w:val="000000"/>
          <w:sz w:val="24"/>
          <w:szCs w:val="24"/>
          <w:lang w:eastAsia="zh-CN" w:bidi="ar"/>
        </w:rPr>
        <w:t>3</w:t>
      </w:r>
      <w:r>
        <w:rPr>
          <w:rFonts w:hint="eastAsia" w:ascii="宋体" w:hAnsi="宋体" w:cs="Times New Roman"/>
          <w:color w:val="000000"/>
          <w:sz w:val="24"/>
          <w:szCs w:val="24"/>
          <w:lang w:bidi="ar"/>
        </w:rPr>
        <w:t>）按本技术条件书要求，对技术服务内容进行验收。</w:t>
      </w: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宋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微软雅黑">
    <w:panose1 w:val="020B0503020204020204"/>
    <w:charset w:val="86"/>
    <w:family w:val="swiss"/>
    <w:pitch w:val="default"/>
    <w:sig w:usb0="80000287" w:usb1="2ACF3C50" w:usb2="00000016" w:usb3="00000000" w:csb0="0004001F" w:csb1="00000000"/>
  </w:font>
  <w:font w:name="Plotter">
    <w:altName w:val="Noto Serif SC"/>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Open Sans">
    <w:altName w:val="Times New Roman"/>
    <w:panose1 w:val="00000000000000000000"/>
    <w:charset w:val="00"/>
    <w:family w:val="swiss"/>
    <w:pitch w:val="default"/>
    <w:sig w:usb0="00000000" w:usb1="00000000" w:usb2="00000028" w:usb3="00000000" w:csb0="0000019F" w:csb1="00000000"/>
  </w:font>
  <w:font w:name="KSOFF9CBECC6">
    <w:panose1 w:val="02010609060101010101"/>
    <w:charset w:val="86"/>
    <w:family w:val="auto"/>
    <w:pitch w:val="default"/>
    <w:sig w:usb0="00000001" w:usb1="00000000" w:usb2="00000000" w:usb3="00000000" w:csb0="00040001" w:csb1="00000000"/>
  </w:font>
  <w:font w:name="KSOFF5562F02">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3B23B">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F4C72">
    <w:pPr>
      <w:pStyle w:val="51"/>
      <w:framePr w:wrap="around" w:vAnchor="text" w:hAnchor="margin" w:xAlign="right" w:y="1"/>
      <w:rPr>
        <w:rStyle w:val="88"/>
      </w:rPr>
    </w:pPr>
    <w:r>
      <w:fldChar w:fldCharType="begin"/>
    </w:r>
    <w:r>
      <w:rPr>
        <w:rStyle w:val="88"/>
      </w:rPr>
      <w:instrText xml:space="preserve">PAGE  </w:instrText>
    </w:r>
    <w:r>
      <w:fldChar w:fldCharType="end"/>
    </w:r>
  </w:p>
  <w:p w14:paraId="5902778E">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CBD8C">
    <w:pPr>
      <w:pStyle w:val="51"/>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31809BC"/>
    <w:multiLevelType w:val="singleLevel"/>
    <w:tmpl w:val="031809BC"/>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2A"/>
    <w:rsid w:val="0002076C"/>
    <w:rsid w:val="00044068"/>
    <w:rsid w:val="000635F5"/>
    <w:rsid w:val="00063E4A"/>
    <w:rsid w:val="000656D4"/>
    <w:rsid w:val="000678B7"/>
    <w:rsid w:val="00070451"/>
    <w:rsid w:val="00071014"/>
    <w:rsid w:val="00074322"/>
    <w:rsid w:val="00075FFE"/>
    <w:rsid w:val="000A6EC2"/>
    <w:rsid w:val="000A78BE"/>
    <w:rsid w:val="000C339F"/>
    <w:rsid w:val="000E0512"/>
    <w:rsid w:val="000F7890"/>
    <w:rsid w:val="000F7C1A"/>
    <w:rsid w:val="00120355"/>
    <w:rsid w:val="00122D4C"/>
    <w:rsid w:val="001237A7"/>
    <w:rsid w:val="001240CB"/>
    <w:rsid w:val="00140752"/>
    <w:rsid w:val="001504B0"/>
    <w:rsid w:val="00164480"/>
    <w:rsid w:val="001646F5"/>
    <w:rsid w:val="001666D1"/>
    <w:rsid w:val="00170000"/>
    <w:rsid w:val="00172A27"/>
    <w:rsid w:val="001B339A"/>
    <w:rsid w:val="001B7DFA"/>
    <w:rsid w:val="001E177E"/>
    <w:rsid w:val="00200FD2"/>
    <w:rsid w:val="00227E4C"/>
    <w:rsid w:val="0026557A"/>
    <w:rsid w:val="00276F1B"/>
    <w:rsid w:val="00284A4B"/>
    <w:rsid w:val="00293476"/>
    <w:rsid w:val="002954BF"/>
    <w:rsid w:val="002A3627"/>
    <w:rsid w:val="002A47CD"/>
    <w:rsid w:val="002A5281"/>
    <w:rsid w:val="002B7A90"/>
    <w:rsid w:val="002C033A"/>
    <w:rsid w:val="002C45C0"/>
    <w:rsid w:val="002D6654"/>
    <w:rsid w:val="002F4663"/>
    <w:rsid w:val="00306F08"/>
    <w:rsid w:val="00310647"/>
    <w:rsid w:val="0033379C"/>
    <w:rsid w:val="00335F4E"/>
    <w:rsid w:val="00346009"/>
    <w:rsid w:val="00362214"/>
    <w:rsid w:val="00372625"/>
    <w:rsid w:val="00392772"/>
    <w:rsid w:val="003B3344"/>
    <w:rsid w:val="003B4FF6"/>
    <w:rsid w:val="003D37BC"/>
    <w:rsid w:val="003E659A"/>
    <w:rsid w:val="003F6BA1"/>
    <w:rsid w:val="003F6C35"/>
    <w:rsid w:val="003F7D10"/>
    <w:rsid w:val="004029F9"/>
    <w:rsid w:val="0040310E"/>
    <w:rsid w:val="0040731E"/>
    <w:rsid w:val="0041469A"/>
    <w:rsid w:val="00440781"/>
    <w:rsid w:val="00460F85"/>
    <w:rsid w:val="00477105"/>
    <w:rsid w:val="00492DE5"/>
    <w:rsid w:val="004A4E5B"/>
    <w:rsid w:val="004B353E"/>
    <w:rsid w:val="004C142B"/>
    <w:rsid w:val="004C1794"/>
    <w:rsid w:val="004C72DC"/>
    <w:rsid w:val="004D3834"/>
    <w:rsid w:val="004E40B0"/>
    <w:rsid w:val="005004A2"/>
    <w:rsid w:val="005061EC"/>
    <w:rsid w:val="005161CA"/>
    <w:rsid w:val="00526BC5"/>
    <w:rsid w:val="00535AFF"/>
    <w:rsid w:val="00535FBB"/>
    <w:rsid w:val="0054220D"/>
    <w:rsid w:val="00567BFE"/>
    <w:rsid w:val="00584BAC"/>
    <w:rsid w:val="00586EA6"/>
    <w:rsid w:val="005904C0"/>
    <w:rsid w:val="005A193F"/>
    <w:rsid w:val="005A22D6"/>
    <w:rsid w:val="005A4E38"/>
    <w:rsid w:val="005E3B91"/>
    <w:rsid w:val="00601558"/>
    <w:rsid w:val="00620E69"/>
    <w:rsid w:val="00625A70"/>
    <w:rsid w:val="006323C8"/>
    <w:rsid w:val="00643A01"/>
    <w:rsid w:val="006522A6"/>
    <w:rsid w:val="0065500D"/>
    <w:rsid w:val="00657053"/>
    <w:rsid w:val="00662A72"/>
    <w:rsid w:val="0067761F"/>
    <w:rsid w:val="00681DDC"/>
    <w:rsid w:val="006D32C8"/>
    <w:rsid w:val="006F2CBC"/>
    <w:rsid w:val="00701666"/>
    <w:rsid w:val="007438A0"/>
    <w:rsid w:val="00744838"/>
    <w:rsid w:val="00753527"/>
    <w:rsid w:val="00753530"/>
    <w:rsid w:val="00754FE4"/>
    <w:rsid w:val="007919CE"/>
    <w:rsid w:val="00794408"/>
    <w:rsid w:val="007D2723"/>
    <w:rsid w:val="007D29B6"/>
    <w:rsid w:val="007E4DB2"/>
    <w:rsid w:val="007F5B5F"/>
    <w:rsid w:val="007F68AE"/>
    <w:rsid w:val="00803823"/>
    <w:rsid w:val="0081538D"/>
    <w:rsid w:val="00817700"/>
    <w:rsid w:val="00853551"/>
    <w:rsid w:val="00857F29"/>
    <w:rsid w:val="0086019E"/>
    <w:rsid w:val="008607BA"/>
    <w:rsid w:val="00894B21"/>
    <w:rsid w:val="008B24DC"/>
    <w:rsid w:val="008B7D4D"/>
    <w:rsid w:val="008C0742"/>
    <w:rsid w:val="008C078A"/>
    <w:rsid w:val="008C4C4C"/>
    <w:rsid w:val="008C66CC"/>
    <w:rsid w:val="008C7A64"/>
    <w:rsid w:val="008D0729"/>
    <w:rsid w:val="008D74E0"/>
    <w:rsid w:val="008E3394"/>
    <w:rsid w:val="008F5F8B"/>
    <w:rsid w:val="0092350E"/>
    <w:rsid w:val="009375C7"/>
    <w:rsid w:val="00963B1F"/>
    <w:rsid w:val="00976D5E"/>
    <w:rsid w:val="00976F03"/>
    <w:rsid w:val="0097796F"/>
    <w:rsid w:val="009832EE"/>
    <w:rsid w:val="00997D30"/>
    <w:rsid w:val="009D2E61"/>
    <w:rsid w:val="009E468B"/>
    <w:rsid w:val="00A033FB"/>
    <w:rsid w:val="00A27975"/>
    <w:rsid w:val="00A435B4"/>
    <w:rsid w:val="00A93F19"/>
    <w:rsid w:val="00A947DC"/>
    <w:rsid w:val="00AB034A"/>
    <w:rsid w:val="00AB298D"/>
    <w:rsid w:val="00AC1E9A"/>
    <w:rsid w:val="00AD00E9"/>
    <w:rsid w:val="00AD1B01"/>
    <w:rsid w:val="00AE095E"/>
    <w:rsid w:val="00AE61F3"/>
    <w:rsid w:val="00AF4F10"/>
    <w:rsid w:val="00B038A3"/>
    <w:rsid w:val="00B215F4"/>
    <w:rsid w:val="00B21694"/>
    <w:rsid w:val="00B26219"/>
    <w:rsid w:val="00B33F2A"/>
    <w:rsid w:val="00B45037"/>
    <w:rsid w:val="00B54937"/>
    <w:rsid w:val="00B72795"/>
    <w:rsid w:val="00B82EBF"/>
    <w:rsid w:val="00B82F78"/>
    <w:rsid w:val="00B8491E"/>
    <w:rsid w:val="00B871EB"/>
    <w:rsid w:val="00B904B5"/>
    <w:rsid w:val="00BA1C65"/>
    <w:rsid w:val="00BE7A33"/>
    <w:rsid w:val="00BF29AF"/>
    <w:rsid w:val="00C02287"/>
    <w:rsid w:val="00C02986"/>
    <w:rsid w:val="00C05C32"/>
    <w:rsid w:val="00C33A88"/>
    <w:rsid w:val="00C36F77"/>
    <w:rsid w:val="00C4573C"/>
    <w:rsid w:val="00C60311"/>
    <w:rsid w:val="00C66B7A"/>
    <w:rsid w:val="00C8166D"/>
    <w:rsid w:val="00CC0312"/>
    <w:rsid w:val="00CD0787"/>
    <w:rsid w:val="00CD2806"/>
    <w:rsid w:val="00CF0BF9"/>
    <w:rsid w:val="00CF5C54"/>
    <w:rsid w:val="00D230F5"/>
    <w:rsid w:val="00D44319"/>
    <w:rsid w:val="00D54BD2"/>
    <w:rsid w:val="00D54FDC"/>
    <w:rsid w:val="00D734F8"/>
    <w:rsid w:val="00D82ED9"/>
    <w:rsid w:val="00DA5C09"/>
    <w:rsid w:val="00DB7D81"/>
    <w:rsid w:val="00DD44E1"/>
    <w:rsid w:val="00DE19EA"/>
    <w:rsid w:val="00DF469E"/>
    <w:rsid w:val="00E10051"/>
    <w:rsid w:val="00E109E5"/>
    <w:rsid w:val="00E13562"/>
    <w:rsid w:val="00E20362"/>
    <w:rsid w:val="00E36D1D"/>
    <w:rsid w:val="00E80C19"/>
    <w:rsid w:val="00EA47C9"/>
    <w:rsid w:val="00EB1795"/>
    <w:rsid w:val="00EE0BB2"/>
    <w:rsid w:val="00EF6973"/>
    <w:rsid w:val="00F06654"/>
    <w:rsid w:val="00F506B0"/>
    <w:rsid w:val="00F53E8C"/>
    <w:rsid w:val="00F60AC2"/>
    <w:rsid w:val="00F776CC"/>
    <w:rsid w:val="00F81652"/>
    <w:rsid w:val="00F816CC"/>
    <w:rsid w:val="00F8723F"/>
    <w:rsid w:val="00FA01A1"/>
    <w:rsid w:val="00FA7E93"/>
    <w:rsid w:val="00FB5778"/>
    <w:rsid w:val="00FC4609"/>
    <w:rsid w:val="00FC5C10"/>
    <w:rsid w:val="00FD78F2"/>
    <w:rsid w:val="00FE419E"/>
    <w:rsid w:val="00FF0288"/>
    <w:rsid w:val="00FF06BB"/>
    <w:rsid w:val="031D432A"/>
    <w:rsid w:val="033C7182"/>
    <w:rsid w:val="0BDE7A1C"/>
    <w:rsid w:val="0CAA2ACE"/>
    <w:rsid w:val="0E4B0D79"/>
    <w:rsid w:val="10647816"/>
    <w:rsid w:val="12B667F9"/>
    <w:rsid w:val="14A16D5C"/>
    <w:rsid w:val="14B21C78"/>
    <w:rsid w:val="14EF780E"/>
    <w:rsid w:val="180628A4"/>
    <w:rsid w:val="19520625"/>
    <w:rsid w:val="1A03392F"/>
    <w:rsid w:val="1AFE7FBC"/>
    <w:rsid w:val="1B9A3217"/>
    <w:rsid w:val="1D633D30"/>
    <w:rsid w:val="1E806278"/>
    <w:rsid w:val="206D5662"/>
    <w:rsid w:val="214D0B18"/>
    <w:rsid w:val="21907709"/>
    <w:rsid w:val="22297563"/>
    <w:rsid w:val="223157E9"/>
    <w:rsid w:val="22554825"/>
    <w:rsid w:val="274F3DC1"/>
    <w:rsid w:val="27E77607"/>
    <w:rsid w:val="283415CC"/>
    <w:rsid w:val="298B1FC2"/>
    <w:rsid w:val="2A2B5785"/>
    <w:rsid w:val="2A6741F0"/>
    <w:rsid w:val="2AB50609"/>
    <w:rsid w:val="2BC2762A"/>
    <w:rsid w:val="2CF2121F"/>
    <w:rsid w:val="2DEF7161"/>
    <w:rsid w:val="326C4297"/>
    <w:rsid w:val="3AFF3EFE"/>
    <w:rsid w:val="3D1F53FB"/>
    <w:rsid w:val="3F147C3B"/>
    <w:rsid w:val="3F7F6B1A"/>
    <w:rsid w:val="41F57CFD"/>
    <w:rsid w:val="424F62F7"/>
    <w:rsid w:val="442E5432"/>
    <w:rsid w:val="445F3A72"/>
    <w:rsid w:val="48AB67D4"/>
    <w:rsid w:val="4EC76B3D"/>
    <w:rsid w:val="4F730A4A"/>
    <w:rsid w:val="505435CD"/>
    <w:rsid w:val="53134CA6"/>
    <w:rsid w:val="55B369E2"/>
    <w:rsid w:val="565652E6"/>
    <w:rsid w:val="5B4332B6"/>
    <w:rsid w:val="5C6B060B"/>
    <w:rsid w:val="5CCE0F99"/>
    <w:rsid w:val="5DB14D75"/>
    <w:rsid w:val="5E8456DD"/>
    <w:rsid w:val="639107D3"/>
    <w:rsid w:val="66590B56"/>
    <w:rsid w:val="672B6C64"/>
    <w:rsid w:val="68AD5551"/>
    <w:rsid w:val="6B91752B"/>
    <w:rsid w:val="6C187010"/>
    <w:rsid w:val="6FC96DAC"/>
    <w:rsid w:val="71CD20B4"/>
    <w:rsid w:val="72472D8F"/>
    <w:rsid w:val="72C2718A"/>
    <w:rsid w:val="75BA5237"/>
    <w:rsid w:val="777F28CC"/>
    <w:rsid w:val="77D624CF"/>
    <w:rsid w:val="79A17119"/>
    <w:rsid w:val="7DA56A9C"/>
    <w:rsid w:val="AAA7A66C"/>
    <w:rsid w:val="DEEB4610"/>
    <w:rsid w:val="FDFE7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abs>
        <w:tab w:val="left" w:pos="425"/>
      </w:tabs>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99"/>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styleId="335">
    <w:name w:val="List Paragraph"/>
    <w:basedOn w:val="1"/>
    <w:unhideWhenUsed/>
    <w:qFormat/>
    <w:uiPriority w:val="99"/>
    <w:pPr>
      <w:ind w:firstLine="420" w:firstLineChars="200"/>
    </w:pPr>
  </w:style>
  <w:style w:type="paragraph" w:customStyle="1" w:styleId="336">
    <w:name w:val="一标题"/>
    <w:qFormat/>
    <w:uiPriority w:val="0"/>
    <w:pPr>
      <w:spacing w:before="100" w:beforeLines="100" w:line="360" w:lineRule="auto"/>
    </w:pPr>
    <w:rPr>
      <w:rFonts w:ascii="宋体" w:hAnsi="宋体" w:eastAsia="宋体" w:cs="Times New Roman"/>
      <w:b/>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6</Pages>
  <Words>154</Words>
  <Characters>170</Characters>
  <Lines>23</Lines>
  <Paragraphs>6</Paragraphs>
  <TotalTime>16</TotalTime>
  <ScaleCrop>false</ScaleCrop>
  <LinksUpToDate>false</LinksUpToDate>
  <CharactersWithSpaces>199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2017-07-27T02:07:00Z</dcterms:created>
  <dc:creator>liuruoqiao</dc:creator>
  <cp:lastModifiedBy>李虹芋</cp:lastModifiedBy>
  <cp:lastPrinted>2022-08-05T02:14:00Z</cp:lastPrinted>
  <dcterms:modified xsi:type="dcterms:W3CDTF">2026-09-22T07:31:52Z</dcterms:modified>
  <dc:title>（2009年版）</dc:title>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状态">
    <vt:lpwstr>xxx</vt:lpwstr>
  </property>
  <property fmtid="{D5CDD505-2E9C-101B-9397-08002B2CF9AE}" pid="4" name="ICV">
    <vt:lpwstr>D4C18ADEC02D453BBCBA4960256DCC2D_13</vt:lpwstr>
  </property>
  <property fmtid="{D5CDD505-2E9C-101B-9397-08002B2CF9AE}" pid="5" name="KSOTemplateDocerSaveRecord">
    <vt:lpwstr>eyJoZGlkIjoiNjYyNmMwOTQ5M2Q5N2RjNzQyZjk0ZTY3Njk2OWM5MGIiLCJ1c2VySWQiOiIyNTU1Mzk0MDgifQ==</vt:lpwstr>
  </property>
</Properties>
</file>