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576B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_GBK" w:hAnsi="方正小标宋_GBK" w:eastAsia="方正小标宋_GBK" w:cs="方正小标宋_GBK"/>
          <w:sz w:val="40"/>
          <w:szCs w:val="40"/>
          <w:lang w:val="en-US" w:eastAsia="zh-CN"/>
        </w:rPr>
      </w:pPr>
      <w:r>
        <w:rPr>
          <w:rFonts w:hint="eastAsia" w:ascii="方正小标宋_GBK" w:hAnsi="方正小标宋_GBK" w:eastAsia="方正小标宋_GBK" w:cs="方正小标宋_GBK"/>
          <w:sz w:val="40"/>
          <w:szCs w:val="40"/>
        </w:rPr>
        <w:t>2026年南网电算工程公司西海岸项目安全生产责任险零星采购项目技术规范书</w:t>
      </w:r>
    </w:p>
    <w:p w14:paraId="06F43B22">
      <w:pPr>
        <w:pStyle w:val="3"/>
        <w:rPr>
          <w:rFonts w:hint="default"/>
          <w:sz w:val="20"/>
          <w:szCs w:val="22"/>
          <w:lang w:val="en-US" w:eastAsia="zh-CN"/>
        </w:rPr>
      </w:pPr>
    </w:p>
    <w:p w14:paraId="5A4FCCA5">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bookmarkStart w:id="0" w:name="_Toc301258140"/>
      <w:r>
        <w:rPr>
          <w:rFonts w:hint="eastAsia" w:ascii="黑体" w:hAnsi="黑体" w:eastAsia="黑体" w:cs="黑体"/>
          <w:b w:val="0"/>
          <w:bCs w:val="0"/>
          <w:color w:val="000000"/>
          <w:sz w:val="24"/>
          <w:szCs w:val="24"/>
          <w:highlight w:val="none"/>
          <w:shd w:val="clear" w:color="auto" w:fill="auto"/>
          <w:lang w:val="en-US" w:eastAsia="zh-CN"/>
        </w:rPr>
        <w:t>1  总则与项目概况</w:t>
      </w:r>
    </w:p>
    <w:bookmarkEnd w:id="0"/>
    <w:p w14:paraId="037073ED">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1.1 本技术规范书适用于2025年西海岸综合能源大厦分布式数据中心建设项目的建筑施工行业安全生产责任保险采购，规定承保、事故预防、理赔、预付救助、信息化监管及履约验收要求。本项目按工程项目为单位投保。</w:t>
      </w:r>
    </w:p>
    <w:p w14:paraId="06DFC891">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1.2 本规范书以琼建质〔2019〕38号通知为主要技术依据。通知明确规定的指标为基本要求；本规范书对服务组织、资料</w:t>
      </w:r>
      <w:bookmarkStart w:id="4" w:name="_GoBack"/>
      <w:bookmarkEnd w:id="4"/>
      <w:r>
        <w:rPr>
          <w:rFonts w:hint="eastAsia" w:ascii="仿宋_GB2312" w:eastAsia="仿宋_GB2312"/>
          <w:sz w:val="24"/>
          <w:szCs w:val="24"/>
          <w:lang w:val="en-US" w:eastAsia="zh-CN"/>
        </w:rPr>
        <w:t>交付及验收流程作出的细化属于采购履约要求。</w:t>
      </w:r>
    </w:p>
    <w:tbl>
      <w:tblPr>
        <w:tblStyle w:val="7"/>
        <w:tblW w:w="4996" w:type="pct"/>
        <w:tblInd w:w="0" w:type="dxa"/>
        <w:shd w:val="clear" w:color="auto" w:fill="auto"/>
        <w:tblLayout w:type="autofit"/>
        <w:tblCellMar>
          <w:top w:w="0" w:type="dxa"/>
          <w:left w:w="108" w:type="dxa"/>
          <w:bottom w:w="0" w:type="dxa"/>
          <w:right w:w="108" w:type="dxa"/>
        </w:tblCellMar>
      </w:tblPr>
      <w:tblGrid>
        <w:gridCol w:w="2645"/>
        <w:gridCol w:w="6590"/>
      </w:tblGrid>
      <w:tr w14:paraId="5B29D63D">
        <w:tblPrEx>
          <w:shd w:val="clear" w:color="auto" w:fill="auto"/>
          <w:tblCellMar>
            <w:top w:w="0" w:type="dxa"/>
            <w:left w:w="108" w:type="dxa"/>
            <w:bottom w:w="0" w:type="dxa"/>
            <w:right w:w="108" w:type="dxa"/>
          </w:tblCellMar>
        </w:tblPrEx>
        <w:trPr>
          <w:cantSplit/>
          <w:tblHeader/>
        </w:trPr>
        <w:tc>
          <w:tcPr>
            <w:tcW w:w="143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3AA85EE1">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项目要素</w:t>
            </w:r>
          </w:p>
        </w:tc>
        <w:tc>
          <w:tcPr>
            <w:tcW w:w="356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3A87F750">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项目资料</w:t>
            </w:r>
          </w:p>
        </w:tc>
      </w:tr>
      <w:tr w14:paraId="73F4EFA6">
        <w:tblPrEx>
          <w:shd w:val="clear" w:color="auto" w:fill="auto"/>
          <w:tblCellMar>
            <w:top w:w="0" w:type="dxa"/>
            <w:left w:w="108" w:type="dxa"/>
            <w:bottom w:w="0" w:type="dxa"/>
            <w:right w:w="108" w:type="dxa"/>
          </w:tblCellMar>
        </w:tblPrEx>
        <w:trPr>
          <w:cantSplit/>
        </w:trPr>
        <w:tc>
          <w:tcPr>
            <w:tcW w:w="143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0C0CACE9">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工程名称及地点</w:t>
            </w:r>
          </w:p>
        </w:tc>
        <w:tc>
          <w:tcPr>
            <w:tcW w:w="356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67C9C8FA">
            <w:pPr>
              <w:spacing w:before="40" w:after="40" w:line="252" w:lineRule="auto"/>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val="0"/>
                <w:sz w:val="21"/>
                <w:szCs w:val="21"/>
              </w:rPr>
              <w:t>2025年西海岸综合能源大厦分布式数据中心建设项目-EPC总承包</w:t>
            </w:r>
            <w:r>
              <w:rPr>
                <w:rFonts w:hint="eastAsia" w:ascii="仿宋_GB2312" w:hAnsi="仿宋_GB2312" w:eastAsia="仿宋_GB2312" w:cs="仿宋_GB2312"/>
                <w:b w:val="0"/>
                <w:sz w:val="21"/>
                <w:szCs w:val="21"/>
                <w:lang w:eastAsia="zh-CN"/>
              </w:rPr>
              <w:t>，</w:t>
            </w:r>
            <w:r>
              <w:rPr>
                <w:rFonts w:hint="eastAsia" w:ascii="仿宋_GB2312" w:hAnsi="仿宋_GB2312" w:eastAsia="仿宋_GB2312" w:cs="仿宋_GB2312"/>
                <w:b w:val="0"/>
                <w:sz w:val="21"/>
                <w:szCs w:val="21"/>
                <w:lang w:val="en-US" w:eastAsia="zh-CN"/>
              </w:rPr>
              <w:t>海口市秀英区</w:t>
            </w:r>
          </w:p>
        </w:tc>
      </w:tr>
      <w:tr w14:paraId="4E35C578">
        <w:tblPrEx>
          <w:shd w:val="clear" w:color="auto" w:fill="auto"/>
          <w:tblCellMar>
            <w:top w:w="0" w:type="dxa"/>
            <w:left w:w="108" w:type="dxa"/>
            <w:bottom w:w="0" w:type="dxa"/>
            <w:right w:w="108" w:type="dxa"/>
          </w:tblCellMar>
        </w:tblPrEx>
        <w:trPr>
          <w:cantSplit/>
        </w:trPr>
        <w:tc>
          <w:tcPr>
            <w:tcW w:w="143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0BA0F94">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建设单位</w:t>
            </w:r>
          </w:p>
        </w:tc>
        <w:tc>
          <w:tcPr>
            <w:tcW w:w="356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3BC635C1">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海南电网有限责任公司信息通信分公司</w:t>
            </w:r>
          </w:p>
        </w:tc>
      </w:tr>
      <w:tr w14:paraId="1A24007F">
        <w:tblPrEx>
          <w:shd w:val="clear" w:color="auto" w:fill="auto"/>
          <w:tblCellMar>
            <w:top w:w="0" w:type="dxa"/>
            <w:left w:w="108" w:type="dxa"/>
            <w:bottom w:w="0" w:type="dxa"/>
            <w:right w:w="108" w:type="dxa"/>
          </w:tblCellMar>
        </w:tblPrEx>
        <w:trPr>
          <w:cantSplit/>
        </w:trPr>
        <w:tc>
          <w:tcPr>
            <w:tcW w:w="143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4280136E">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施工总承包单位</w:t>
            </w:r>
          </w:p>
        </w:tc>
        <w:tc>
          <w:tcPr>
            <w:tcW w:w="356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6AA9FDA0">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南方电网电算科技数字工程（广东）有限公司</w:t>
            </w:r>
          </w:p>
        </w:tc>
      </w:tr>
      <w:tr w14:paraId="29D56B38">
        <w:tblPrEx>
          <w:tblCellMar>
            <w:top w:w="0" w:type="dxa"/>
            <w:left w:w="108" w:type="dxa"/>
            <w:bottom w:w="0" w:type="dxa"/>
            <w:right w:w="108" w:type="dxa"/>
          </w:tblCellMar>
        </w:tblPrEx>
        <w:trPr>
          <w:cantSplit/>
        </w:trPr>
        <w:tc>
          <w:tcPr>
            <w:tcW w:w="143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384AA2AC">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施工承包合同造价</w:t>
            </w:r>
          </w:p>
        </w:tc>
        <w:tc>
          <w:tcPr>
            <w:tcW w:w="356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2E4CA64D">
            <w:pPr>
              <w:spacing w:before="40" w:after="40" w:line="252"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b w:val="0"/>
                <w:sz w:val="21"/>
                <w:szCs w:val="21"/>
              </w:rPr>
              <w:t>暂定为人民币含税价小写74589119.85元</w:t>
            </w:r>
          </w:p>
        </w:tc>
      </w:tr>
    </w:tbl>
    <w:p w14:paraId="069856A9">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1.3 采购范围：本项目施工合同范围内的安全生产责任险承保及保单批改、全过程事故预防服务、事故报案和理赔、海南省建筑市场监管公共服务平台数据报送、培训咨询。</w:t>
      </w:r>
    </w:p>
    <w:p w14:paraId="473A1B80">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2  规范性引用文件</w:t>
      </w:r>
    </w:p>
    <w:p w14:paraId="7CF0BCFE">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2.1 核心依据：《海南省住房和城乡建设厅 海南省财政厅 中国银保监会海南监管局关于切实做好建筑施工行业安全生产责任保险工作的通知》（琼建质〔2019〕38号，2019年1月31日）。</w:t>
      </w:r>
    </w:p>
    <w:p w14:paraId="5966A1A6">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2.2 配套依据：通知所引用的《国家安全监管总局、保监会、财政部关于印发〈安全生产责任保险实施办法〉的通知》（安监总办〔2017〕140号）、《海南经济特区安全生产条例》、《工伤保险条例》以及适用的《中华人民共和国保险法》《中华人民共和国安全生产法》。</w:t>
      </w:r>
    </w:p>
    <w:p w14:paraId="003F0DD3">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2.3 政策背景文件：《中共中央 国务院关于推进安全生产领域改革发展的意见》（中发〔2016〕32号）、《中共海南省委 海南省人民政府关于推进安全生产领域改革发展的意见》（琼发〔2017〕16号）。信用监管按通知引用的《海南省建筑市场诚信评价管理办法（试行）》及依法适用的后续规定执行。</w:t>
      </w:r>
    </w:p>
    <w:p w14:paraId="4FBC7435">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2.4 事故预防服务应符合服务实施时依法适用的建筑施工安全、职业病防治、危险性较大的分部分项工程管理和应急救援标准规范。承保机构须在服务方案中列明实际采用的标准名称、编号、版本及适用事项。</w:t>
      </w:r>
    </w:p>
    <w:p w14:paraId="6F366E17">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2.5 上述引用保留通知原有文号及名称，不代表历史文件均未经修订。采购文件发布及合同履行时，如适用的法律法规、监管规则或后续政策对有关事项另有强制规定，按其执行；采购人应形成差异清单并依法统一澄清或调整。供应商不得以自行理解的政策变化单方面减损保障或降低服务。</w:t>
      </w:r>
    </w:p>
    <w:p w14:paraId="74733B43">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3  投保人与被保险人</w:t>
      </w:r>
    </w:p>
    <w:p w14:paraId="789190E4">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3.1 投保人原则上为本工程施工总承包单位南方电网电算科技数字工程（广东）有限公司，由其以工程项目为单位办理投保。采购人与投保人不一致的，应在合同中列明各主体名称、授权关系、缴费和资料提供责任，不得因采购组织方式改变通知规定的投保缴费责任。</w:t>
      </w:r>
    </w:p>
    <w:p w14:paraId="4B28A217">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3.2 被保险施工企业及涉及的总承包、专业分包、劳务分包单位，承保机构应在保单及附表中准确列明或以明确的项目归属条款覆盖，避免因分包或用工形式形成保障空缺。</w:t>
      </w:r>
    </w:p>
    <w:p w14:paraId="2835D15F">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3.3 从业人员包括本项目依法纳入保障的施工企业从业人员及劳务派遣人员。对人员赔偿执行统一标准，不得因用工方式、工作岗位等差别对待。企业、人员与第三者的身份和保险合同中的权利应清晰区分，不得将人员名单登记等管理手续擅自作为减损通知保障的条件。</w:t>
      </w:r>
    </w:p>
    <w:p w14:paraId="7800F8CC">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3.4 施工总承包单位应按通知提交企业营业执照、诚信档案手册、项目中标通知书及工程施工合同等资料。承保机构应一次性告知办理要求，核实项目范围、造价、工期及适用浮动费率事实；资料名称因制度变化调整的，采用主管部门认可的有效替代材料。</w:t>
      </w:r>
    </w:p>
    <w:p w14:paraId="4E640FE3">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4  承保机构资格与证明材料</w:t>
      </w:r>
    </w:p>
    <w:tbl>
      <w:tblPr>
        <w:tblStyle w:val="7"/>
        <w:tblW w:w="4999" w:type="pct"/>
        <w:jc w:val="center"/>
        <w:shd w:val="clear" w:color="auto" w:fill="auto"/>
        <w:tblLayout w:type="autofit"/>
        <w:tblCellMar>
          <w:top w:w="0" w:type="dxa"/>
          <w:left w:w="108" w:type="dxa"/>
          <w:bottom w:w="0" w:type="dxa"/>
          <w:right w:w="108" w:type="dxa"/>
        </w:tblCellMar>
      </w:tblPr>
      <w:tblGrid>
        <w:gridCol w:w="1833"/>
        <w:gridCol w:w="7407"/>
      </w:tblGrid>
      <w:tr w14:paraId="724F75EE">
        <w:tblPrEx>
          <w:tblCellMar>
            <w:top w:w="0" w:type="dxa"/>
            <w:left w:w="108" w:type="dxa"/>
            <w:bottom w:w="0" w:type="dxa"/>
            <w:right w:w="108" w:type="dxa"/>
          </w:tblCellMar>
        </w:tblPrEx>
        <w:trPr>
          <w:cantSplit/>
          <w:tblHeader/>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02106218">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要求</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9EB0C2E">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供应商应提交的证明或说明</w:t>
            </w:r>
          </w:p>
        </w:tc>
      </w:tr>
      <w:tr w14:paraId="086AFD7D">
        <w:tblPrEx>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22A21727">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机构资格</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1AACC183">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在海南省设立省级分公司的财产保险公司；提交营业执照、有效保险业务许可及省级分公司设立、经营授权证明。</w:t>
            </w:r>
          </w:p>
        </w:tc>
      </w:tr>
      <w:tr w14:paraId="1B6132BF">
        <w:tblPrEx>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3BD61E28">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商业信誉</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7923DB83">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遵守国家法律法规并具有良好商业信誉；提交承诺及采购文件要求的信用证明。对通知规定被记“黑名单”后三年内不得承保新业务的情形作专项说明。</w:t>
            </w:r>
          </w:p>
        </w:tc>
      </w:tr>
      <w:tr w14:paraId="4A2F6BB3">
        <w:tblPrEx>
          <w:shd w:val="clear" w:color="auto" w:fill="auto"/>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05B681DC">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偿付能力</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DA18C37">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最近一年度综合偿付能力充足率符合保险监管部门要求；提供该年度公开报告或有效证明，并说明所对应保险法人主体。</w:t>
            </w:r>
          </w:p>
        </w:tc>
      </w:tr>
      <w:tr w14:paraId="5115DA3E">
        <w:tblPrEx>
          <w:shd w:val="clear" w:color="auto" w:fill="auto"/>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7D8FB62B">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条款和费率</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1EBA244A">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具备经保险监管部门批准的建施安责险条款和费率，提供完整条款、费率表及对应批准证明；涉及现行监管程序变化的，应提交有效依据。</w:t>
            </w:r>
          </w:p>
        </w:tc>
      </w:tr>
      <w:tr w14:paraId="78AE677A">
        <w:tblPrEx>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11AD8029">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风险管理能力</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7E97DCF8">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提供事故预防制度、专业人员、服务组织和技术能力证明；委托服务的，说明受托机构合法性、能力及管理措施。</w:t>
            </w:r>
          </w:p>
        </w:tc>
      </w:tr>
      <w:tr w14:paraId="6D01E75A">
        <w:tblPrEx>
          <w:tblCellMar>
            <w:top w:w="0" w:type="dxa"/>
            <w:left w:w="108" w:type="dxa"/>
            <w:bottom w:w="0" w:type="dxa"/>
            <w:right w:w="108" w:type="dxa"/>
          </w:tblCellMar>
        </w:tblPrEx>
        <w:trPr>
          <w:cantSplit/>
          <w:jc w:val="center"/>
        </w:trPr>
        <w:tc>
          <w:tcPr>
            <w:tcW w:w="992"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0A0D9CA4">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信息化能力</w:t>
            </w:r>
          </w:p>
        </w:tc>
        <w:tc>
          <w:tcPr>
            <w:tcW w:w="4007"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F1881DF">
            <w:pPr>
              <w:spacing w:before="40" w:after="40" w:line="252"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已建立建施安责险信息管理系统，具备海南省建筑市场监管公共服务平台及保险监管信息平台对接能力，提交对接和报送证明。</w:t>
            </w:r>
          </w:p>
        </w:tc>
      </w:tr>
    </w:tbl>
    <w:p w14:paraId="13FCACFC">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4.1 通知鼓励共保。本项目是否接受共保：【接受】。</w:t>
      </w:r>
    </w:p>
    <w:p w14:paraId="0151B772">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4.2 经纪、代理或事故预防服务机构不得替代实际承保机构承担保险责任。承保机构不得以委托服务为由免除其事故预防组织、监督及合同履行责任。</w:t>
      </w:r>
    </w:p>
    <w:p w14:paraId="1F7874FC">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5  保险期限与保险连续性</w:t>
      </w:r>
    </w:p>
    <w:p w14:paraId="699C8C5D">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5.1 保险期限自工程项目购买保险之日起，至完成施工合同约定内容并取得相应工程竣工验收合格相关文件之日结束。</w:t>
      </w:r>
    </w:p>
    <w:p w14:paraId="42739390">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5.2 发生工期延长、停复工、合同范围或造价变更时，投保人应及时书面通知承保机构。承保机构应依法依约办理批改并保持应有保障连续；是否涉及保费调整及计算依据须在响应文件和合同中明确，不得未经依据加收费用。</w:t>
      </w:r>
    </w:p>
    <w:p w14:paraId="26090F25">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5.3 对保险责任期间内发生的保险事故，承保机构应依法依约继续办理未决赔案。保单到期、服务验收或项目完工不免除已发生事故的赔偿、资料移交和后续服务义务。</w:t>
      </w:r>
    </w:p>
    <w:p w14:paraId="3A21FC50">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6  保障范围与赔偿责任</w:t>
      </w:r>
    </w:p>
    <w:p w14:paraId="11AEA10D">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6.1 保障范围应涵盖生产安全事故造成的施工企业从业人员人身伤亡、第三者人身伤亡及财产损失，以及上述事故产生的医疗救护、抢险救援、事故鉴定、法律服务和事故善后处理等费用。承保机构应逐项列示责任、限额、赔偿依据及对应保险条款，不能仅以“详见保单”概括响应。</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833"/>
        <w:gridCol w:w="7407"/>
      </w:tblGrid>
      <w:tr w14:paraId="1F78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992" w:type="pct"/>
            <w:shd w:val="clear" w:color="auto" w:fill="auto"/>
            <w:tcMar>
              <w:top w:w="85" w:type="dxa"/>
              <w:left w:w="85" w:type="dxa"/>
              <w:bottom w:w="85" w:type="dxa"/>
              <w:right w:w="85" w:type="dxa"/>
            </w:tcMar>
            <w:vAlign w:val="center"/>
          </w:tcPr>
          <w:p w14:paraId="5B45C36E">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责任项目</w:t>
            </w:r>
          </w:p>
        </w:tc>
        <w:tc>
          <w:tcPr>
            <w:tcW w:w="4007" w:type="pct"/>
            <w:shd w:val="clear" w:color="auto" w:fill="auto"/>
            <w:tcMar>
              <w:top w:w="85" w:type="dxa"/>
              <w:left w:w="85" w:type="dxa"/>
              <w:bottom w:w="85" w:type="dxa"/>
              <w:right w:w="85" w:type="dxa"/>
            </w:tcMar>
            <w:vAlign w:val="center"/>
          </w:tcPr>
          <w:p w14:paraId="70EEEDCB">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赔偿标准及限额要求</w:t>
            </w:r>
          </w:p>
        </w:tc>
      </w:tr>
      <w:tr w14:paraId="720C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992" w:type="pct"/>
            <w:shd w:val="clear" w:color="auto" w:fill="auto"/>
            <w:tcMar>
              <w:top w:w="85" w:type="dxa"/>
              <w:left w:w="85" w:type="dxa"/>
              <w:bottom w:w="85" w:type="dxa"/>
              <w:right w:w="85" w:type="dxa"/>
            </w:tcMar>
            <w:vAlign w:val="center"/>
          </w:tcPr>
          <w:p w14:paraId="6BC6F662">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人员死亡</w:t>
            </w:r>
          </w:p>
        </w:tc>
        <w:tc>
          <w:tcPr>
            <w:tcW w:w="4007" w:type="pct"/>
            <w:shd w:val="clear" w:color="auto" w:fill="auto"/>
            <w:tcMar>
              <w:top w:w="85" w:type="dxa"/>
              <w:left w:w="85" w:type="dxa"/>
              <w:bottom w:w="85" w:type="dxa"/>
              <w:right w:w="85" w:type="dxa"/>
            </w:tcMar>
            <w:vAlign w:val="center"/>
          </w:tcPr>
          <w:p w14:paraId="1F20C12B">
            <w:pPr>
              <w:spacing w:before="40" w:after="40" w:line="252" w:lineRule="auto"/>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按海南省上一年度城镇居民人均可支配收入的20倍确定，以年度《海南省国民经济和社会发展统计公报》数据为准。不得因用工方式、岗位等差别对待。</w:t>
            </w:r>
          </w:p>
        </w:tc>
      </w:tr>
      <w:tr w14:paraId="3FB0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992" w:type="pct"/>
            <w:shd w:val="clear" w:color="auto" w:fill="auto"/>
            <w:tcMar>
              <w:top w:w="85" w:type="dxa"/>
              <w:left w:w="85" w:type="dxa"/>
              <w:bottom w:w="85" w:type="dxa"/>
              <w:right w:w="85" w:type="dxa"/>
            </w:tcMar>
            <w:vAlign w:val="center"/>
          </w:tcPr>
          <w:p w14:paraId="4D90CC12">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医疗费用</w:t>
            </w:r>
          </w:p>
        </w:tc>
        <w:tc>
          <w:tcPr>
            <w:tcW w:w="4007" w:type="pct"/>
            <w:shd w:val="clear" w:color="auto" w:fill="auto"/>
            <w:tcMar>
              <w:top w:w="85" w:type="dxa"/>
              <w:left w:w="85" w:type="dxa"/>
              <w:bottom w:w="85" w:type="dxa"/>
              <w:right w:w="85" w:type="dxa"/>
            </w:tcMar>
            <w:vAlign w:val="center"/>
          </w:tcPr>
          <w:p w14:paraId="60860DC8">
            <w:pPr>
              <w:spacing w:before="40" w:after="40" w:line="252" w:lineRule="auto"/>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赔偿额度为死亡赔偿额度的30%。保障范围内的医疗费用凭费用证据索赔，不得以工伤先行赔付为由拒付。不能重复获利，需按照损失补偿原则，扣减工伤已赔付或者其他商业保险公司已赔付的医疗费用。</w:t>
            </w:r>
          </w:p>
        </w:tc>
      </w:tr>
      <w:tr w14:paraId="3C5B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92" w:type="pct"/>
            <w:shd w:val="clear" w:color="auto" w:fill="auto"/>
            <w:tcMar>
              <w:top w:w="85" w:type="dxa"/>
              <w:left w:w="85" w:type="dxa"/>
              <w:bottom w:w="85" w:type="dxa"/>
              <w:right w:w="85" w:type="dxa"/>
            </w:tcMar>
            <w:vAlign w:val="center"/>
          </w:tcPr>
          <w:p w14:paraId="4DB90C7B">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人员伤残</w:t>
            </w:r>
          </w:p>
        </w:tc>
        <w:tc>
          <w:tcPr>
            <w:tcW w:w="4007" w:type="pct"/>
            <w:shd w:val="clear" w:color="auto" w:fill="auto"/>
            <w:tcMar>
              <w:top w:w="85" w:type="dxa"/>
              <w:left w:w="85" w:type="dxa"/>
              <w:bottom w:w="85" w:type="dxa"/>
              <w:right w:w="85" w:type="dxa"/>
            </w:tcMar>
            <w:vAlign w:val="center"/>
          </w:tcPr>
          <w:p w14:paraId="1DA193D9">
            <w:pPr>
              <w:spacing w:before="40" w:after="40" w:line="252" w:lineRule="auto"/>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按《工伤保险条例》有关“按伤残等级支付一次性伤残补助金”的标准赔付；列明等级依据、计发基数及计算方法，不得擅自改用商业意外险比例表。本保险合同项下的伤残等级对照国家发布的《劳动能力鉴定 职工工伤与职业病致残等级》（国家质量监督检验检疫总局、国家标准化管理委员会2014年发布，标准编号为GB/T 16180-2014）确定，从业人员残疾的，由保险人认可的伤残鉴定机构依据《劳动能力鉴定 职工工伤与职业病致残等级》（GB/T 16180-2014）鉴定残疾程度，残疾赔偿金按照本保险合同所附伤残赔偿比例表规定的伤残等级对应百分比乘以本保险合同约定的从业人员每人责 任限额所得的数额内予以赔偿。</w:t>
            </w:r>
          </w:p>
        </w:tc>
      </w:tr>
      <w:tr w14:paraId="32F9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992" w:type="pct"/>
            <w:shd w:val="clear" w:color="auto" w:fill="auto"/>
            <w:tcMar>
              <w:top w:w="85" w:type="dxa"/>
              <w:left w:w="85" w:type="dxa"/>
              <w:bottom w:w="85" w:type="dxa"/>
              <w:right w:w="85" w:type="dxa"/>
            </w:tcMar>
            <w:vAlign w:val="center"/>
          </w:tcPr>
          <w:p w14:paraId="3DCE9FB1">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第三者财产损失</w:t>
            </w:r>
          </w:p>
        </w:tc>
        <w:tc>
          <w:tcPr>
            <w:tcW w:w="4007" w:type="pct"/>
            <w:shd w:val="clear" w:color="auto" w:fill="auto"/>
            <w:tcMar>
              <w:top w:w="85" w:type="dxa"/>
              <w:left w:w="85" w:type="dxa"/>
              <w:bottom w:w="85" w:type="dxa"/>
              <w:right w:w="85" w:type="dxa"/>
            </w:tcMar>
            <w:vAlign w:val="center"/>
          </w:tcPr>
          <w:p w14:paraId="4F2CE8E0">
            <w:pPr>
              <w:spacing w:before="40" w:after="40" w:line="252" w:lineRule="auto"/>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按实际发生赔偿，提供损失核定方式及证据清单；不得以未披露分项限额削减本项保障。</w:t>
            </w:r>
          </w:p>
        </w:tc>
      </w:tr>
      <w:tr w14:paraId="6110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92" w:type="pct"/>
            <w:shd w:val="clear" w:color="auto" w:fill="auto"/>
            <w:tcMar>
              <w:top w:w="85" w:type="dxa"/>
              <w:left w:w="85" w:type="dxa"/>
              <w:bottom w:w="85" w:type="dxa"/>
              <w:right w:w="85" w:type="dxa"/>
            </w:tcMar>
            <w:vAlign w:val="center"/>
          </w:tcPr>
          <w:p w14:paraId="1BF4397A">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事故相关费用</w:t>
            </w:r>
          </w:p>
        </w:tc>
        <w:tc>
          <w:tcPr>
            <w:tcW w:w="4007" w:type="pct"/>
            <w:shd w:val="clear" w:color="auto" w:fill="auto"/>
            <w:tcMar>
              <w:top w:w="85" w:type="dxa"/>
              <w:left w:w="85" w:type="dxa"/>
              <w:bottom w:w="85" w:type="dxa"/>
              <w:right w:w="85" w:type="dxa"/>
            </w:tcMar>
            <w:vAlign w:val="center"/>
          </w:tcPr>
          <w:p w14:paraId="0FE33B71">
            <w:pPr>
              <w:spacing w:before="40" w:after="40" w:line="252" w:lineRule="auto"/>
              <w:jc w:val="left"/>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医疗救护、抢险救援、事故鉴定、法律服务及善后处理等纳入保障；逐项说明费用核定、分项限额及与人员医疗额度之间的关系。</w:t>
            </w:r>
          </w:p>
        </w:tc>
      </w:tr>
    </w:tbl>
    <w:p w14:paraId="64E6253F">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6.2 从业人员（含劳务派遣人员）请求安责险赔偿，不影响依法请求工伤保险待遇的权利。安责险不能替代依法应参加的工伤保险。对保险责任、其他保险及赔付衔接应依法说明，不得设置“先完成工伤赔付方可受理”等前置条件。</w:t>
      </w:r>
    </w:p>
    <w:p w14:paraId="338A79A2">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7  理赔服务与赔付时限</w:t>
      </w:r>
    </w:p>
    <w:p w14:paraId="0519236E">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7.1 承保机构应建立快速理赔机制和统一报案渠道，明确专人负责。基本流程为：投保企业报案，承保机构判断是否现场查勘并提供索赔清单，投保企业提交资料，承保机构核损，投保企业确认，承保机构支付赔款。除死亡案件外，应简化查勘程序。</w:t>
      </w:r>
    </w:p>
    <w:p w14:paraId="7145E508">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7.2 应提供与事故类型匹配的索赔清单，对收到的材料登记并出具收讫记录；需补充材料的应明确缺项和理由，不得重复索取已提交材料或以无关资料人为延后起算。核损意见应书面说明责任、项目、计算依据及金额；有争议部分应说明处理途径，依法依约先行支付确定的赔偿保险金。</w:t>
      </w:r>
    </w:p>
    <w:tbl>
      <w:tblPr>
        <w:tblStyle w:val="7"/>
        <w:tblW w:w="4999" w:type="pct"/>
        <w:jc w:val="center"/>
        <w:shd w:val="clear" w:color="auto" w:fill="auto"/>
        <w:tblLayout w:type="autofit"/>
        <w:tblCellMar>
          <w:top w:w="0" w:type="dxa"/>
          <w:left w:w="108" w:type="dxa"/>
          <w:bottom w:w="0" w:type="dxa"/>
          <w:right w:w="108" w:type="dxa"/>
        </w:tblCellMar>
      </w:tblPr>
      <w:tblGrid>
        <w:gridCol w:w="4824"/>
        <w:gridCol w:w="4416"/>
      </w:tblGrid>
      <w:tr w14:paraId="31832B6B">
        <w:tblPrEx>
          <w:shd w:val="clear" w:color="auto" w:fill="auto"/>
          <w:tblCellMar>
            <w:top w:w="0" w:type="dxa"/>
            <w:left w:w="108" w:type="dxa"/>
            <w:bottom w:w="0" w:type="dxa"/>
            <w:right w:w="108" w:type="dxa"/>
          </w:tblCellMar>
        </w:tblPrEx>
        <w:trPr>
          <w:cantSplit/>
          <w:tblHeader/>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7CCA1227">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单次事故结案金额</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6781C2D0">
            <w:pPr>
              <w:spacing w:before="40" w:after="40" w:line="252"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赔付到位时限</w:t>
            </w:r>
          </w:p>
        </w:tc>
      </w:tr>
      <w:tr w14:paraId="72C49332">
        <w:tblPrEx>
          <w:shd w:val="clear" w:color="auto" w:fill="auto"/>
          <w:tblCellMar>
            <w:top w:w="0" w:type="dxa"/>
            <w:left w:w="108" w:type="dxa"/>
            <w:bottom w:w="0" w:type="dxa"/>
            <w:right w:w="108" w:type="dxa"/>
          </w:tblCellMar>
        </w:tblPrEx>
        <w:trPr>
          <w:cantSplit/>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2A6F2873">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小于或等于2万元</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1B780C0">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资料齐全之日起1个工作日内</w:t>
            </w:r>
          </w:p>
        </w:tc>
      </w:tr>
      <w:tr w14:paraId="38BEFE72">
        <w:tblPrEx>
          <w:shd w:val="clear" w:color="auto" w:fill="auto"/>
          <w:tblCellMar>
            <w:top w:w="0" w:type="dxa"/>
            <w:left w:w="108" w:type="dxa"/>
            <w:bottom w:w="0" w:type="dxa"/>
            <w:right w:w="108" w:type="dxa"/>
          </w:tblCellMar>
        </w:tblPrEx>
        <w:trPr>
          <w:cantSplit/>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81061F0">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大于2万元且小于或等于5万元</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4947AD2A">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资料齐全之日起2个工作日内</w:t>
            </w:r>
          </w:p>
        </w:tc>
      </w:tr>
      <w:tr w14:paraId="133E5946">
        <w:tblPrEx>
          <w:shd w:val="clear" w:color="auto" w:fill="auto"/>
          <w:tblCellMar>
            <w:top w:w="0" w:type="dxa"/>
            <w:left w:w="108" w:type="dxa"/>
            <w:bottom w:w="0" w:type="dxa"/>
            <w:right w:w="108" w:type="dxa"/>
          </w:tblCellMar>
        </w:tblPrEx>
        <w:trPr>
          <w:cantSplit/>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4C525ADD">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大于5万元且小于或等于50万元</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2B83023E">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资料齐全之日起3个工作日内</w:t>
            </w:r>
          </w:p>
        </w:tc>
      </w:tr>
      <w:tr w14:paraId="5C37DF4B">
        <w:tblPrEx>
          <w:shd w:val="clear" w:color="auto" w:fill="auto"/>
          <w:tblCellMar>
            <w:top w:w="0" w:type="dxa"/>
            <w:left w:w="108" w:type="dxa"/>
            <w:bottom w:w="0" w:type="dxa"/>
            <w:right w:w="108" w:type="dxa"/>
          </w:tblCellMar>
        </w:tblPrEx>
        <w:trPr>
          <w:cantSplit/>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146C57A9">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大于50万元且小于或等于100万元</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4920E5FC">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资料齐全之日起5个工作日内</w:t>
            </w:r>
          </w:p>
        </w:tc>
      </w:tr>
      <w:tr w14:paraId="7C29742F">
        <w:tblPrEx>
          <w:shd w:val="clear" w:color="auto" w:fill="auto"/>
          <w:tblCellMar>
            <w:top w:w="0" w:type="dxa"/>
            <w:left w:w="108" w:type="dxa"/>
            <w:bottom w:w="0" w:type="dxa"/>
            <w:right w:w="108" w:type="dxa"/>
          </w:tblCellMar>
        </w:tblPrEx>
        <w:trPr>
          <w:cantSplit/>
          <w:jc w:val="center"/>
        </w:trPr>
        <w:tc>
          <w:tcPr>
            <w:tcW w:w="2610"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5E211A60">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大于100万元</w:t>
            </w:r>
          </w:p>
        </w:tc>
        <w:tc>
          <w:tcPr>
            <w:tcW w:w="2389" w:type="pct"/>
            <w:tcBorders>
              <w:top w:val="single" w:color="BBBBBB" w:sz="4" w:space="0"/>
              <w:left w:val="single" w:color="BBBBBB" w:sz="4" w:space="0"/>
              <w:bottom w:val="single" w:color="BBBBBB" w:sz="4" w:space="0"/>
              <w:right w:val="single" w:color="BBBBBB" w:sz="4" w:space="0"/>
            </w:tcBorders>
            <w:shd w:val="clear" w:color="auto" w:fill="auto"/>
            <w:tcMar>
              <w:top w:w="85" w:type="dxa"/>
              <w:left w:w="85" w:type="dxa"/>
              <w:bottom w:w="85" w:type="dxa"/>
              <w:right w:w="85" w:type="dxa"/>
            </w:tcMar>
            <w:vAlign w:val="center"/>
          </w:tcPr>
          <w:p w14:paraId="7C8CE803">
            <w:pPr>
              <w:spacing w:before="40" w:after="40" w:line="252" w:lineRule="auto"/>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资料齐全之日起10个工作日内</w:t>
            </w:r>
          </w:p>
        </w:tc>
      </w:tr>
    </w:tbl>
    <w:p w14:paraId="0CF4DC1E">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7.3 上述期限是赔款到位期限，从提交索赔资料齐全之日起计算，不能替换为“完成审核”或“作出核定”的时限。承保机构应保留资料齐全确认、金额确认、付款和到账等关键时间记录，供验收核查。</w:t>
      </w:r>
    </w:p>
    <w:p w14:paraId="78825228">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7.4 1万元以下的医疗案件，投保企业提交索赔资料后，由承保机构调查核实并及时向投保企业支付。对生产安全事故造成重伤抢救、较大以上事故或争议赔案，应同时执行第10章预付机制，不得等待普通结案程序全部完成。</w:t>
      </w:r>
    </w:p>
    <w:p w14:paraId="40DD34A8">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7.5 施工企业应及时将赔偿保险金支付给受伤人员或者死亡人员的受益人，或者请求承保机构直接向受害人赔付。施工企业怠于请求的，受害人有权就其应获赔偿部分直接向承保机构请求赔付。承保机构应提供受理渠道及所需合理证明材料清单。</w:t>
      </w:r>
    </w:p>
    <w:p w14:paraId="76672774">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7.6 建立案件台账和进度查询机制，内容包括报案时间、资料状态、责任认定进度、预付金额、赔款金额、到账时间及争议处理结果。对未决或争议案件应持续跟踪，不得以项目服务验收完成为由停止办理。</w:t>
      </w:r>
    </w:p>
    <w:p w14:paraId="53B6B865">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8  服务团队与响应要求</w:t>
      </w:r>
    </w:p>
    <w:p w14:paraId="16A36349">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8.1 承保机构应配置项目负责人、承保出单人员、理赔负责人、事故预防专业人员和信息报送联系人。响应文件列明姓名、职责、专业能力、联系方式、服务地点和替补安排；配置应与项目规模和风险相适应。项目负责人统一协调，重大事故、紧急预付和投诉须有升级处理路径。</w:t>
      </w:r>
    </w:p>
    <w:p w14:paraId="1BABA0F4">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8.2 下表为采购履约参数。</w:t>
      </w:r>
    </w:p>
    <w:tbl>
      <w:tblPr>
        <w:tblStyle w:val="7"/>
        <w:tblW w:w="0" w:type="auto"/>
        <w:jc w:val="center"/>
        <w:tblLayout w:type="fixed"/>
        <w:tblCellMar>
          <w:top w:w="0" w:type="dxa"/>
          <w:left w:w="108" w:type="dxa"/>
          <w:bottom w:w="0" w:type="dxa"/>
          <w:right w:w="108" w:type="dxa"/>
        </w:tblCellMar>
      </w:tblPr>
      <w:tblGrid>
        <w:gridCol w:w="3384"/>
        <w:gridCol w:w="6408"/>
      </w:tblGrid>
      <w:tr w14:paraId="17E05330">
        <w:tblPrEx>
          <w:tblCellMar>
            <w:top w:w="0" w:type="dxa"/>
            <w:left w:w="108" w:type="dxa"/>
            <w:bottom w:w="0" w:type="dxa"/>
            <w:right w:w="108" w:type="dxa"/>
          </w:tblCellMar>
        </w:tblPrEx>
        <w:trPr>
          <w:cantSplit/>
          <w:tblHeader/>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E7E6E6"/>
            <w:tcMar>
              <w:top w:w="85" w:type="dxa"/>
              <w:left w:w="85" w:type="dxa"/>
              <w:bottom w:w="85" w:type="dxa"/>
              <w:right w:w="85" w:type="dxa"/>
            </w:tcMar>
            <w:vAlign w:val="center"/>
          </w:tcPr>
          <w:p w14:paraId="1D72E55B">
            <w:pPr>
              <w:spacing w:before="40" w:after="40" w:line="252" w:lineRule="auto"/>
              <w:rPr>
                <w:sz w:val="18"/>
                <w:szCs w:val="21"/>
              </w:rPr>
            </w:pPr>
            <w:r>
              <w:rPr>
                <w:b/>
                <w:sz w:val="18"/>
                <w:szCs w:val="21"/>
              </w:rPr>
              <w:t>服务事项</w:t>
            </w:r>
          </w:p>
        </w:tc>
        <w:tc>
          <w:tcPr>
            <w:tcW w:w="6408" w:type="dxa"/>
            <w:tcBorders>
              <w:top w:val="single" w:color="BBBBBB" w:sz="4" w:space="0"/>
              <w:left w:val="single" w:color="BBBBBB" w:sz="4" w:space="0"/>
              <w:bottom w:val="single" w:color="BBBBBB" w:sz="4" w:space="0"/>
              <w:right w:val="single" w:color="BBBBBB" w:sz="4" w:space="0"/>
            </w:tcBorders>
            <w:shd w:val="clear" w:color="auto" w:fill="E7E6E6"/>
            <w:tcMar>
              <w:top w:w="85" w:type="dxa"/>
              <w:left w:w="85" w:type="dxa"/>
              <w:bottom w:w="85" w:type="dxa"/>
              <w:right w:w="85" w:type="dxa"/>
            </w:tcMar>
            <w:vAlign w:val="center"/>
          </w:tcPr>
          <w:p w14:paraId="372A427A">
            <w:pPr>
              <w:spacing w:before="40" w:after="40" w:line="252" w:lineRule="auto"/>
              <w:rPr>
                <w:sz w:val="18"/>
                <w:szCs w:val="21"/>
              </w:rPr>
            </w:pPr>
            <w:r>
              <w:rPr>
                <w:b/>
                <w:sz w:val="18"/>
                <w:szCs w:val="21"/>
              </w:rPr>
              <w:t>采购要求</w:t>
            </w:r>
          </w:p>
        </w:tc>
      </w:tr>
      <w:tr w14:paraId="6B2A38E3">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0C044E51">
            <w:pPr>
              <w:spacing w:before="40" w:after="40" w:line="252" w:lineRule="auto"/>
              <w:rPr>
                <w:sz w:val="18"/>
                <w:szCs w:val="21"/>
              </w:rPr>
            </w:pPr>
            <w:r>
              <w:rPr>
                <w:b w:val="0"/>
                <w:sz w:val="18"/>
                <w:szCs w:val="21"/>
              </w:rPr>
              <w:t>报案与紧急联络</w:t>
            </w:r>
          </w:p>
        </w:tc>
        <w:tc>
          <w:tcPr>
            <w:tcW w:w="6408"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76605147">
            <w:pPr>
              <w:spacing w:before="40" w:after="40" w:line="252" w:lineRule="auto"/>
              <w:rPr>
                <w:sz w:val="18"/>
                <w:szCs w:val="21"/>
              </w:rPr>
            </w:pPr>
            <w:r>
              <w:rPr>
                <w:b w:val="0"/>
                <w:sz w:val="18"/>
                <w:szCs w:val="21"/>
              </w:rPr>
              <w:t>提供连续可用的报案及紧急联络渠道</w:t>
            </w:r>
          </w:p>
        </w:tc>
      </w:tr>
      <w:tr w14:paraId="34FDA085">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7A86461E">
            <w:pPr>
              <w:spacing w:before="40" w:after="40" w:line="252" w:lineRule="auto"/>
              <w:rPr>
                <w:sz w:val="18"/>
                <w:szCs w:val="21"/>
              </w:rPr>
            </w:pPr>
            <w:r>
              <w:rPr>
                <w:b w:val="0"/>
                <w:sz w:val="18"/>
                <w:szCs w:val="21"/>
              </w:rPr>
              <w:t>接报后首次响应</w:t>
            </w:r>
          </w:p>
        </w:tc>
        <w:tc>
          <w:tcPr>
            <w:tcW w:w="6408"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47029EBB">
            <w:pPr>
              <w:spacing w:before="40" w:after="40" w:line="252" w:lineRule="auto"/>
              <w:rPr>
                <w:sz w:val="18"/>
                <w:szCs w:val="21"/>
              </w:rPr>
            </w:pPr>
            <w:r>
              <w:rPr>
                <w:b w:val="0"/>
                <w:sz w:val="18"/>
                <w:szCs w:val="21"/>
              </w:rPr>
              <w:t>【</w:t>
            </w:r>
            <w:r>
              <w:rPr>
                <w:rFonts w:hint="eastAsia"/>
                <w:b w:val="0"/>
                <w:sz w:val="18"/>
                <w:szCs w:val="21"/>
                <w:lang w:val="en-US" w:eastAsia="zh-CN"/>
              </w:rPr>
              <w:t>1</w:t>
            </w:r>
            <w:r>
              <w:rPr>
                <w:b w:val="0"/>
                <w:sz w:val="18"/>
                <w:szCs w:val="21"/>
              </w:rPr>
              <w:t>】小时内；重大事故按应急机制立即启动</w:t>
            </w:r>
          </w:p>
        </w:tc>
      </w:tr>
      <w:tr w14:paraId="5C0E5AFD">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758B6B97">
            <w:pPr>
              <w:spacing w:before="40" w:after="40" w:line="252" w:lineRule="auto"/>
              <w:rPr>
                <w:sz w:val="18"/>
                <w:szCs w:val="21"/>
              </w:rPr>
            </w:pPr>
            <w:r>
              <w:rPr>
                <w:b w:val="0"/>
                <w:sz w:val="18"/>
                <w:szCs w:val="21"/>
              </w:rPr>
              <w:t>需要现场查勘时的到场</w:t>
            </w:r>
          </w:p>
        </w:tc>
        <w:tc>
          <w:tcPr>
            <w:tcW w:w="6408"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72BC87FD">
            <w:pPr>
              <w:spacing w:before="40" w:after="40" w:line="252" w:lineRule="auto"/>
              <w:rPr>
                <w:sz w:val="18"/>
                <w:szCs w:val="21"/>
              </w:rPr>
            </w:pPr>
            <w:r>
              <w:rPr>
                <w:b w:val="0"/>
                <w:sz w:val="18"/>
                <w:szCs w:val="21"/>
              </w:rPr>
              <w:t>【</w:t>
            </w:r>
            <w:r>
              <w:rPr>
                <w:rFonts w:hint="eastAsia"/>
                <w:b w:val="0"/>
                <w:sz w:val="18"/>
                <w:szCs w:val="21"/>
                <w:lang w:val="en-US" w:eastAsia="zh-CN"/>
              </w:rPr>
              <w:t>2</w:t>
            </w:r>
            <w:r>
              <w:rPr>
                <w:b w:val="0"/>
                <w:sz w:val="18"/>
                <w:szCs w:val="21"/>
              </w:rPr>
              <w:t>】小时内；提供交通受阻等特殊情形处置预案</w:t>
            </w:r>
          </w:p>
        </w:tc>
      </w:tr>
      <w:tr w14:paraId="540FB430">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45D2DFCF">
            <w:pPr>
              <w:spacing w:before="40" w:after="40" w:line="252" w:lineRule="auto"/>
              <w:rPr>
                <w:sz w:val="18"/>
                <w:szCs w:val="21"/>
              </w:rPr>
            </w:pPr>
            <w:r>
              <w:rPr>
                <w:b w:val="0"/>
                <w:sz w:val="18"/>
                <w:szCs w:val="21"/>
              </w:rPr>
              <w:t>普通咨询及投诉反馈</w:t>
            </w:r>
          </w:p>
        </w:tc>
        <w:tc>
          <w:tcPr>
            <w:tcW w:w="6408"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2162397C">
            <w:pPr>
              <w:spacing w:before="40" w:after="40" w:line="252" w:lineRule="auto"/>
              <w:rPr>
                <w:sz w:val="18"/>
                <w:szCs w:val="21"/>
              </w:rPr>
            </w:pPr>
            <w:r>
              <w:rPr>
                <w:b w:val="0"/>
                <w:sz w:val="18"/>
                <w:szCs w:val="21"/>
              </w:rPr>
              <w:t>【</w:t>
            </w:r>
            <w:r>
              <w:rPr>
                <w:rFonts w:hint="eastAsia"/>
                <w:b w:val="0"/>
                <w:sz w:val="18"/>
                <w:szCs w:val="21"/>
                <w:lang w:val="en-US" w:eastAsia="zh-CN"/>
              </w:rPr>
              <w:t>1</w:t>
            </w:r>
            <w:r>
              <w:rPr>
                <w:b w:val="0"/>
                <w:sz w:val="18"/>
                <w:szCs w:val="21"/>
              </w:rPr>
              <w:t>】小时内反馈；升级处理时限【待填写】</w:t>
            </w:r>
          </w:p>
        </w:tc>
      </w:tr>
      <w:tr w14:paraId="4D2BDD82">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121C0354">
            <w:pPr>
              <w:spacing w:before="40" w:after="40" w:line="252" w:lineRule="auto"/>
              <w:rPr>
                <w:sz w:val="18"/>
                <w:szCs w:val="21"/>
              </w:rPr>
            </w:pPr>
            <w:r>
              <w:rPr>
                <w:b w:val="0"/>
                <w:sz w:val="18"/>
                <w:szCs w:val="21"/>
              </w:rPr>
              <w:t>出单及批改完成</w:t>
            </w:r>
          </w:p>
        </w:tc>
        <w:tc>
          <w:tcPr>
            <w:tcW w:w="6408"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1760B983">
            <w:pPr>
              <w:spacing w:before="40" w:after="40" w:line="252" w:lineRule="auto"/>
              <w:rPr>
                <w:sz w:val="18"/>
                <w:szCs w:val="21"/>
              </w:rPr>
            </w:pPr>
            <w:r>
              <w:rPr>
                <w:b w:val="0"/>
                <w:sz w:val="18"/>
                <w:szCs w:val="21"/>
              </w:rPr>
              <w:t>资料齐备及依法约定条件满足后【</w:t>
            </w:r>
            <w:r>
              <w:rPr>
                <w:rFonts w:hint="eastAsia"/>
                <w:b w:val="0"/>
                <w:sz w:val="18"/>
                <w:szCs w:val="21"/>
                <w:lang w:val="en-US" w:eastAsia="zh-CN"/>
              </w:rPr>
              <w:t>2</w:t>
            </w:r>
            <w:r>
              <w:rPr>
                <w:b w:val="0"/>
                <w:sz w:val="18"/>
                <w:szCs w:val="21"/>
              </w:rPr>
              <w:t>】工作日内</w:t>
            </w:r>
          </w:p>
        </w:tc>
      </w:tr>
      <w:tr w14:paraId="48E47205">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008BE683">
            <w:pPr>
              <w:spacing w:before="40" w:after="40" w:line="252" w:lineRule="auto"/>
              <w:rPr>
                <w:sz w:val="18"/>
                <w:szCs w:val="21"/>
              </w:rPr>
            </w:pPr>
            <w:r>
              <w:rPr>
                <w:b w:val="0"/>
                <w:sz w:val="18"/>
                <w:szCs w:val="21"/>
              </w:rPr>
              <w:t>预防方案与预算提交</w:t>
            </w:r>
          </w:p>
        </w:tc>
        <w:tc>
          <w:tcPr>
            <w:tcW w:w="6408" w:type="dxa"/>
            <w:tcBorders>
              <w:top w:val="single" w:color="BBBBBB" w:sz="4" w:space="0"/>
              <w:left w:val="single" w:color="BBBBBB" w:sz="4" w:space="0"/>
              <w:bottom w:val="single" w:color="BBBBBB" w:sz="4" w:space="0"/>
              <w:right w:val="single" w:color="BBBBBB" w:sz="4" w:space="0"/>
            </w:tcBorders>
            <w:shd w:val="clear" w:color="auto" w:fill="F7F7F7"/>
            <w:tcMar>
              <w:top w:w="85" w:type="dxa"/>
              <w:left w:w="85" w:type="dxa"/>
              <w:bottom w:w="85" w:type="dxa"/>
              <w:right w:w="85" w:type="dxa"/>
            </w:tcMar>
            <w:vAlign w:val="center"/>
          </w:tcPr>
          <w:p w14:paraId="6F1BBD97">
            <w:pPr>
              <w:spacing w:before="40" w:after="40" w:line="252" w:lineRule="auto"/>
              <w:rPr>
                <w:sz w:val="18"/>
                <w:szCs w:val="21"/>
              </w:rPr>
            </w:pPr>
            <w:r>
              <w:rPr>
                <w:b w:val="0"/>
                <w:sz w:val="18"/>
                <w:szCs w:val="21"/>
              </w:rPr>
              <w:t>合同约定服务起始后【</w:t>
            </w:r>
            <w:r>
              <w:rPr>
                <w:rFonts w:hint="eastAsia"/>
                <w:b w:val="0"/>
                <w:sz w:val="18"/>
                <w:szCs w:val="21"/>
                <w:lang w:val="en-US" w:eastAsia="zh-CN"/>
              </w:rPr>
              <w:t>14</w:t>
            </w:r>
            <w:r>
              <w:rPr>
                <w:b w:val="0"/>
                <w:sz w:val="18"/>
                <w:szCs w:val="21"/>
              </w:rPr>
              <w:t>】工作日内</w:t>
            </w:r>
          </w:p>
        </w:tc>
      </w:tr>
      <w:tr w14:paraId="7A98392B">
        <w:tblPrEx>
          <w:tblCellMar>
            <w:top w:w="0" w:type="dxa"/>
            <w:left w:w="108" w:type="dxa"/>
            <w:bottom w:w="0" w:type="dxa"/>
            <w:right w:w="108" w:type="dxa"/>
          </w:tblCellMar>
        </w:tblPrEx>
        <w:trPr>
          <w:cantSplit/>
          <w:jc w:val="center"/>
        </w:trPr>
        <w:tc>
          <w:tcPr>
            <w:tcW w:w="3384"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1B98AE46">
            <w:pPr>
              <w:spacing w:before="40" w:after="40" w:line="252" w:lineRule="auto"/>
              <w:rPr>
                <w:sz w:val="18"/>
                <w:szCs w:val="21"/>
              </w:rPr>
            </w:pPr>
            <w:r>
              <w:rPr>
                <w:b w:val="0"/>
                <w:sz w:val="18"/>
                <w:szCs w:val="21"/>
              </w:rPr>
              <w:t>单次服务报告提交</w:t>
            </w:r>
          </w:p>
        </w:tc>
        <w:tc>
          <w:tcPr>
            <w:tcW w:w="6408" w:type="dxa"/>
            <w:tcBorders>
              <w:top w:val="single" w:color="BBBBBB" w:sz="4" w:space="0"/>
              <w:left w:val="single" w:color="BBBBBB" w:sz="4" w:space="0"/>
              <w:bottom w:val="single" w:color="BBBBBB" w:sz="4" w:space="0"/>
              <w:right w:val="single" w:color="BBBBBB" w:sz="4" w:space="0"/>
            </w:tcBorders>
            <w:shd w:val="clear" w:color="auto" w:fill="FFFFFF"/>
            <w:tcMar>
              <w:top w:w="85" w:type="dxa"/>
              <w:left w:w="85" w:type="dxa"/>
              <w:bottom w:w="85" w:type="dxa"/>
              <w:right w:w="85" w:type="dxa"/>
            </w:tcMar>
            <w:vAlign w:val="center"/>
          </w:tcPr>
          <w:p w14:paraId="33A0F171">
            <w:pPr>
              <w:spacing w:before="40" w:after="40" w:line="252" w:lineRule="auto"/>
              <w:rPr>
                <w:sz w:val="18"/>
                <w:szCs w:val="21"/>
              </w:rPr>
            </w:pPr>
            <w:r>
              <w:rPr>
                <w:b w:val="0"/>
                <w:sz w:val="18"/>
                <w:szCs w:val="21"/>
              </w:rPr>
              <w:t>服务结束后【</w:t>
            </w:r>
            <w:r>
              <w:rPr>
                <w:rFonts w:hint="eastAsia"/>
                <w:b w:val="0"/>
                <w:sz w:val="18"/>
                <w:szCs w:val="21"/>
                <w:lang w:val="en-US" w:eastAsia="zh-CN"/>
              </w:rPr>
              <w:t>14</w:t>
            </w:r>
            <w:r>
              <w:rPr>
                <w:b w:val="0"/>
                <w:sz w:val="18"/>
                <w:szCs w:val="21"/>
              </w:rPr>
              <w:t>】工作日内</w:t>
            </w:r>
          </w:p>
        </w:tc>
      </w:tr>
    </w:tbl>
    <w:p w14:paraId="29F80DC4">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9  保单及成果交付</w:t>
      </w:r>
    </w:p>
    <w:p w14:paraId="606541B3">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9.1 承保交付包：正式保单、完整保险条款、特别约定、赔偿限额表、费率及保费测算表、浮动系数证明、保费票据、承保信息录入凭证、服务联系人及报案索赔指引。电子保单应可核验，纸质份数【1份】。保险合同及附件应与采购要求及成交响应一致。</w:t>
      </w:r>
    </w:p>
    <w:p w14:paraId="449AB3C0">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9.2 事故预防交付包：项目方案、年度及保险期服务计划、预算、各次服务报告和记录、隐患整改复核资料、人员或受托机构资料、费用台账及凭据。培训、评估、检查和演练应反映实际对象、时间、内容和结果；签到或照片不能单独替代服务报告。</w:t>
      </w:r>
    </w:p>
    <w:p w14:paraId="4472CE98">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9.3 理赔及预付交付包：案件台账、索赔清单、核损依据、预付及赔款支付记录、争议处置情况；涉及个人信息的材料按授权范围移交。项目结束时交付履约总结、资金使用总结、最终资料目录及未决事项清单。</w:t>
      </w:r>
    </w:p>
    <w:p w14:paraId="3A1DAC67">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9.4 成果统一标明工程名称、保单号、服务日期、编制及审核人员，按项目分类归档。提交格式为可编辑文档或数据表及签章版PDF，份数【1份】；数据移交介质与档案保存期限不低于适用法定要求。</w:t>
      </w:r>
    </w:p>
    <w:p w14:paraId="1C16150B">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bookmarkStart w:id="1" w:name="_Toc21267"/>
      <w:bookmarkStart w:id="2" w:name="_Toc28725"/>
      <w:bookmarkStart w:id="3" w:name="_Toc909"/>
      <w:r>
        <w:rPr>
          <w:rFonts w:hint="eastAsia" w:ascii="黑体" w:hAnsi="黑体" w:eastAsia="黑体" w:cs="黑体"/>
          <w:b w:val="0"/>
          <w:bCs w:val="0"/>
          <w:color w:val="000000"/>
          <w:sz w:val="24"/>
          <w:szCs w:val="24"/>
          <w:highlight w:val="none"/>
          <w:shd w:val="clear" w:color="auto" w:fill="auto"/>
          <w:lang w:val="en-US" w:eastAsia="zh-CN"/>
        </w:rPr>
        <w:t>10 安全保密要求</w:t>
      </w:r>
      <w:bookmarkEnd w:id="1"/>
      <w:bookmarkEnd w:id="2"/>
      <w:bookmarkEnd w:id="3"/>
    </w:p>
    <w:p w14:paraId="4914F7CE">
      <w:pPr>
        <w:spacing w:line="360" w:lineRule="auto"/>
        <w:ind w:firstLine="480" w:firstLineChars="200"/>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为加强采购方企业的网络安全管理，提出以下保密要求：</w:t>
      </w:r>
    </w:p>
    <w:p w14:paraId="6B82B182">
      <w:pPr>
        <w:spacing w:line="360" w:lineRule="auto"/>
        <w:ind w:firstLine="480" w:firstLineChars="200"/>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（1）报价人在服务期间，负有保护采购方企业的网络安全、信息安全和系统数据安全的义务和责任；负有保护所持有、接触的属于或涉及南方电网公司商业秘密的信息安全的义务和责任。</w:t>
      </w:r>
    </w:p>
    <w:p w14:paraId="778CE14F">
      <w:pPr>
        <w:spacing w:line="360" w:lineRule="auto"/>
        <w:ind w:firstLine="480" w:firstLineChars="200"/>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（2）未经许可不得以任何方式对保密信息及工作成果进行复制、传播、泄漏、告知，不得将保密信息带离</w:t>
      </w:r>
      <w:r>
        <w:rPr>
          <w:rFonts w:hint="eastAsia" w:ascii="仿宋_GB2312" w:eastAsia="仿宋_GB2312" w:cstheme="minorBidi"/>
          <w:kern w:val="2"/>
          <w:sz w:val="24"/>
          <w:szCs w:val="24"/>
          <w:highlight w:val="none"/>
          <w:lang w:val="en-US" w:eastAsia="zh-CN" w:bidi="ar-SA"/>
        </w:rPr>
        <w:t>与采购</w:t>
      </w:r>
      <w:r>
        <w:rPr>
          <w:rFonts w:hint="eastAsia" w:ascii="仿宋_GB2312" w:eastAsia="仿宋_GB2312" w:hAnsiTheme="minorHAnsi" w:cstheme="minorBidi"/>
          <w:kern w:val="2"/>
          <w:sz w:val="24"/>
          <w:szCs w:val="24"/>
          <w:highlight w:val="none"/>
          <w:lang w:val="en-US" w:eastAsia="zh-CN" w:bidi="ar-SA"/>
        </w:rPr>
        <w:t>采购人</w:t>
      </w:r>
      <w:r>
        <w:rPr>
          <w:rFonts w:hint="eastAsia" w:ascii="仿宋_GB2312" w:eastAsia="仿宋_GB2312" w:cstheme="minorBidi"/>
          <w:kern w:val="2"/>
          <w:sz w:val="24"/>
          <w:szCs w:val="24"/>
          <w:highlight w:val="none"/>
          <w:lang w:val="en-US" w:eastAsia="zh-CN" w:bidi="ar-SA"/>
        </w:rPr>
        <w:t>相关的</w:t>
      </w:r>
      <w:r>
        <w:rPr>
          <w:rFonts w:hint="eastAsia" w:ascii="仿宋_GB2312" w:eastAsia="仿宋_GB2312" w:hAnsiTheme="minorHAnsi" w:cstheme="minorBidi"/>
          <w:kern w:val="2"/>
          <w:sz w:val="24"/>
          <w:szCs w:val="24"/>
          <w:highlight w:val="none"/>
          <w:lang w:val="en-US" w:eastAsia="zh-CN" w:bidi="ar-SA"/>
        </w:rPr>
        <w:t>办公场所。</w:t>
      </w:r>
    </w:p>
    <w:p w14:paraId="31AD1039">
      <w:pPr>
        <w:spacing w:line="360" w:lineRule="auto"/>
        <w:ind w:firstLine="480" w:firstLineChars="200"/>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（3）无论何种原因导致合同解除或终止，本项目约定下的保密条款、保密内容及相关的违约责任的约定仍然生效。保密期限为签订合同之后至永久，保密范围为项目所涉及的任何资料。</w:t>
      </w:r>
    </w:p>
    <w:p w14:paraId="45D0128A">
      <w:pPr>
        <w:pStyle w:val="3"/>
        <w:rPr>
          <w:rFonts w:hint="default"/>
          <w:sz w:val="20"/>
          <w:szCs w:val="22"/>
          <w:highlight w:val="no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422D48-2DF2-45A8-8657-45F0A5F271E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DEEBC0B-D4D5-4BBE-9C3E-2804E7B11006}"/>
  </w:font>
  <w:font w:name="Calibri Light">
    <w:panose1 w:val="020F0302020204030204"/>
    <w:charset w:val="00"/>
    <w:family w:val="auto"/>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3" w:fontKey="{173BE9C4-8A6F-45FB-A448-6B046C91C707}"/>
  </w:font>
  <w:font w:name="仿宋_GB2312">
    <w:panose1 w:val="02010609030101010101"/>
    <w:charset w:val="86"/>
    <w:family w:val="auto"/>
    <w:pitch w:val="default"/>
    <w:sig w:usb0="00000001" w:usb1="080E0000" w:usb2="00000000" w:usb3="00000000" w:csb0="00040000" w:csb1="00000000"/>
    <w:embedRegular r:id="rId4" w:fontKey="{FF68D36A-967A-4565-9AC2-35028B6AF6CD}"/>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kOWE2NmZmNDc0YTk4MDA5MGNjZTFjMjRkNTlkNWY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F0938"/>
    <w:rsid w:val="09102553"/>
    <w:rsid w:val="09134758"/>
    <w:rsid w:val="09164611"/>
    <w:rsid w:val="091758D1"/>
    <w:rsid w:val="091E1966"/>
    <w:rsid w:val="09201CB1"/>
    <w:rsid w:val="09250D16"/>
    <w:rsid w:val="092904D0"/>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C3AC2"/>
    <w:rsid w:val="098E5D5E"/>
    <w:rsid w:val="0991463B"/>
    <w:rsid w:val="09921257"/>
    <w:rsid w:val="09932DBC"/>
    <w:rsid w:val="09967A5A"/>
    <w:rsid w:val="09A31FB6"/>
    <w:rsid w:val="09A43266"/>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C5391"/>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B2EBB"/>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194A9C"/>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3D6E5F"/>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23513"/>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6123D"/>
    <w:rsid w:val="145812CF"/>
    <w:rsid w:val="145C7B69"/>
    <w:rsid w:val="14665002"/>
    <w:rsid w:val="146771C6"/>
    <w:rsid w:val="146E0053"/>
    <w:rsid w:val="14706E34"/>
    <w:rsid w:val="14733711"/>
    <w:rsid w:val="14771046"/>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51CA4"/>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F00EB"/>
    <w:rsid w:val="1A244152"/>
    <w:rsid w:val="1A2A3521"/>
    <w:rsid w:val="1A3201C5"/>
    <w:rsid w:val="1A353E99"/>
    <w:rsid w:val="1A383A15"/>
    <w:rsid w:val="1A3A648F"/>
    <w:rsid w:val="1A3C2A76"/>
    <w:rsid w:val="1A3C6040"/>
    <w:rsid w:val="1A3E2DE2"/>
    <w:rsid w:val="1A4F5406"/>
    <w:rsid w:val="1A536657"/>
    <w:rsid w:val="1A576D43"/>
    <w:rsid w:val="1A5B05A9"/>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B56BA"/>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E77EF"/>
    <w:rsid w:val="2026660F"/>
    <w:rsid w:val="202813CD"/>
    <w:rsid w:val="20281E37"/>
    <w:rsid w:val="202826BC"/>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60281"/>
    <w:rsid w:val="208D7965"/>
    <w:rsid w:val="20956F2F"/>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0A74"/>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F2F28"/>
    <w:rsid w:val="21D2783B"/>
    <w:rsid w:val="21D404BB"/>
    <w:rsid w:val="21D82AB2"/>
    <w:rsid w:val="21DB708B"/>
    <w:rsid w:val="21DF12FE"/>
    <w:rsid w:val="21E52748"/>
    <w:rsid w:val="21E61F86"/>
    <w:rsid w:val="21E708CB"/>
    <w:rsid w:val="21E7643F"/>
    <w:rsid w:val="21E85D54"/>
    <w:rsid w:val="21F03730"/>
    <w:rsid w:val="21F505E6"/>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93AD2"/>
    <w:rsid w:val="227A46E6"/>
    <w:rsid w:val="227F4DC2"/>
    <w:rsid w:val="227F6047"/>
    <w:rsid w:val="22843CCD"/>
    <w:rsid w:val="228A7744"/>
    <w:rsid w:val="228D1E9C"/>
    <w:rsid w:val="228D359D"/>
    <w:rsid w:val="228E633A"/>
    <w:rsid w:val="22914C51"/>
    <w:rsid w:val="229D51A0"/>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6F1F69"/>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50CB5"/>
    <w:rsid w:val="2AED1C6B"/>
    <w:rsid w:val="2AF21C68"/>
    <w:rsid w:val="2AF672D9"/>
    <w:rsid w:val="2AF71E8C"/>
    <w:rsid w:val="2AFB3A77"/>
    <w:rsid w:val="2AFC1796"/>
    <w:rsid w:val="2AFC592E"/>
    <w:rsid w:val="2AFD1D96"/>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61EDD"/>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114FF"/>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2C66"/>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7D78F4"/>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1E510D"/>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10E70"/>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21FB1"/>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3A16C8"/>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B3BFA"/>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13583"/>
    <w:rsid w:val="54184DE8"/>
    <w:rsid w:val="541C5483"/>
    <w:rsid w:val="541D2717"/>
    <w:rsid w:val="54215AA2"/>
    <w:rsid w:val="54266A23"/>
    <w:rsid w:val="5428773C"/>
    <w:rsid w:val="542C5B95"/>
    <w:rsid w:val="54306ED9"/>
    <w:rsid w:val="543413AD"/>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04C44"/>
    <w:rsid w:val="5BA4371A"/>
    <w:rsid w:val="5BA637AF"/>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72EB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A4DF7"/>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3D23D3"/>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E0C92"/>
    <w:rsid w:val="64C013EF"/>
    <w:rsid w:val="64C03DCE"/>
    <w:rsid w:val="64C959CF"/>
    <w:rsid w:val="64CB417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9B6F53"/>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C043E"/>
    <w:rsid w:val="670F3D7F"/>
    <w:rsid w:val="67125081"/>
    <w:rsid w:val="671A5419"/>
    <w:rsid w:val="671E19F1"/>
    <w:rsid w:val="67245B2A"/>
    <w:rsid w:val="67267246"/>
    <w:rsid w:val="67277B3E"/>
    <w:rsid w:val="67324986"/>
    <w:rsid w:val="67370218"/>
    <w:rsid w:val="67381EDA"/>
    <w:rsid w:val="673E1E5C"/>
    <w:rsid w:val="673F1E59"/>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2F94"/>
    <w:rsid w:val="68523E46"/>
    <w:rsid w:val="68671165"/>
    <w:rsid w:val="686E3C4A"/>
    <w:rsid w:val="687534B3"/>
    <w:rsid w:val="687B2CCE"/>
    <w:rsid w:val="687D3ED1"/>
    <w:rsid w:val="68883DB7"/>
    <w:rsid w:val="68995816"/>
    <w:rsid w:val="689F7FAA"/>
    <w:rsid w:val="68A0663A"/>
    <w:rsid w:val="68A62BB7"/>
    <w:rsid w:val="68AA26DE"/>
    <w:rsid w:val="68AC44E5"/>
    <w:rsid w:val="68AD09A1"/>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549B4"/>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16F1E"/>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64104"/>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D9553C"/>
    <w:rsid w:val="76E02ABF"/>
    <w:rsid w:val="76E153A0"/>
    <w:rsid w:val="76ED7616"/>
    <w:rsid w:val="76F34E37"/>
    <w:rsid w:val="77043039"/>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E6F21"/>
    <w:rsid w:val="79F236EE"/>
    <w:rsid w:val="79F4513B"/>
    <w:rsid w:val="79FA2AD9"/>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8A49CC"/>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33DE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291587"/>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00" w:after="140" w:line="283" w:lineRule="auto"/>
      <w:outlineLvl w:val="0"/>
    </w:pPr>
    <w:rPr>
      <w:rFonts w:asciiTheme="majorHAnsi" w:hAnsiTheme="majorHAnsi" w:eastAsiaTheme="majorEastAsia" w:cstheme="majorBidi"/>
      <w:b/>
      <w:bCs/>
      <w:color w:val="000000"/>
      <w:sz w:val="30"/>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line="360" w:lineRule="auto"/>
    </w:pPr>
    <w:rPr>
      <w:rFonts w:ascii="Times New Roman" w:hAnsi="Times New Roman" w:cs="Times New Roman"/>
      <w:szCs w:val="24"/>
    </w:rPr>
  </w:style>
  <w:style w:type="paragraph" w:styleId="4">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paragraph" w:styleId="5">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目录 21"/>
    <w:basedOn w:val="1"/>
    <w:next w:val="1"/>
    <w:qFormat/>
    <w:uiPriority w:val="0"/>
    <w:pPr>
      <w:spacing w:before="100" w:beforeAutospacing="1" w:after="100" w:afterAutospacing="1"/>
      <w:ind w:left="420" w:leftChars="200"/>
    </w:pPr>
  </w:style>
  <w:style w:type="character" w:customStyle="1" w:styleId="10">
    <w:name w:val="font41"/>
    <w:basedOn w:val="8"/>
    <w:qFormat/>
    <w:uiPriority w:val="0"/>
    <w:rPr>
      <w:rFonts w:hint="eastAsia" w:ascii="宋体" w:hAnsi="宋体" w:eastAsia="宋体" w:cs="宋体"/>
      <w:b/>
      <w:bCs/>
      <w:color w:val="000000"/>
      <w:sz w:val="22"/>
      <w:szCs w:val="22"/>
      <w:u w:val="none"/>
    </w:rPr>
  </w:style>
  <w:style w:type="character" w:customStyle="1" w:styleId="11">
    <w:name w:val="font91"/>
    <w:basedOn w:val="8"/>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4641</Words>
  <Characters>4793</Characters>
  <Lines>0</Lines>
  <Paragraphs>0</Paragraphs>
  <TotalTime>19</TotalTime>
  <ScaleCrop>false</ScaleCrop>
  <LinksUpToDate>false</LinksUpToDate>
  <CharactersWithSpaces>4852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2024-04-18T01:11:00Z</dcterms:created>
  <dc:creator>梁晖玉</dc:creator>
  <cp:lastModifiedBy>鸡公煲</cp:lastModifiedBy>
  <dcterms:modified xsi:type="dcterms:W3CDTF">2026-10-19T09:12:25Z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D108140F36D44C3F957094E6492B3E12_13</vt:lpwstr>
  </property>
  <property fmtid="{D5CDD505-2E9C-101B-9397-08002B2CF9AE}" pid="4" name="KSOTemplateDocerSaveRecord">
    <vt:lpwstr>eyJoZGlkIjoiNzI1MzljODBiNDliMzEyMzFlZWNlN2EzYjU0N2YzMWEiLCJ1c2VySWQiOiI1MjQzODExNTAifQ==</vt:lpwstr>
  </property>
</Properties>
</file>