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3F5B41">
      <w:pPr>
        <w:pStyle w:val="5"/>
        <w:keepNext w:val="0"/>
        <w:keepLines w:val="0"/>
        <w:kinsoku/>
        <w:wordWrap/>
        <w:overflowPunct/>
        <w:topLinePunct w:val="0"/>
        <w:autoSpaceDE/>
        <w:autoSpaceDN/>
        <w:bidi w:val="0"/>
        <w:spacing w:line="576" w:lineRule="exact"/>
        <w:textAlignment w:val="auto"/>
      </w:pPr>
      <w:r>
        <w:rPr>
          <w:rFonts w:hint="eastAsia"/>
          <w:lang w:val="en-US" w:eastAsia="zh-CN"/>
        </w:rPr>
        <w:t>昆明电力交易中心有限责任公司</w:t>
      </w:r>
      <w:r>
        <w:rPr>
          <w:rFonts w:hint="eastAsia"/>
        </w:rPr>
        <w:t>2026年报废物资拍卖服务采购</w:t>
      </w:r>
      <w:r>
        <w:rPr>
          <w:rFonts w:hint="eastAsia"/>
          <w:lang w:eastAsia="zh-CN"/>
        </w:rPr>
        <w:t>（</w:t>
      </w:r>
      <w:r>
        <w:rPr>
          <w:rFonts w:hint="eastAsia"/>
          <w:lang w:val="en-US" w:eastAsia="zh-CN"/>
        </w:rPr>
        <w:t>零星采购</w:t>
      </w:r>
      <w:r>
        <w:rPr>
          <w:rFonts w:hint="eastAsia"/>
          <w:lang w:eastAsia="zh-CN"/>
        </w:rPr>
        <w:t>）</w:t>
      </w:r>
      <w:r>
        <w:rPr>
          <w:rFonts w:hint="eastAsia"/>
        </w:rPr>
        <w:t>项目技术规范书</w:t>
      </w:r>
    </w:p>
    <w:p w14:paraId="51691CD6">
      <w:pPr>
        <w:keepNext w:val="0"/>
        <w:keepLines w:val="0"/>
        <w:kinsoku/>
        <w:wordWrap/>
        <w:overflowPunct/>
        <w:topLinePunct w:val="0"/>
        <w:autoSpaceDE/>
        <w:autoSpaceDN/>
        <w:bidi w:val="0"/>
        <w:spacing w:line="576" w:lineRule="exact"/>
        <w:textAlignment w:val="auto"/>
        <w:rPr>
          <w:rFonts w:ascii="仿宋" w:hAnsi="仿宋" w:eastAsia="仿宋" w:cs="仿宋"/>
          <w:b/>
          <w:bCs/>
          <w:szCs w:val="21"/>
        </w:rPr>
      </w:pPr>
      <w:bookmarkStart w:id="0" w:name="_Toc441159752"/>
      <w:bookmarkEnd w:id="0"/>
      <w:r>
        <w:rPr>
          <w:rFonts w:hint="eastAsia" w:ascii="仿宋" w:hAnsi="仿宋" w:eastAsia="仿宋" w:cs="仿宋"/>
          <w:b/>
          <w:bCs/>
          <w:szCs w:val="21"/>
        </w:rPr>
        <w:t>一.项目概要</w:t>
      </w:r>
    </w:p>
    <w:p w14:paraId="1BC8E9DB">
      <w:pPr>
        <w:keepNext w:val="0"/>
        <w:keepLines w:val="0"/>
        <w:kinsoku/>
        <w:wordWrap/>
        <w:overflowPunct/>
        <w:topLinePunct w:val="0"/>
        <w:autoSpaceDE/>
        <w:autoSpaceDN/>
        <w:bidi w:val="0"/>
        <w:spacing w:line="576" w:lineRule="exact"/>
        <w:ind w:firstLine="420" w:firstLineChars="200"/>
        <w:textAlignment w:val="auto"/>
        <w:rPr>
          <w:rFonts w:hint="eastAsia" w:ascii="仿宋" w:hAnsi="仿宋" w:eastAsia="仿宋" w:cs="仿宋"/>
          <w:color w:val="000000"/>
          <w:kern w:val="0"/>
          <w:szCs w:val="21"/>
          <w:lang w:eastAsia="zh-CN"/>
        </w:rPr>
      </w:pPr>
      <w:r>
        <w:rPr>
          <w:rFonts w:hint="eastAsia" w:ascii="仿宋" w:hAnsi="仿宋" w:eastAsia="仿宋" w:cs="仿宋"/>
          <w:color w:val="000000"/>
          <w:kern w:val="0"/>
          <w:szCs w:val="21"/>
        </w:rPr>
        <w:t>为满足昆明电力交易中心有限责任公司（以下简称"中心"或"甲方"）资产处置管理需要，现对2026年报废物资拍卖服务进行零星采购，对中心2026年报废物资进行拍卖处置。本项目零星采购预算金额</w:t>
      </w:r>
      <w:r>
        <w:rPr>
          <w:rFonts w:hint="eastAsia" w:ascii="仿宋" w:hAnsi="仿宋" w:eastAsia="仿宋" w:cs="仿宋"/>
          <w:color w:val="000000"/>
          <w:kern w:val="0"/>
          <w:szCs w:val="21"/>
          <w:lang w:eastAsia="zh-CN"/>
        </w:rPr>
        <w:t>（</w:t>
      </w:r>
      <w:r>
        <w:rPr>
          <w:rFonts w:hint="eastAsia" w:ascii="仿宋" w:hAnsi="仿宋" w:eastAsia="仿宋" w:cs="仿宋"/>
          <w:color w:val="000000"/>
          <w:kern w:val="0"/>
          <w:szCs w:val="21"/>
          <w:highlight w:val="none"/>
          <w:lang w:eastAsia="zh-CN"/>
        </w:rPr>
        <w:t>预估拍卖服务费金额）</w:t>
      </w:r>
      <w:r>
        <w:rPr>
          <w:rFonts w:hint="eastAsia" w:ascii="仿宋" w:hAnsi="仿宋" w:eastAsia="仿宋" w:cs="仿宋"/>
          <w:color w:val="000000"/>
          <w:kern w:val="0"/>
          <w:szCs w:val="21"/>
          <w:highlight w:val="none"/>
        </w:rPr>
        <w:t>为人民币</w:t>
      </w:r>
      <w:r>
        <w:rPr>
          <w:rFonts w:hint="eastAsia" w:ascii="仿宋" w:hAnsi="仿宋" w:eastAsia="仿宋" w:cs="仿宋"/>
          <w:color w:val="000000"/>
          <w:kern w:val="0"/>
          <w:szCs w:val="21"/>
          <w:highlight w:val="none"/>
          <w:lang w:val="en-US" w:eastAsia="zh-CN"/>
        </w:rPr>
        <w:t>15</w:t>
      </w:r>
      <w:r>
        <w:rPr>
          <w:rFonts w:hint="eastAsia" w:ascii="仿宋" w:hAnsi="仿宋" w:eastAsia="仿宋" w:cs="仿宋"/>
          <w:color w:val="000000"/>
          <w:kern w:val="0"/>
          <w:szCs w:val="21"/>
          <w:highlight w:val="none"/>
        </w:rPr>
        <w:t>00元</w:t>
      </w:r>
      <w:r>
        <w:rPr>
          <w:rFonts w:hint="eastAsia" w:ascii="仿宋" w:hAnsi="仿宋" w:eastAsia="仿宋" w:cs="仿宋"/>
          <w:color w:val="000000"/>
          <w:kern w:val="0"/>
          <w:szCs w:val="21"/>
          <w:highlight w:val="none"/>
          <w:lang w:eastAsia="zh-CN"/>
        </w:rPr>
        <w:t>（</w:t>
      </w:r>
      <w:r>
        <w:rPr>
          <w:rFonts w:hint="eastAsia" w:ascii="仿宋" w:hAnsi="仿宋" w:eastAsia="仿宋" w:cs="仿宋"/>
          <w:color w:val="000000"/>
          <w:kern w:val="0"/>
          <w:szCs w:val="21"/>
          <w:highlight w:val="none"/>
          <w:lang w:val="en-US" w:eastAsia="zh-CN"/>
        </w:rPr>
        <w:t>大写：壹仟伍佰元整</w:t>
      </w:r>
      <w:r>
        <w:rPr>
          <w:rFonts w:hint="eastAsia" w:ascii="仿宋" w:hAnsi="仿宋" w:eastAsia="仿宋" w:cs="仿宋"/>
          <w:color w:val="000000"/>
          <w:kern w:val="0"/>
          <w:szCs w:val="21"/>
          <w:highlight w:val="none"/>
          <w:lang w:eastAsia="zh-CN"/>
        </w:rPr>
        <w:t>）。</w:t>
      </w:r>
    </w:p>
    <w:p w14:paraId="2448A131">
      <w:pPr>
        <w:keepNext w:val="0"/>
        <w:keepLines w:val="0"/>
        <w:kinsoku/>
        <w:wordWrap/>
        <w:overflowPunct/>
        <w:topLinePunct w:val="0"/>
        <w:autoSpaceDE/>
        <w:autoSpaceDN/>
        <w:bidi w:val="0"/>
        <w:spacing w:line="576" w:lineRule="exact"/>
        <w:textAlignment w:val="auto"/>
        <w:rPr>
          <w:rFonts w:hint="eastAsia" w:ascii="仿宋" w:hAnsi="仿宋" w:eastAsia="仿宋" w:cs="仿宋"/>
          <w:b/>
          <w:bCs/>
          <w:szCs w:val="21"/>
        </w:rPr>
      </w:pPr>
      <w:r>
        <w:rPr>
          <w:rFonts w:hint="eastAsia" w:ascii="仿宋" w:hAnsi="仿宋" w:eastAsia="仿宋" w:cs="仿宋"/>
          <w:b/>
          <w:bCs/>
          <w:szCs w:val="21"/>
        </w:rPr>
        <w:t>二.项目范围</w:t>
      </w:r>
    </w:p>
    <w:p w14:paraId="1A9205F3">
      <w:pPr>
        <w:keepNext w:val="0"/>
        <w:keepLines w:val="0"/>
        <w:widowControl/>
        <w:kinsoku/>
        <w:wordWrap/>
        <w:overflowPunct/>
        <w:topLinePunct w:val="0"/>
        <w:autoSpaceDE/>
        <w:autoSpaceDN/>
        <w:bidi w:val="0"/>
        <w:adjustRightInd w:val="0"/>
        <w:snapToGrid w:val="0"/>
        <w:spacing w:line="576" w:lineRule="exact"/>
        <w:ind w:firstLine="420" w:firstLineChars="200"/>
        <w:textAlignment w:val="auto"/>
        <w:rPr>
          <w:rFonts w:ascii="仿宋" w:hAnsi="仿宋" w:eastAsia="仿宋" w:cs="仿宋"/>
          <w:color w:val="000000"/>
          <w:kern w:val="0"/>
          <w:szCs w:val="21"/>
        </w:rPr>
      </w:pPr>
      <w:r>
        <w:rPr>
          <w:rFonts w:hint="eastAsia" w:ascii="仿宋" w:hAnsi="仿宋" w:eastAsia="仿宋" w:cs="仿宋"/>
          <w:color w:val="000000"/>
          <w:kern w:val="0"/>
          <w:szCs w:val="21"/>
          <w:lang w:val="en-US" w:eastAsia="zh-CN"/>
        </w:rPr>
        <w:t>昆明电力交易中心有限责任公司</w:t>
      </w:r>
      <w:r>
        <w:rPr>
          <w:rFonts w:hint="eastAsia" w:ascii="仿宋" w:hAnsi="仿宋" w:eastAsia="仿宋" w:cs="仿宋"/>
          <w:color w:val="000000"/>
          <w:kern w:val="0"/>
          <w:szCs w:val="21"/>
        </w:rPr>
        <w:t>2026年专项报废物资</w:t>
      </w:r>
      <w:r>
        <w:rPr>
          <w:rFonts w:hint="eastAsia" w:ascii="仿宋" w:hAnsi="仿宋" w:eastAsia="仿宋" w:cs="仿宋"/>
          <w:color w:val="000000"/>
          <w:kern w:val="0"/>
          <w:szCs w:val="21"/>
          <w:lang w:eastAsia="zh-CN"/>
        </w:rPr>
        <w:t>拍卖服务</w:t>
      </w:r>
      <w:r>
        <w:rPr>
          <w:rFonts w:hint="eastAsia" w:ascii="仿宋" w:hAnsi="仿宋" w:eastAsia="仿宋" w:cs="仿宋"/>
          <w:color w:val="000000"/>
          <w:kern w:val="0"/>
          <w:szCs w:val="21"/>
        </w:rPr>
        <w:t>。</w:t>
      </w:r>
      <w:bookmarkStart w:id="1" w:name="_GoBack"/>
      <w:bookmarkEnd w:id="1"/>
    </w:p>
    <w:p w14:paraId="6BE2496D">
      <w:pPr>
        <w:keepNext w:val="0"/>
        <w:keepLines w:val="0"/>
        <w:kinsoku/>
        <w:wordWrap/>
        <w:overflowPunct/>
        <w:topLinePunct w:val="0"/>
        <w:autoSpaceDE/>
        <w:autoSpaceDN/>
        <w:bidi w:val="0"/>
        <w:spacing w:line="576" w:lineRule="exact"/>
        <w:textAlignment w:val="auto"/>
        <w:rPr>
          <w:rFonts w:ascii="仿宋" w:hAnsi="仿宋" w:eastAsia="仿宋" w:cs="仿宋"/>
          <w:b/>
          <w:bCs/>
          <w:szCs w:val="21"/>
        </w:rPr>
      </w:pPr>
      <w:r>
        <w:rPr>
          <w:rFonts w:hint="eastAsia" w:ascii="仿宋" w:hAnsi="仿宋" w:eastAsia="仿宋" w:cs="仿宋"/>
          <w:b/>
          <w:bCs/>
          <w:szCs w:val="21"/>
        </w:rPr>
        <w:t>三.项目技术要求</w:t>
      </w:r>
    </w:p>
    <w:p w14:paraId="76D93E68">
      <w:pPr>
        <w:pStyle w:val="13"/>
        <w:keepNext w:val="0"/>
        <w:keepLines w:val="0"/>
        <w:kinsoku/>
        <w:wordWrap/>
        <w:overflowPunct/>
        <w:topLinePunct w:val="0"/>
        <w:autoSpaceDE/>
        <w:autoSpaceDN/>
        <w:bidi w:val="0"/>
        <w:spacing w:line="576" w:lineRule="exact"/>
        <w:ind w:left="0" w:leftChars="0" w:firstLine="0" w:firstLineChars="0"/>
        <w:textAlignment w:val="auto"/>
        <w:rPr>
          <w:rFonts w:ascii="仿宋" w:hAnsi="仿宋" w:eastAsia="仿宋" w:cs="仿宋"/>
          <w:b/>
          <w:bCs/>
          <w:szCs w:val="21"/>
        </w:rPr>
      </w:pPr>
      <w:r>
        <w:rPr>
          <w:rFonts w:hint="eastAsia" w:ascii="仿宋" w:hAnsi="仿宋" w:eastAsia="仿宋" w:cs="仿宋"/>
          <w:b/>
          <w:bCs/>
          <w:szCs w:val="21"/>
        </w:rPr>
        <w:t>3.1项目技术要求（技术参数）</w:t>
      </w:r>
    </w:p>
    <w:p w14:paraId="6ED2CA35">
      <w:pPr>
        <w:keepNext w:val="0"/>
        <w:keepLines w:val="0"/>
        <w:widowControl/>
        <w:kinsoku/>
        <w:wordWrap/>
        <w:overflowPunct/>
        <w:topLinePunct w:val="0"/>
        <w:autoSpaceDE/>
        <w:autoSpaceDN/>
        <w:bidi w:val="0"/>
        <w:adjustRightInd w:val="0"/>
        <w:snapToGrid w:val="0"/>
        <w:spacing w:line="576" w:lineRule="exact"/>
        <w:ind w:firstLine="420" w:firstLineChars="200"/>
        <w:textAlignment w:val="auto"/>
        <w:rPr>
          <w:rFonts w:hint="default" w:ascii="仿宋" w:hAnsi="仿宋" w:eastAsia="仿宋" w:cs="仿宋"/>
          <w:color w:val="000000"/>
          <w:kern w:val="0"/>
          <w:szCs w:val="21"/>
          <w:lang w:val="en-US" w:eastAsia="zh-CN"/>
        </w:rPr>
      </w:pPr>
      <w:r>
        <w:rPr>
          <w:rFonts w:hint="eastAsia" w:ascii="仿宋" w:hAnsi="仿宋" w:eastAsia="仿宋" w:cs="仿宋"/>
          <w:szCs w:val="21"/>
        </w:rPr>
        <w:t>乙方</w:t>
      </w:r>
      <w:r>
        <w:rPr>
          <w:rFonts w:hint="eastAsia" w:ascii="仿宋" w:hAnsi="仿宋" w:eastAsia="仿宋" w:cs="仿宋"/>
          <w:szCs w:val="21"/>
          <w:lang w:eastAsia="zh-CN"/>
        </w:rPr>
        <w:t>（指本次零星采购的响应人，即拍卖服务商，下同）须</w:t>
      </w:r>
      <w:r>
        <w:rPr>
          <w:rFonts w:hint="eastAsia" w:ascii="仿宋" w:hAnsi="仿宋" w:eastAsia="仿宋" w:cs="仿宋"/>
          <w:szCs w:val="21"/>
          <w:lang w:val="en-US" w:eastAsia="zh-CN"/>
        </w:rPr>
        <w:t>具备合法拍卖资质，</w:t>
      </w:r>
      <w:r>
        <w:rPr>
          <w:rFonts w:hint="eastAsia" w:ascii="仿宋" w:hAnsi="仿宋" w:eastAsia="仿宋" w:cs="仿宋"/>
          <w:color w:val="000000"/>
          <w:kern w:val="0"/>
          <w:szCs w:val="21"/>
          <w:lang w:val="en-US" w:eastAsia="zh-CN"/>
        </w:rPr>
        <w:t>且</w:t>
      </w:r>
      <w:r>
        <w:rPr>
          <w:rFonts w:hint="eastAsia" w:ascii="仿宋" w:hAnsi="仿宋" w:eastAsia="仿宋" w:cs="仿宋"/>
          <w:szCs w:val="21"/>
        </w:rPr>
        <w:t>乙方</w:t>
      </w:r>
      <w:r>
        <w:rPr>
          <w:rFonts w:hint="eastAsia" w:ascii="仿宋" w:hAnsi="仿宋" w:eastAsia="仿宋" w:cs="仿宋"/>
          <w:color w:val="000000"/>
          <w:kern w:val="0"/>
          <w:szCs w:val="21"/>
          <w:lang w:val="en-US" w:eastAsia="zh-CN"/>
        </w:rPr>
        <w:t>应在拍卖日7日前，通过昆明电力交易中心要求的公众媒介发布拍卖公告，如未专门要求，可通过中拍平台等各级拍卖行业协会平台、或南方电网供应链统一服务平台、或中国网商报等途径刊登发布拍卖公告，并于拍卖公告刊登当日将刊登拍卖公告的报刊或网站截图材料提交甲方。</w:t>
      </w:r>
    </w:p>
    <w:p w14:paraId="5740AAA5">
      <w:pPr>
        <w:pStyle w:val="13"/>
        <w:keepNext w:val="0"/>
        <w:keepLines w:val="0"/>
        <w:kinsoku/>
        <w:wordWrap/>
        <w:overflowPunct/>
        <w:topLinePunct w:val="0"/>
        <w:autoSpaceDE/>
        <w:autoSpaceDN/>
        <w:bidi w:val="0"/>
        <w:spacing w:line="576" w:lineRule="exact"/>
        <w:ind w:left="0" w:leftChars="0" w:firstLine="0" w:firstLineChars="0"/>
        <w:textAlignment w:val="auto"/>
        <w:rPr>
          <w:rFonts w:ascii="仿宋" w:hAnsi="仿宋" w:eastAsia="仿宋" w:cs="仿宋"/>
          <w:b/>
          <w:bCs/>
          <w:szCs w:val="21"/>
        </w:rPr>
      </w:pPr>
      <w:r>
        <w:rPr>
          <w:rFonts w:hint="eastAsia" w:ascii="仿宋" w:hAnsi="仿宋" w:eastAsia="仿宋" w:cs="仿宋"/>
          <w:b/>
          <w:bCs/>
          <w:szCs w:val="21"/>
        </w:rPr>
        <w:t>3.2项目进度要求</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9"/>
        <w:gridCol w:w="4520"/>
      </w:tblGrid>
      <w:tr w14:paraId="26057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7" w:type="pct"/>
            <w:shd w:val="clear" w:color="auto" w:fill="D9D9D9"/>
            <w:vAlign w:val="center"/>
          </w:tcPr>
          <w:p w14:paraId="0152A09D">
            <w:pPr>
              <w:pStyle w:val="19"/>
              <w:keepNext w:val="0"/>
              <w:keepLines w:val="0"/>
              <w:kinsoku/>
              <w:wordWrap/>
              <w:overflowPunct/>
              <w:topLinePunct w:val="0"/>
              <w:autoSpaceDE/>
              <w:autoSpaceDN/>
              <w:bidi w:val="0"/>
              <w:adjustRightInd/>
              <w:snapToGrid/>
              <w:spacing w:line="576" w:lineRule="exact"/>
              <w:ind w:firstLine="0" w:firstLineChars="0"/>
              <w:jc w:val="center"/>
              <w:textAlignment w:val="auto"/>
              <w:rPr>
                <w:rFonts w:ascii="仿宋" w:hAnsi="仿宋" w:eastAsia="仿宋" w:cs="仿宋"/>
                <w:b/>
                <w:szCs w:val="21"/>
              </w:rPr>
            </w:pPr>
            <w:r>
              <w:rPr>
                <w:rFonts w:hint="eastAsia" w:ascii="仿宋" w:hAnsi="仿宋" w:eastAsia="仿宋" w:cs="仿宋"/>
                <w:b/>
                <w:szCs w:val="21"/>
              </w:rPr>
              <w:t>时间</w:t>
            </w:r>
          </w:p>
        </w:tc>
        <w:tc>
          <w:tcPr>
            <w:tcW w:w="2652" w:type="pct"/>
            <w:shd w:val="clear" w:color="auto" w:fill="D9D9D9"/>
            <w:vAlign w:val="center"/>
          </w:tcPr>
          <w:p w14:paraId="24FEBDCD">
            <w:pPr>
              <w:pStyle w:val="19"/>
              <w:keepNext w:val="0"/>
              <w:keepLines w:val="0"/>
              <w:kinsoku/>
              <w:wordWrap/>
              <w:overflowPunct/>
              <w:topLinePunct w:val="0"/>
              <w:autoSpaceDE/>
              <w:autoSpaceDN/>
              <w:bidi w:val="0"/>
              <w:adjustRightInd/>
              <w:snapToGrid/>
              <w:spacing w:line="576" w:lineRule="exact"/>
              <w:ind w:firstLine="0" w:firstLineChars="0"/>
              <w:jc w:val="center"/>
              <w:textAlignment w:val="auto"/>
              <w:rPr>
                <w:rFonts w:ascii="仿宋" w:hAnsi="仿宋" w:eastAsia="仿宋" w:cs="仿宋"/>
                <w:b/>
                <w:szCs w:val="21"/>
              </w:rPr>
            </w:pPr>
            <w:r>
              <w:rPr>
                <w:rFonts w:hint="eastAsia" w:ascii="仿宋" w:hAnsi="仿宋" w:eastAsia="仿宋" w:cs="仿宋"/>
                <w:b/>
                <w:szCs w:val="21"/>
              </w:rPr>
              <w:t>主要工作内容</w:t>
            </w:r>
          </w:p>
        </w:tc>
      </w:tr>
      <w:tr w14:paraId="5BBAD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47" w:type="pct"/>
          </w:tcPr>
          <w:p w14:paraId="58C59C92">
            <w:pPr>
              <w:pStyle w:val="19"/>
              <w:keepNext w:val="0"/>
              <w:keepLines w:val="0"/>
              <w:kinsoku/>
              <w:wordWrap/>
              <w:overflowPunct/>
              <w:topLinePunct w:val="0"/>
              <w:autoSpaceDE/>
              <w:autoSpaceDN/>
              <w:bidi w:val="0"/>
              <w:adjustRightInd/>
              <w:snapToGrid/>
              <w:spacing w:line="576" w:lineRule="exact"/>
              <w:ind w:firstLine="0" w:firstLineChars="0"/>
              <w:textAlignment w:val="auto"/>
              <w:rPr>
                <w:rFonts w:ascii="仿宋" w:hAnsi="仿宋" w:eastAsia="仿宋" w:cs="仿宋"/>
                <w:szCs w:val="21"/>
              </w:rPr>
            </w:pPr>
            <w:r>
              <w:rPr>
                <w:rFonts w:hint="eastAsia" w:ascii="仿宋" w:hAnsi="仿宋" w:eastAsia="仿宋" w:cs="仿宋"/>
                <w:szCs w:val="21"/>
              </w:rPr>
              <w:t>自合同签订之日起</w:t>
            </w:r>
            <w:r>
              <w:rPr>
                <w:rFonts w:hint="eastAsia" w:ascii="仿宋" w:hAnsi="仿宋" w:eastAsia="仿宋" w:cs="仿宋"/>
                <w:szCs w:val="21"/>
                <w:lang w:val="en-US" w:eastAsia="zh-CN"/>
              </w:rPr>
              <w:t>至2026年12月31日</w:t>
            </w:r>
          </w:p>
        </w:tc>
        <w:tc>
          <w:tcPr>
            <w:tcW w:w="2652" w:type="pct"/>
          </w:tcPr>
          <w:p w14:paraId="71F2EA23">
            <w:pPr>
              <w:pStyle w:val="19"/>
              <w:keepNext w:val="0"/>
              <w:keepLines w:val="0"/>
              <w:kinsoku/>
              <w:wordWrap/>
              <w:overflowPunct/>
              <w:topLinePunct w:val="0"/>
              <w:autoSpaceDE/>
              <w:autoSpaceDN/>
              <w:bidi w:val="0"/>
              <w:adjustRightInd/>
              <w:snapToGrid/>
              <w:spacing w:line="576" w:lineRule="exact"/>
              <w:ind w:firstLine="0" w:firstLineChars="0"/>
              <w:textAlignment w:val="auto"/>
              <w:rPr>
                <w:rFonts w:ascii="仿宋" w:hAnsi="仿宋" w:eastAsia="仿宋" w:cs="仿宋"/>
                <w:szCs w:val="21"/>
              </w:rPr>
            </w:pPr>
            <w:r>
              <w:rPr>
                <w:rFonts w:hint="eastAsia" w:ascii="仿宋" w:hAnsi="仿宋" w:eastAsia="仿宋" w:cs="仿宋"/>
                <w:szCs w:val="21"/>
              </w:rPr>
              <w:t>乙方满足甲方要求提供</w:t>
            </w:r>
            <w:r>
              <w:rPr>
                <w:rFonts w:hint="eastAsia" w:ascii="仿宋" w:hAnsi="仿宋" w:eastAsia="仿宋" w:cs="仿宋"/>
                <w:color w:val="000000"/>
                <w:kern w:val="0"/>
                <w:szCs w:val="21"/>
                <w:lang w:val="en-US" w:eastAsia="zh-CN"/>
              </w:rPr>
              <w:t>报废物资拍卖服务</w:t>
            </w:r>
            <w:r>
              <w:rPr>
                <w:rFonts w:hint="eastAsia" w:ascii="仿宋" w:hAnsi="仿宋" w:eastAsia="仿宋" w:cs="仿宋"/>
                <w:szCs w:val="21"/>
              </w:rPr>
              <w:t>。</w:t>
            </w:r>
          </w:p>
        </w:tc>
      </w:tr>
    </w:tbl>
    <w:p w14:paraId="704E6E74">
      <w:pPr>
        <w:keepNext w:val="0"/>
        <w:keepLines w:val="0"/>
        <w:numPr>
          <w:ilvl w:val="0"/>
          <w:numId w:val="1"/>
        </w:numPr>
        <w:kinsoku/>
        <w:wordWrap/>
        <w:overflowPunct/>
        <w:topLinePunct w:val="0"/>
        <w:autoSpaceDE/>
        <w:autoSpaceDN/>
        <w:bidi w:val="0"/>
        <w:spacing w:line="576" w:lineRule="exact"/>
        <w:textAlignment w:val="auto"/>
        <w:rPr>
          <w:rFonts w:hint="eastAsia" w:ascii="仿宋" w:hAnsi="仿宋" w:eastAsia="仿宋" w:cs="仿宋"/>
          <w:b/>
          <w:bCs/>
          <w:szCs w:val="21"/>
          <w:lang w:val="en-US" w:eastAsia="zh-CN"/>
        </w:rPr>
      </w:pPr>
      <w:r>
        <w:rPr>
          <w:rFonts w:hint="eastAsia" w:ascii="仿宋" w:hAnsi="仿宋" w:eastAsia="仿宋" w:cs="仿宋"/>
          <w:b/>
          <w:bCs/>
          <w:szCs w:val="21"/>
          <w:lang w:val="en-US" w:eastAsia="zh-CN"/>
        </w:rPr>
        <w:t>竞买人资质要求</w:t>
      </w:r>
    </w:p>
    <w:p w14:paraId="6F0C95D3">
      <w:pPr>
        <w:keepNext w:val="0"/>
        <w:keepLines w:val="0"/>
        <w:numPr>
          <w:ilvl w:val="0"/>
          <w:numId w:val="0"/>
        </w:numPr>
        <w:kinsoku/>
        <w:wordWrap/>
        <w:overflowPunct/>
        <w:topLinePunct w:val="0"/>
        <w:autoSpaceDE/>
        <w:autoSpaceDN/>
        <w:bidi w:val="0"/>
        <w:spacing w:line="576" w:lineRule="exact"/>
        <w:textAlignment w:val="auto"/>
        <w:rPr>
          <w:rFonts w:hint="eastAsia" w:ascii="仿宋" w:hAnsi="仿宋" w:eastAsia="仿宋" w:cs="仿宋"/>
          <w:szCs w:val="21"/>
          <w:lang w:val="en-US" w:eastAsia="zh-CN"/>
        </w:rPr>
      </w:pPr>
      <w:r>
        <w:rPr>
          <w:rFonts w:hint="eastAsia" w:ascii="仿宋" w:hAnsi="仿宋" w:eastAsia="仿宋" w:cs="仿宋"/>
          <w:b/>
          <w:bCs/>
          <w:szCs w:val="21"/>
          <w:lang w:val="en-US" w:eastAsia="zh-CN"/>
        </w:rPr>
        <w:t>4.1</w:t>
      </w:r>
      <w:r>
        <w:rPr>
          <w:rFonts w:hint="eastAsia" w:ascii="仿宋" w:hAnsi="仿宋" w:eastAsia="仿宋" w:cs="仿宋"/>
          <w:szCs w:val="21"/>
          <w:lang w:val="en-US" w:eastAsia="zh-CN"/>
        </w:rPr>
        <w:t>法人资质必须是中华人民共和国境内注册合法运营的企业法人，具有独立承担民事责任的能力和独立履行合同的能力，营业执照在有效期内，或具有企业法人授权，且具有独立履行合同的能力的其他组织。</w:t>
      </w:r>
    </w:p>
    <w:p w14:paraId="648DF03A">
      <w:pPr>
        <w:keepNext w:val="0"/>
        <w:keepLines w:val="0"/>
        <w:numPr>
          <w:ilvl w:val="0"/>
          <w:numId w:val="0"/>
        </w:numPr>
        <w:kinsoku/>
        <w:wordWrap/>
        <w:overflowPunct/>
        <w:topLinePunct w:val="0"/>
        <w:autoSpaceDE/>
        <w:autoSpaceDN/>
        <w:bidi w:val="0"/>
        <w:spacing w:line="576" w:lineRule="exact"/>
        <w:textAlignment w:val="auto"/>
        <w:rPr>
          <w:rFonts w:hint="eastAsia" w:ascii="仿宋" w:hAnsi="仿宋" w:eastAsia="仿宋" w:cs="仿宋"/>
          <w:szCs w:val="21"/>
          <w:lang w:val="en-US" w:eastAsia="zh-CN"/>
        </w:rPr>
      </w:pPr>
      <w:r>
        <w:rPr>
          <w:rFonts w:hint="eastAsia" w:ascii="仿宋" w:hAnsi="仿宋" w:eastAsia="仿宋" w:cs="仿宋"/>
          <w:b/>
          <w:bCs/>
          <w:szCs w:val="21"/>
          <w:lang w:val="en-US" w:eastAsia="zh-CN"/>
        </w:rPr>
        <w:t>4.2</w:t>
      </w:r>
      <w:r>
        <w:rPr>
          <w:rFonts w:hint="eastAsia" w:ascii="仿宋" w:hAnsi="仿宋" w:eastAsia="仿宋" w:cs="仿宋"/>
          <w:szCs w:val="21"/>
          <w:lang w:val="en-US" w:eastAsia="zh-CN"/>
        </w:rPr>
        <w:t>具有“增值税一般纳税人资格登记表”和税务局颁发的“税务事项通知书”。</w:t>
      </w:r>
    </w:p>
    <w:p w14:paraId="1888ACDD">
      <w:pPr>
        <w:keepNext w:val="0"/>
        <w:keepLines w:val="0"/>
        <w:numPr>
          <w:ilvl w:val="0"/>
          <w:numId w:val="0"/>
        </w:numPr>
        <w:kinsoku/>
        <w:wordWrap/>
        <w:overflowPunct/>
        <w:topLinePunct w:val="0"/>
        <w:autoSpaceDE/>
        <w:autoSpaceDN/>
        <w:bidi w:val="0"/>
        <w:spacing w:line="576" w:lineRule="exact"/>
        <w:textAlignment w:val="auto"/>
        <w:rPr>
          <w:rFonts w:hint="eastAsia" w:ascii="仿宋" w:hAnsi="仿宋" w:eastAsia="仿宋" w:cs="仿宋"/>
          <w:szCs w:val="21"/>
          <w:lang w:val="en-US" w:eastAsia="zh-CN"/>
        </w:rPr>
      </w:pPr>
      <w:r>
        <w:rPr>
          <w:rFonts w:hint="eastAsia" w:ascii="仿宋" w:hAnsi="仿宋" w:eastAsia="仿宋" w:cs="仿宋"/>
          <w:b/>
          <w:bCs/>
          <w:szCs w:val="21"/>
          <w:lang w:val="en-US" w:eastAsia="zh-CN"/>
        </w:rPr>
        <w:t>4.3</w:t>
      </w:r>
      <w:r>
        <w:rPr>
          <w:rFonts w:hint="eastAsia" w:ascii="仿宋" w:hAnsi="仿宋" w:eastAsia="仿宋" w:cs="仿宋"/>
          <w:szCs w:val="21"/>
          <w:lang w:val="en-US" w:eastAsia="zh-CN"/>
        </w:rPr>
        <w:t>公司及法定代表近三年没有违法经营记录；（无因违约或不恰当履约引起的合同中止、纠纷、争议、仲裁和诉讼记录；在经营活动中没有重大违法记录，没有处于被责令停业，无投标资格，被暂停或取消，无财产被接管、冻结、破产等状态，近三年未发生过安全责任事故。未在“信用中国（网址：https://www.creditchina.gov.cn/）”或“信用中国（云南）（网址：http://www.yncredit.gov.cn/）” 有失信行为并打印信用信息报告。</w:t>
      </w:r>
    </w:p>
    <w:p w14:paraId="1A4839B8">
      <w:pPr>
        <w:keepNext w:val="0"/>
        <w:keepLines w:val="0"/>
        <w:numPr>
          <w:ilvl w:val="0"/>
          <w:numId w:val="0"/>
        </w:numPr>
        <w:kinsoku/>
        <w:wordWrap/>
        <w:overflowPunct/>
        <w:topLinePunct w:val="0"/>
        <w:autoSpaceDE/>
        <w:autoSpaceDN/>
        <w:bidi w:val="0"/>
        <w:spacing w:line="576" w:lineRule="exact"/>
        <w:textAlignment w:val="auto"/>
        <w:rPr>
          <w:rFonts w:hint="eastAsia" w:ascii="仿宋" w:hAnsi="仿宋" w:eastAsia="仿宋" w:cs="仿宋"/>
          <w:szCs w:val="21"/>
          <w:lang w:val="en-US" w:eastAsia="zh-CN"/>
        </w:rPr>
      </w:pPr>
      <w:r>
        <w:rPr>
          <w:rFonts w:hint="eastAsia" w:ascii="仿宋" w:hAnsi="仿宋" w:eastAsia="仿宋" w:cs="仿宋"/>
          <w:b/>
          <w:bCs/>
          <w:szCs w:val="21"/>
          <w:lang w:val="en-US" w:eastAsia="zh-CN"/>
        </w:rPr>
        <w:t>4.4</w:t>
      </w:r>
      <w:r>
        <w:rPr>
          <w:rFonts w:hint="eastAsia" w:ascii="仿宋" w:hAnsi="仿宋" w:eastAsia="仿宋" w:cs="仿宋"/>
          <w:szCs w:val="21"/>
          <w:lang w:val="en-US" w:eastAsia="zh-CN"/>
        </w:rPr>
        <w:t>《营业执照》经营范围需包括“生产性废旧金属回收”等相关内容。</w:t>
      </w:r>
    </w:p>
    <w:p w14:paraId="03E4B2BC">
      <w:pPr>
        <w:keepNext w:val="0"/>
        <w:keepLines w:val="0"/>
        <w:numPr>
          <w:ilvl w:val="0"/>
          <w:numId w:val="0"/>
        </w:numPr>
        <w:kinsoku/>
        <w:wordWrap/>
        <w:overflowPunct/>
        <w:topLinePunct w:val="0"/>
        <w:autoSpaceDE/>
        <w:autoSpaceDN/>
        <w:bidi w:val="0"/>
        <w:spacing w:line="576" w:lineRule="exact"/>
        <w:textAlignment w:val="auto"/>
        <w:rPr>
          <w:rFonts w:hint="eastAsia" w:ascii="仿宋" w:hAnsi="仿宋" w:eastAsia="仿宋" w:cs="仿宋"/>
          <w:szCs w:val="21"/>
          <w:lang w:val="en-US" w:eastAsia="zh-CN"/>
        </w:rPr>
      </w:pPr>
      <w:r>
        <w:rPr>
          <w:rFonts w:hint="eastAsia" w:ascii="仿宋" w:hAnsi="仿宋" w:eastAsia="仿宋" w:cs="仿宋"/>
          <w:b/>
          <w:bCs/>
          <w:szCs w:val="21"/>
          <w:lang w:val="en-US" w:eastAsia="zh-CN"/>
        </w:rPr>
        <w:t>4.5</w:t>
      </w:r>
      <w:r>
        <w:rPr>
          <w:rFonts w:hint="eastAsia" w:ascii="仿宋" w:hAnsi="仿宋" w:eastAsia="仿宋" w:cs="仿宋"/>
          <w:szCs w:val="21"/>
          <w:lang w:val="en-US" w:eastAsia="zh-CN"/>
        </w:rPr>
        <w:t>在云南公安行业场所许可备案平台备案合格(http://gonganting.yn.gov.cn/thxk/#/home)，并取得云南省收购废旧金属备案表。</w:t>
      </w:r>
    </w:p>
    <w:p w14:paraId="3E9B1515">
      <w:pPr>
        <w:keepNext w:val="0"/>
        <w:keepLines w:val="0"/>
        <w:numPr>
          <w:ilvl w:val="0"/>
          <w:numId w:val="0"/>
        </w:numPr>
        <w:kinsoku/>
        <w:wordWrap/>
        <w:overflowPunct/>
        <w:topLinePunct w:val="0"/>
        <w:autoSpaceDE/>
        <w:autoSpaceDN/>
        <w:bidi w:val="0"/>
        <w:spacing w:line="576" w:lineRule="exact"/>
        <w:textAlignment w:val="auto"/>
        <w:rPr>
          <w:rFonts w:hint="eastAsia" w:ascii="仿宋" w:hAnsi="仿宋" w:eastAsia="仿宋" w:cs="仿宋"/>
          <w:szCs w:val="21"/>
          <w:lang w:val="en-US" w:eastAsia="zh-CN"/>
        </w:rPr>
      </w:pPr>
      <w:r>
        <w:rPr>
          <w:rFonts w:hint="eastAsia" w:ascii="仿宋" w:hAnsi="仿宋" w:eastAsia="仿宋" w:cs="仿宋"/>
          <w:b/>
          <w:bCs/>
          <w:szCs w:val="21"/>
          <w:lang w:val="en-US" w:eastAsia="zh-CN"/>
        </w:rPr>
        <w:t>4.6</w:t>
      </w:r>
      <w:r>
        <w:rPr>
          <w:rFonts w:hint="eastAsia" w:ascii="仿宋" w:hAnsi="仿宋" w:eastAsia="仿宋" w:cs="仿宋"/>
          <w:szCs w:val="21"/>
          <w:lang w:val="en-US" w:eastAsia="zh-CN"/>
        </w:rPr>
        <w:t>单位负责人为同一人或者存在控股、管理关系的不同单位，不得参加同一标的竞拍。</w:t>
      </w:r>
    </w:p>
    <w:p w14:paraId="579E857B">
      <w:pPr>
        <w:keepNext w:val="0"/>
        <w:keepLines w:val="0"/>
        <w:numPr>
          <w:ilvl w:val="0"/>
          <w:numId w:val="0"/>
        </w:numPr>
        <w:kinsoku/>
        <w:wordWrap/>
        <w:overflowPunct/>
        <w:topLinePunct w:val="0"/>
        <w:autoSpaceDE/>
        <w:autoSpaceDN/>
        <w:bidi w:val="0"/>
        <w:spacing w:line="576" w:lineRule="exact"/>
        <w:textAlignment w:val="auto"/>
        <w:rPr>
          <w:rFonts w:hint="eastAsia" w:ascii="仿宋" w:hAnsi="仿宋" w:eastAsia="仿宋" w:cs="仿宋"/>
          <w:b/>
          <w:bCs/>
          <w:szCs w:val="21"/>
          <w:lang w:val="en-US" w:eastAsia="zh-CN"/>
        </w:rPr>
      </w:pPr>
      <w:r>
        <w:rPr>
          <w:rFonts w:hint="eastAsia" w:ascii="仿宋" w:hAnsi="仿宋" w:eastAsia="仿宋" w:cs="仿宋"/>
          <w:b/>
          <w:bCs/>
          <w:szCs w:val="21"/>
          <w:lang w:val="en-US" w:eastAsia="zh-CN"/>
        </w:rPr>
        <w:t>4.7</w:t>
      </w:r>
      <w:r>
        <w:rPr>
          <w:rFonts w:hint="eastAsia" w:ascii="仿宋" w:hAnsi="仿宋" w:eastAsia="仿宋" w:cs="仿宋"/>
          <w:szCs w:val="21"/>
          <w:lang w:val="en-US" w:eastAsia="zh-CN"/>
        </w:rPr>
        <w:t>不接受联合体报名。</w:t>
      </w:r>
    </w:p>
    <w:p w14:paraId="0B7148B9">
      <w:pPr>
        <w:keepNext w:val="0"/>
        <w:keepLines w:val="0"/>
        <w:numPr>
          <w:ilvl w:val="0"/>
          <w:numId w:val="1"/>
        </w:numPr>
        <w:kinsoku/>
        <w:wordWrap/>
        <w:overflowPunct/>
        <w:topLinePunct w:val="0"/>
        <w:autoSpaceDE/>
        <w:autoSpaceDN/>
        <w:bidi w:val="0"/>
        <w:spacing w:line="576" w:lineRule="exact"/>
        <w:textAlignment w:val="auto"/>
        <w:rPr>
          <w:rFonts w:hint="eastAsia" w:ascii="仿宋" w:hAnsi="仿宋" w:eastAsia="仿宋" w:cs="仿宋"/>
          <w:b/>
          <w:bCs/>
          <w:szCs w:val="21"/>
          <w:lang w:val="en-US" w:eastAsia="zh-CN"/>
        </w:rPr>
      </w:pPr>
      <w:r>
        <w:rPr>
          <w:rFonts w:hint="eastAsia" w:ascii="仿宋" w:hAnsi="仿宋" w:eastAsia="仿宋" w:cs="仿宋"/>
          <w:b/>
          <w:bCs/>
          <w:szCs w:val="21"/>
          <w:lang w:val="en-US" w:eastAsia="zh-CN"/>
        </w:rPr>
        <w:t>拍卖保证金及履约保证金要求</w:t>
      </w:r>
    </w:p>
    <w:p w14:paraId="63C234E6">
      <w:pPr>
        <w:keepNext w:val="0"/>
        <w:keepLines w:val="0"/>
        <w:numPr>
          <w:ilvl w:val="0"/>
          <w:numId w:val="0"/>
        </w:numPr>
        <w:kinsoku/>
        <w:wordWrap/>
        <w:overflowPunct/>
        <w:topLinePunct w:val="0"/>
        <w:autoSpaceDE/>
        <w:autoSpaceDN/>
        <w:bidi w:val="0"/>
        <w:spacing w:line="576" w:lineRule="exact"/>
        <w:ind w:firstLine="420" w:firstLineChars="200"/>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拍卖保证金由乙方按甲方要求收取，拍卖保证金由乙方按标的起拍价的10%向上取整收取；拍卖流拍且竞买人无违约情况的或甲方撤回标的的，竞买保证金在拍卖会结束后30日内不计利息原路退回竞买人；拍卖未流拍的，在拍卖会结束后，对未中标竞买人，拍卖保证金将在30日内不计利息原路全部退回，对竞买成功的，乙方将买受人竞买保证金转为履约保证金，买受人完成提货后，根据甲方出具的交割凭证或通知等将履约保证金在30日内不计利息原路退还买受人；收取的具体方式、路径要求详见拍卖公告或相关通知等的规定。</w:t>
      </w:r>
    </w:p>
    <w:p w14:paraId="5001170C">
      <w:pPr>
        <w:keepNext w:val="0"/>
        <w:keepLines w:val="0"/>
        <w:numPr>
          <w:ilvl w:val="0"/>
          <w:numId w:val="0"/>
        </w:numPr>
        <w:kinsoku/>
        <w:wordWrap/>
        <w:overflowPunct/>
        <w:topLinePunct w:val="0"/>
        <w:autoSpaceDE/>
        <w:autoSpaceDN/>
        <w:bidi w:val="0"/>
        <w:spacing w:line="576" w:lineRule="exact"/>
        <w:textAlignment w:val="auto"/>
      </w:pPr>
      <w:r>
        <w:rPr>
          <w:rFonts w:hint="eastAsia" w:ascii="仿宋" w:hAnsi="仿宋" w:eastAsia="仿宋" w:cs="仿宋"/>
          <w:b/>
          <w:bCs/>
          <w:szCs w:val="21"/>
          <w:lang w:val="en-US" w:eastAsia="zh-CN"/>
        </w:rPr>
        <w:t>六．乙方（拍卖服务商）其他服务要求</w:t>
      </w:r>
    </w:p>
    <w:p w14:paraId="3E622F79">
      <w:pPr>
        <w:keepNext w:val="0"/>
        <w:keepLines w:val="0"/>
        <w:widowControl/>
        <w:kinsoku/>
        <w:wordWrap/>
        <w:overflowPunct/>
        <w:topLinePunct w:val="0"/>
        <w:autoSpaceDE/>
        <w:autoSpaceDN/>
        <w:bidi w:val="0"/>
        <w:adjustRightInd w:val="0"/>
        <w:snapToGrid w:val="0"/>
        <w:spacing w:line="576" w:lineRule="exact"/>
        <w:ind w:firstLine="420" w:firstLineChars="200"/>
        <w:textAlignment w:val="auto"/>
        <w:rPr>
          <w:rFonts w:hint="eastAsia" w:ascii="仿宋" w:hAnsi="仿宋" w:eastAsia="仿宋" w:cs="仿宋"/>
          <w:szCs w:val="21"/>
          <w:lang w:val="en-US" w:eastAsia="zh-CN"/>
        </w:rPr>
      </w:pPr>
      <w:r>
        <w:rPr>
          <w:rFonts w:hint="eastAsia" w:ascii="仿宋" w:hAnsi="仿宋" w:eastAsia="仿宋" w:cs="仿宋"/>
          <w:szCs w:val="21"/>
          <w:lang w:val="en-US" w:eastAsia="zh-CN"/>
        </w:rPr>
        <w:t>乙方负责拟定拍卖公告、竞买须知、拍卖成交确认书等全套文书，所有文件发布前须提交甲方审核同意后方可使用。拍卖过程中产生的宣传、平台、现场组织等相关费用由乙方自行承担。乙方须做好保密工作，不得泄露甲方内部资产信息；妥善保管拍卖全过程资料，完整归档。若拍卖过程出现纠纷，乙方负责牵头协调处理，及时向甲方汇报进展。</w:t>
      </w:r>
    </w:p>
    <w:p w14:paraId="435356E6">
      <w:pPr>
        <w:spacing w:line="576" w:lineRule="exact"/>
        <w:rPr>
          <w:rFonts w:hint="eastAsia" w:ascii="仿宋" w:hAnsi="仿宋" w:eastAsia="仿宋" w:cs="仿宋"/>
          <w:b/>
          <w:bCs/>
          <w:szCs w:val="21"/>
        </w:rPr>
      </w:pPr>
      <w:r>
        <w:rPr>
          <w:rFonts w:hint="eastAsia" w:ascii="仿宋" w:hAnsi="仿宋" w:eastAsia="仿宋" w:cs="仿宋"/>
          <w:b/>
          <w:bCs/>
          <w:szCs w:val="21"/>
        </w:rPr>
        <w:t>七．</w:t>
      </w:r>
      <w:r>
        <w:rPr>
          <w:rFonts w:hint="eastAsia" w:ascii="仿宋" w:hAnsi="仿宋" w:eastAsia="仿宋" w:cs="仿宋"/>
          <w:b/>
          <w:bCs/>
          <w:szCs w:val="21"/>
          <w:lang w:eastAsia="zh-CN"/>
        </w:rPr>
        <w:t>服务费</w:t>
      </w:r>
      <w:r>
        <w:rPr>
          <w:rFonts w:hint="eastAsia" w:ascii="仿宋" w:hAnsi="仿宋" w:eastAsia="仿宋" w:cs="仿宋"/>
          <w:b/>
          <w:bCs/>
          <w:szCs w:val="21"/>
        </w:rPr>
        <w:t>报价要求和标准</w:t>
      </w:r>
    </w:p>
    <w:p w14:paraId="4F3F73BB">
      <w:pPr>
        <w:keepNext w:val="0"/>
        <w:keepLines w:val="0"/>
        <w:pageBreakBefore w:val="0"/>
        <w:widowControl w:val="0"/>
        <w:kinsoku/>
        <w:wordWrap/>
        <w:overflowPunct/>
        <w:topLinePunct w:val="0"/>
        <w:autoSpaceDE/>
        <w:autoSpaceDN/>
        <w:bidi w:val="0"/>
        <w:adjustRightInd/>
        <w:snapToGrid/>
        <w:spacing w:line="576" w:lineRule="exact"/>
        <w:ind w:firstLine="420" w:firstLineChars="200"/>
        <w:textAlignment w:val="auto"/>
        <w:rPr>
          <w:rFonts w:hint="eastAsia" w:ascii="仿宋" w:hAnsi="仿宋" w:eastAsia="仿宋" w:cs="仿宋"/>
          <w:szCs w:val="21"/>
        </w:rPr>
      </w:pPr>
      <w:r>
        <w:rPr>
          <w:rFonts w:hint="eastAsia" w:ascii="仿宋" w:hAnsi="仿宋" w:eastAsia="仿宋" w:cs="仿宋"/>
          <w:szCs w:val="21"/>
          <w:lang w:val="en-US" w:eastAsia="zh-CN"/>
        </w:rPr>
        <w:t>7.1</w:t>
      </w:r>
      <w:r>
        <w:rPr>
          <w:rFonts w:hint="eastAsia" w:ascii="仿宋" w:hAnsi="仿宋" w:eastAsia="仿宋" w:cs="仿宋"/>
          <w:szCs w:val="21"/>
          <w:lang w:eastAsia="zh-CN"/>
        </w:rPr>
        <w:t>服务费</w:t>
      </w:r>
      <w:r>
        <w:rPr>
          <w:rFonts w:hint="eastAsia" w:ascii="仿宋" w:hAnsi="仿宋" w:eastAsia="仿宋" w:cs="仿宋"/>
          <w:szCs w:val="21"/>
        </w:rPr>
        <w:t>报价要求：本项目需要提交</w:t>
      </w:r>
      <w:r>
        <w:rPr>
          <w:rFonts w:hint="eastAsia" w:ascii="仿宋" w:hAnsi="仿宋" w:eastAsia="仿宋" w:cs="仿宋"/>
          <w:szCs w:val="21"/>
          <w:lang w:eastAsia="zh-CN"/>
        </w:rPr>
        <w:t>的</w:t>
      </w:r>
      <w:r>
        <w:rPr>
          <w:rFonts w:hint="eastAsia" w:ascii="仿宋" w:hAnsi="仿宋" w:eastAsia="仿宋" w:cs="仿宋"/>
          <w:szCs w:val="21"/>
        </w:rPr>
        <w:t>报价为一次性</w:t>
      </w:r>
      <w:r>
        <w:rPr>
          <w:rFonts w:hint="eastAsia" w:ascii="仿宋" w:hAnsi="仿宋" w:eastAsia="仿宋" w:cs="仿宋"/>
          <w:szCs w:val="21"/>
          <w:lang w:eastAsia="zh-CN"/>
        </w:rPr>
        <w:t>服务</w:t>
      </w:r>
      <w:r>
        <w:rPr>
          <w:rFonts w:hint="eastAsia" w:ascii="仿宋" w:hAnsi="仿宋" w:eastAsia="仿宋" w:cs="仿宋"/>
          <w:szCs w:val="21"/>
        </w:rPr>
        <w:t>费率报价；</w:t>
      </w:r>
      <w:r>
        <w:rPr>
          <w:rFonts w:hint="eastAsia" w:ascii="仿宋" w:hAnsi="仿宋" w:eastAsia="仿宋" w:cs="仿宋"/>
          <w:szCs w:val="21"/>
          <w:lang w:eastAsia="zh-CN"/>
        </w:rPr>
        <w:t>参考</w:t>
      </w:r>
      <w:r>
        <w:rPr>
          <w:rFonts w:hint="eastAsia" w:ascii="仿宋" w:hAnsi="仿宋" w:eastAsia="仿宋" w:cs="仿宋"/>
          <w:szCs w:val="21"/>
        </w:rPr>
        <w:t>《中华人民共和国拍卖法（2015年修正）第五十六条规定的最高比例</w:t>
      </w:r>
      <w:r>
        <w:rPr>
          <w:rFonts w:hint="eastAsia" w:ascii="仿宋" w:hAnsi="仿宋" w:eastAsia="仿宋" w:cs="仿宋"/>
          <w:szCs w:val="21"/>
          <w:lang w:eastAsia="zh-CN"/>
        </w:rPr>
        <w:t>，以</w:t>
      </w:r>
      <w:r>
        <w:rPr>
          <w:rFonts w:hint="eastAsia" w:ascii="仿宋" w:hAnsi="仿宋" w:eastAsia="仿宋" w:cs="仿宋"/>
          <w:szCs w:val="21"/>
          <w:lang w:val="en-US" w:eastAsia="zh-CN"/>
        </w:rPr>
        <w:t>5%为费率数值基准</w:t>
      </w:r>
      <w:r>
        <w:rPr>
          <w:rFonts w:hint="eastAsia" w:ascii="仿宋" w:hAnsi="仿宋" w:eastAsia="仿宋" w:cs="仿宋"/>
          <w:szCs w:val="21"/>
          <w:lang w:eastAsia="zh-CN"/>
        </w:rPr>
        <w:t>；</w:t>
      </w:r>
      <w:r>
        <w:rPr>
          <w:rFonts w:hint="eastAsia" w:ascii="仿宋" w:hAnsi="仿宋" w:eastAsia="仿宋" w:cs="仿宋"/>
          <w:szCs w:val="21"/>
        </w:rPr>
        <w:t>乙方实际收取</w:t>
      </w:r>
      <w:r>
        <w:rPr>
          <w:rFonts w:hint="eastAsia" w:ascii="仿宋" w:hAnsi="仿宋" w:eastAsia="仿宋" w:cs="仿宋"/>
          <w:szCs w:val="21"/>
          <w:lang w:eastAsia="zh-CN"/>
        </w:rPr>
        <w:t>甲方的服务费</w:t>
      </w:r>
      <w:r>
        <w:rPr>
          <w:rFonts w:hint="eastAsia" w:ascii="仿宋" w:hAnsi="仿宋" w:eastAsia="仿宋" w:cs="仿宋"/>
          <w:szCs w:val="21"/>
        </w:rPr>
        <w:t>=5%×</w:t>
      </w:r>
      <w:r>
        <w:rPr>
          <w:rFonts w:hint="eastAsia" w:ascii="仿宋" w:hAnsi="仿宋" w:eastAsia="仿宋" w:cs="仿宋"/>
          <w:szCs w:val="21"/>
          <w:lang w:eastAsia="zh-CN"/>
        </w:rPr>
        <w:t>报价</w:t>
      </w:r>
      <w:r>
        <w:rPr>
          <w:rFonts w:hint="eastAsia" w:ascii="仿宋" w:hAnsi="仿宋" w:eastAsia="仿宋" w:cs="仿宋"/>
          <w:szCs w:val="21"/>
        </w:rPr>
        <w:t>费率×</w:t>
      </w:r>
      <w:r>
        <w:rPr>
          <w:rFonts w:hint="eastAsia" w:ascii="仿宋" w:hAnsi="仿宋" w:eastAsia="仿宋" w:cs="仿宋"/>
          <w:szCs w:val="21"/>
          <w:lang w:eastAsia="zh-CN"/>
        </w:rPr>
        <w:t>拍卖成交价，且乙方实际收取甲方的服务费最高不得超过本项目零星采购预算金额；</w:t>
      </w:r>
      <w:r>
        <w:rPr>
          <w:rFonts w:hint="eastAsia" w:ascii="仿宋" w:hAnsi="仿宋" w:eastAsia="仿宋" w:cs="仿宋"/>
          <w:szCs w:val="21"/>
        </w:rPr>
        <w:t>报价最多保留小数点后两位，如：98.88％。</w:t>
      </w:r>
    </w:p>
    <w:p w14:paraId="66D3F489">
      <w:pPr>
        <w:keepNext w:val="0"/>
        <w:keepLines w:val="0"/>
        <w:pageBreakBefore w:val="0"/>
        <w:widowControl w:val="0"/>
        <w:kinsoku/>
        <w:wordWrap/>
        <w:overflowPunct/>
        <w:topLinePunct w:val="0"/>
        <w:autoSpaceDE/>
        <w:autoSpaceDN/>
        <w:bidi w:val="0"/>
        <w:adjustRightInd/>
        <w:snapToGrid/>
        <w:spacing w:line="576" w:lineRule="exact"/>
        <w:ind w:firstLine="420" w:firstLineChars="200"/>
        <w:textAlignment w:val="auto"/>
        <w:rPr>
          <w:rFonts w:hint="default" w:ascii="仿宋" w:hAnsi="仿宋" w:eastAsia="仿宋" w:cs="仿宋"/>
          <w:szCs w:val="21"/>
          <w:lang w:val="en-US" w:eastAsia="zh-CN"/>
        </w:rPr>
      </w:pPr>
      <w:r>
        <w:rPr>
          <w:rFonts w:hint="eastAsia" w:ascii="仿宋" w:hAnsi="仿宋" w:eastAsia="仿宋" w:cs="仿宋"/>
          <w:szCs w:val="21"/>
          <w:lang w:val="en-US" w:eastAsia="zh-CN"/>
        </w:rPr>
        <w:t>7.2服务费</w:t>
      </w:r>
      <w:r>
        <w:rPr>
          <w:rFonts w:hint="eastAsia" w:ascii="仿宋" w:hAnsi="仿宋" w:eastAsia="仿宋" w:cs="仿宋"/>
          <w:szCs w:val="21"/>
        </w:rPr>
        <w:t>报价标准：报价人所报的费率不得高于100%为有效报价，如费率报价小于85%，应在</w:t>
      </w:r>
      <w:r>
        <w:rPr>
          <w:rFonts w:hint="eastAsia" w:ascii="仿宋" w:hAnsi="仿宋" w:eastAsia="仿宋" w:cs="仿宋"/>
          <w:szCs w:val="21"/>
          <w:lang w:eastAsia="zh-CN"/>
        </w:rPr>
        <w:t>响应时</w:t>
      </w:r>
      <w:r>
        <w:rPr>
          <w:rFonts w:hint="eastAsia" w:ascii="仿宋" w:hAnsi="仿宋" w:eastAsia="仿宋" w:cs="仿宋"/>
          <w:szCs w:val="21"/>
        </w:rPr>
        <w:t>提供成本分析报告，成本分析报告需充分说明合理</w:t>
      </w:r>
      <w:r>
        <w:rPr>
          <w:rFonts w:hint="eastAsia" w:ascii="仿宋" w:hAnsi="仿宋" w:eastAsia="仿宋" w:cs="仿宋"/>
          <w:szCs w:val="21"/>
          <w:lang w:eastAsia="zh-CN"/>
        </w:rPr>
        <w:t>性</w:t>
      </w:r>
      <w:r>
        <w:rPr>
          <w:rFonts w:hint="eastAsia" w:ascii="仿宋" w:hAnsi="仿宋" w:eastAsia="仿宋" w:cs="仿宋"/>
          <w:szCs w:val="21"/>
        </w:rPr>
        <w:t>及在其他项目中应用过的经验，未附成本分析报告或成本分析报告经</w:t>
      </w:r>
      <w:r>
        <w:rPr>
          <w:rFonts w:hint="eastAsia" w:ascii="仿宋" w:hAnsi="仿宋" w:eastAsia="仿宋" w:cs="仿宋"/>
          <w:szCs w:val="21"/>
          <w:lang w:eastAsia="zh-CN"/>
        </w:rPr>
        <w:t>甲方</w:t>
      </w:r>
      <w:r>
        <w:rPr>
          <w:rFonts w:hint="eastAsia" w:ascii="仿宋" w:hAnsi="仿宋" w:eastAsia="仿宋" w:cs="仿宋"/>
          <w:szCs w:val="21"/>
        </w:rPr>
        <w:t>判定不合理、不充分的，按无效报价处理。</w:t>
      </w: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99F2C">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6A7899">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36A7899">
                    <w:pPr>
                      <w:snapToGrid w:val="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1</w:t>
                    </w:r>
                    <w:r>
                      <w:rPr>
                        <w:rFonts w:hint="eastAsia"/>
                        <w:sz w:val="18"/>
                      </w:rPr>
                      <w:fldChar w:fldCharType="end"/>
                    </w:r>
                    <w:r>
                      <w:rPr>
                        <w:rFonts w:hint="eastAsia"/>
                        <w:sz w:val="18"/>
                      </w:rPr>
                      <w:t xml:space="preserve"> 页 共 </w:t>
                    </w:r>
                    <w:r>
                      <w:rPr>
                        <w:rFonts w:hint="eastAsia"/>
                        <w:sz w:val="18"/>
                      </w:rPr>
                      <w:fldChar w:fldCharType="begin"/>
                    </w:r>
                    <w:r>
                      <w:rPr>
                        <w:rFonts w:hint="eastAsia"/>
                        <w:sz w:val="18"/>
                      </w:rPr>
                      <w:instrText xml:space="preserve"> NUMPAGES  \* MERGEFORMAT </w:instrText>
                    </w:r>
                    <w:r>
                      <w:rPr>
                        <w:rFonts w:hint="eastAsia"/>
                        <w:sz w:val="18"/>
                      </w:rPr>
                      <w:fldChar w:fldCharType="separate"/>
                    </w:r>
                    <w:r>
                      <w:rPr>
                        <w:rFonts w:hint="eastAsia"/>
                        <w:sz w:val="18"/>
                      </w:rPr>
                      <w:t>5</w:t>
                    </w:r>
                    <w:r>
                      <w:rPr>
                        <w:rFonts w:hint="eastAsia"/>
                        <w:sz w:val="18"/>
                      </w:rPr>
                      <w:fldChar w:fldCharType="end"/>
                    </w:r>
                    <w:r>
                      <w:rPr>
                        <w:rFonts w:hint="eastAsia"/>
                        <w:sz w:val="18"/>
                      </w:rPr>
                      <w:t xml:space="preserve"> 页</w:t>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64D6C2"/>
    <w:multiLevelType w:val="singleLevel"/>
    <w:tmpl w:val="7E64D6C2"/>
    <w:lvl w:ilvl="0" w:tentative="0">
      <w:start w:val="4"/>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96AB8"/>
    <w:rsid w:val="000927C9"/>
    <w:rsid w:val="000C4C82"/>
    <w:rsid w:val="000D1685"/>
    <w:rsid w:val="000E179D"/>
    <w:rsid w:val="0012086A"/>
    <w:rsid w:val="00161F99"/>
    <w:rsid w:val="001C2CA0"/>
    <w:rsid w:val="001C595B"/>
    <w:rsid w:val="001F6B27"/>
    <w:rsid w:val="00201FA7"/>
    <w:rsid w:val="00221B17"/>
    <w:rsid w:val="0023558D"/>
    <w:rsid w:val="00236D1B"/>
    <w:rsid w:val="002A3F8A"/>
    <w:rsid w:val="002D64DA"/>
    <w:rsid w:val="0030778F"/>
    <w:rsid w:val="00344C68"/>
    <w:rsid w:val="0035080E"/>
    <w:rsid w:val="00357110"/>
    <w:rsid w:val="004250D9"/>
    <w:rsid w:val="004535A0"/>
    <w:rsid w:val="004E6F44"/>
    <w:rsid w:val="00551D0A"/>
    <w:rsid w:val="00572F93"/>
    <w:rsid w:val="00594D86"/>
    <w:rsid w:val="005D6C0D"/>
    <w:rsid w:val="005F6DCB"/>
    <w:rsid w:val="00675719"/>
    <w:rsid w:val="00696C2E"/>
    <w:rsid w:val="006A33A1"/>
    <w:rsid w:val="006C6162"/>
    <w:rsid w:val="006E1F92"/>
    <w:rsid w:val="006F67D1"/>
    <w:rsid w:val="00727C6B"/>
    <w:rsid w:val="007B74CD"/>
    <w:rsid w:val="007E04F3"/>
    <w:rsid w:val="007E3A08"/>
    <w:rsid w:val="007F6F1A"/>
    <w:rsid w:val="00817614"/>
    <w:rsid w:val="00833FC2"/>
    <w:rsid w:val="008A63B5"/>
    <w:rsid w:val="009D7FC6"/>
    <w:rsid w:val="009E60E5"/>
    <w:rsid w:val="00A03129"/>
    <w:rsid w:val="00A928F0"/>
    <w:rsid w:val="00AA5C49"/>
    <w:rsid w:val="00AE76D6"/>
    <w:rsid w:val="00B253FD"/>
    <w:rsid w:val="00B46BDC"/>
    <w:rsid w:val="00B71049"/>
    <w:rsid w:val="00B840A3"/>
    <w:rsid w:val="00B861A6"/>
    <w:rsid w:val="00BA1C65"/>
    <w:rsid w:val="00BE3875"/>
    <w:rsid w:val="00C120FF"/>
    <w:rsid w:val="00C353A6"/>
    <w:rsid w:val="00CB335D"/>
    <w:rsid w:val="00CB3AC1"/>
    <w:rsid w:val="00CD07E7"/>
    <w:rsid w:val="00CE7559"/>
    <w:rsid w:val="00D57B8B"/>
    <w:rsid w:val="00D871B9"/>
    <w:rsid w:val="00DA6C38"/>
    <w:rsid w:val="00DF08B1"/>
    <w:rsid w:val="00E0454E"/>
    <w:rsid w:val="00E22939"/>
    <w:rsid w:val="00E53F50"/>
    <w:rsid w:val="00EB2AB3"/>
    <w:rsid w:val="00F9421B"/>
    <w:rsid w:val="00FA50B8"/>
    <w:rsid w:val="00FC77DA"/>
    <w:rsid w:val="02123F53"/>
    <w:rsid w:val="024D6BF6"/>
    <w:rsid w:val="037F1D87"/>
    <w:rsid w:val="04A05CEC"/>
    <w:rsid w:val="04E470E1"/>
    <w:rsid w:val="087E2573"/>
    <w:rsid w:val="092E3BD7"/>
    <w:rsid w:val="09832EFC"/>
    <w:rsid w:val="09E32030"/>
    <w:rsid w:val="0AEF123F"/>
    <w:rsid w:val="0B496AB8"/>
    <w:rsid w:val="0D243CD4"/>
    <w:rsid w:val="0DA51436"/>
    <w:rsid w:val="0F4D15C5"/>
    <w:rsid w:val="0FD7F696"/>
    <w:rsid w:val="10060CE1"/>
    <w:rsid w:val="12326D28"/>
    <w:rsid w:val="12AF0AC2"/>
    <w:rsid w:val="15853D9C"/>
    <w:rsid w:val="161A295B"/>
    <w:rsid w:val="171C6689"/>
    <w:rsid w:val="17964283"/>
    <w:rsid w:val="18FF5C7C"/>
    <w:rsid w:val="1C031118"/>
    <w:rsid w:val="1C7C7028"/>
    <w:rsid w:val="1D8B5A09"/>
    <w:rsid w:val="1DE636F8"/>
    <w:rsid w:val="1F211215"/>
    <w:rsid w:val="1F3E53BF"/>
    <w:rsid w:val="1F422C7A"/>
    <w:rsid w:val="1FCB1B55"/>
    <w:rsid w:val="21E872A6"/>
    <w:rsid w:val="22AB3347"/>
    <w:rsid w:val="22F9768B"/>
    <w:rsid w:val="23225886"/>
    <w:rsid w:val="2386460C"/>
    <w:rsid w:val="23CD77AA"/>
    <w:rsid w:val="24291C08"/>
    <w:rsid w:val="24D348AC"/>
    <w:rsid w:val="25357D1C"/>
    <w:rsid w:val="2585331D"/>
    <w:rsid w:val="26CF1691"/>
    <w:rsid w:val="27A47ADE"/>
    <w:rsid w:val="27DA2611"/>
    <w:rsid w:val="2B37031B"/>
    <w:rsid w:val="2D3025CA"/>
    <w:rsid w:val="2D7B562D"/>
    <w:rsid w:val="2D7D5D23"/>
    <w:rsid w:val="2DC4361D"/>
    <w:rsid w:val="2E014942"/>
    <w:rsid w:val="2E554908"/>
    <w:rsid w:val="2FFFEE28"/>
    <w:rsid w:val="302B55BD"/>
    <w:rsid w:val="33247B60"/>
    <w:rsid w:val="34290560"/>
    <w:rsid w:val="351F7640"/>
    <w:rsid w:val="3614789F"/>
    <w:rsid w:val="36560F70"/>
    <w:rsid w:val="365E6C24"/>
    <w:rsid w:val="36640C9D"/>
    <w:rsid w:val="36825278"/>
    <w:rsid w:val="378308B4"/>
    <w:rsid w:val="37B759F1"/>
    <w:rsid w:val="39DA3E3D"/>
    <w:rsid w:val="3AA47E97"/>
    <w:rsid w:val="3C367E66"/>
    <w:rsid w:val="3CC34A0E"/>
    <w:rsid w:val="3CF40011"/>
    <w:rsid w:val="3D70388E"/>
    <w:rsid w:val="3EA36FB8"/>
    <w:rsid w:val="3ECD47FA"/>
    <w:rsid w:val="3F7D372D"/>
    <w:rsid w:val="3F945576"/>
    <w:rsid w:val="3FD31F68"/>
    <w:rsid w:val="41474FAB"/>
    <w:rsid w:val="42965470"/>
    <w:rsid w:val="45B50E61"/>
    <w:rsid w:val="46EF0968"/>
    <w:rsid w:val="47804667"/>
    <w:rsid w:val="47C56D56"/>
    <w:rsid w:val="47D46A8D"/>
    <w:rsid w:val="49DFA0A9"/>
    <w:rsid w:val="4AE93EEB"/>
    <w:rsid w:val="4B0B7834"/>
    <w:rsid w:val="4C034A63"/>
    <w:rsid w:val="4C1A2475"/>
    <w:rsid w:val="4DCA41B4"/>
    <w:rsid w:val="4F085632"/>
    <w:rsid w:val="4F67373F"/>
    <w:rsid w:val="51701F58"/>
    <w:rsid w:val="51B2537C"/>
    <w:rsid w:val="54E05D49"/>
    <w:rsid w:val="554B1237"/>
    <w:rsid w:val="55CF77F3"/>
    <w:rsid w:val="59954F1D"/>
    <w:rsid w:val="59B131A9"/>
    <w:rsid w:val="59DD1A45"/>
    <w:rsid w:val="5A5C6842"/>
    <w:rsid w:val="5ABD2D80"/>
    <w:rsid w:val="5AFA67E3"/>
    <w:rsid w:val="5C005754"/>
    <w:rsid w:val="5CA327E2"/>
    <w:rsid w:val="5E6802D2"/>
    <w:rsid w:val="5E8FD85B"/>
    <w:rsid w:val="5F284C5F"/>
    <w:rsid w:val="60231E43"/>
    <w:rsid w:val="605103E8"/>
    <w:rsid w:val="614149A0"/>
    <w:rsid w:val="61C832F9"/>
    <w:rsid w:val="642342DE"/>
    <w:rsid w:val="65331F9D"/>
    <w:rsid w:val="667B252D"/>
    <w:rsid w:val="66C537B1"/>
    <w:rsid w:val="67F93DE1"/>
    <w:rsid w:val="692A07F0"/>
    <w:rsid w:val="6A3774AE"/>
    <w:rsid w:val="6A3D6A20"/>
    <w:rsid w:val="6B324A1E"/>
    <w:rsid w:val="6C731975"/>
    <w:rsid w:val="6E5A4C86"/>
    <w:rsid w:val="6E9EBFEC"/>
    <w:rsid w:val="6EFC1A42"/>
    <w:rsid w:val="702673BD"/>
    <w:rsid w:val="72433D22"/>
    <w:rsid w:val="725A72D6"/>
    <w:rsid w:val="73E6218B"/>
    <w:rsid w:val="74CD2319"/>
    <w:rsid w:val="751B6C5D"/>
    <w:rsid w:val="765A226C"/>
    <w:rsid w:val="76F94263"/>
    <w:rsid w:val="78F162D2"/>
    <w:rsid w:val="7B6A4092"/>
    <w:rsid w:val="7B766EC2"/>
    <w:rsid w:val="7C5D7B71"/>
    <w:rsid w:val="7E995AD3"/>
    <w:rsid w:val="7EB34ED6"/>
    <w:rsid w:val="7EE8128D"/>
    <w:rsid w:val="7F2E7899"/>
    <w:rsid w:val="B5BFCF42"/>
    <w:rsid w:val="F0C4BF4F"/>
    <w:rsid w:val="FA6A048F"/>
    <w:rsid w:val="FEB61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link w:val="43"/>
    <w:qFormat/>
    <w:uiPriority w:val="0"/>
    <w:pPr>
      <w:pageBreakBefore/>
      <w:spacing w:before="340" w:after="330" w:line="576" w:lineRule="auto"/>
      <w:jc w:val="center"/>
      <w:outlineLvl w:val="0"/>
    </w:pPr>
    <w:rPr>
      <w:rFonts w:ascii="Times New Roman" w:hAnsi="Times New Roman"/>
      <w:b/>
      <w:kern w:val="44"/>
      <w:sz w:val="28"/>
    </w:rPr>
  </w:style>
  <w:style w:type="paragraph" w:styleId="6">
    <w:name w:val="heading 2"/>
    <w:basedOn w:val="1"/>
    <w:next w:val="1"/>
    <w:link w:val="21"/>
    <w:unhideWhenUsed/>
    <w:qFormat/>
    <w:uiPriority w:val="9"/>
    <w:pPr>
      <w:keepNext/>
      <w:keepLines/>
      <w:snapToGrid w:val="0"/>
      <w:spacing w:line="560" w:lineRule="exact"/>
      <w:ind w:firstLine="800"/>
      <w:jc w:val="left"/>
      <w:outlineLvl w:val="1"/>
    </w:pPr>
    <w:rPr>
      <w:rFonts w:ascii="Arial" w:hAnsi="Arial" w:eastAsia="仿宋"/>
      <w:sz w:val="32"/>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4"/>
    <w:qFormat/>
    <w:uiPriority w:val="0"/>
    <w:pPr>
      <w:spacing w:after="120"/>
    </w:pPr>
  </w:style>
  <w:style w:type="paragraph" w:styleId="3">
    <w:name w:val="Body Text 2"/>
    <w:basedOn w:val="1"/>
    <w:qFormat/>
    <w:uiPriority w:val="0"/>
    <w:pPr>
      <w:spacing w:after="120" w:line="480" w:lineRule="auto"/>
    </w:pPr>
  </w:style>
  <w:style w:type="paragraph" w:styleId="4">
    <w:name w:val="Title"/>
    <w:basedOn w:val="1"/>
    <w:next w:val="1"/>
    <w:qFormat/>
    <w:uiPriority w:val="0"/>
    <w:pPr>
      <w:spacing w:before="240" w:after="60"/>
      <w:jc w:val="center"/>
      <w:outlineLvl w:val="0"/>
    </w:pPr>
    <w:rPr>
      <w:rFonts w:ascii="Arial" w:hAnsi="Arial" w:cs="Arial"/>
      <w:b/>
      <w:bCs/>
      <w:sz w:val="32"/>
      <w:szCs w:val="32"/>
    </w:rPr>
  </w:style>
  <w:style w:type="paragraph" w:styleId="7">
    <w:name w:val="annotation text"/>
    <w:basedOn w:val="1"/>
    <w:link w:val="44"/>
    <w:qFormat/>
    <w:uiPriority w:val="0"/>
    <w:pPr>
      <w:jc w:val="left"/>
    </w:pPr>
  </w:style>
  <w:style w:type="paragraph" w:styleId="8">
    <w:name w:val="Body Text Indent"/>
    <w:basedOn w:val="1"/>
    <w:link w:val="45"/>
    <w:qFormat/>
    <w:uiPriority w:val="0"/>
    <w:pPr>
      <w:spacing w:after="120"/>
      <w:ind w:left="420"/>
    </w:pPr>
  </w:style>
  <w:style w:type="paragraph" w:styleId="9">
    <w:name w:val="toc 3"/>
    <w:basedOn w:val="1"/>
    <w:next w:val="1"/>
    <w:qFormat/>
    <w:uiPriority w:val="0"/>
    <w:pPr>
      <w:ind w:left="840" w:leftChars="400"/>
    </w:pPr>
  </w:style>
  <w:style w:type="paragraph" w:styleId="10">
    <w:name w:val="footer"/>
    <w:basedOn w:val="1"/>
    <w:link w:val="46"/>
    <w:qFormat/>
    <w:uiPriority w:val="0"/>
    <w:pPr>
      <w:tabs>
        <w:tab w:val="center" w:pos="4153"/>
        <w:tab w:val="right" w:pos="8306"/>
      </w:tabs>
      <w:snapToGrid w:val="0"/>
      <w:jc w:val="left"/>
    </w:pPr>
    <w:rPr>
      <w:kern w:val="0"/>
      <w:sz w:val="18"/>
      <w:szCs w:val="18"/>
    </w:rPr>
  </w:style>
  <w:style w:type="paragraph" w:styleId="11">
    <w:name w:val="header"/>
    <w:basedOn w:val="1"/>
    <w:link w:val="4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3">
    <w:name w:val="Body Text First Indent 2"/>
    <w:basedOn w:val="8"/>
    <w:link w:val="48"/>
    <w:qFormat/>
    <w:uiPriority w:val="0"/>
    <w:pPr>
      <w:ind w:left="200" w:leftChars="200" w:firstLine="420" w:firstLineChars="200"/>
    </w:pPr>
  </w:style>
  <w:style w:type="character" w:styleId="16">
    <w:name w:val="FollowedHyperlink"/>
    <w:basedOn w:val="15"/>
    <w:unhideWhenUsed/>
    <w:qFormat/>
    <w:uiPriority w:val="99"/>
    <w:rPr>
      <w:color w:val="954F72"/>
      <w:u w:val="single"/>
    </w:rPr>
  </w:style>
  <w:style w:type="character" w:styleId="17">
    <w:name w:val="Hyperlink"/>
    <w:basedOn w:val="15"/>
    <w:unhideWhenUsed/>
    <w:qFormat/>
    <w:uiPriority w:val="99"/>
    <w:rPr>
      <w:color w:val="0563C1"/>
      <w:u w:val="single"/>
    </w:rPr>
  </w:style>
  <w:style w:type="character" w:styleId="18">
    <w:name w:val="annotation reference"/>
    <w:basedOn w:val="15"/>
    <w:qFormat/>
    <w:uiPriority w:val="0"/>
    <w:rPr>
      <w:sz w:val="21"/>
      <w:szCs w:val="21"/>
    </w:rPr>
  </w:style>
  <w:style w:type="paragraph" w:customStyle="1" w:styleId="19">
    <w:name w:val="GEDI正文样式"/>
    <w:basedOn w:val="1"/>
    <w:qFormat/>
    <w:uiPriority w:val="0"/>
    <w:pPr>
      <w:adjustRightInd w:val="0"/>
      <w:snapToGrid w:val="0"/>
      <w:spacing w:line="480" w:lineRule="atLeast"/>
      <w:ind w:firstLine="480" w:firstLineChars="200"/>
    </w:pPr>
    <w:rPr>
      <w:szCs w:val="24"/>
    </w:rPr>
  </w:style>
  <w:style w:type="paragraph" w:customStyle="1" w:styleId="20">
    <w:name w:val="正文文本缩进1"/>
    <w:basedOn w:val="1"/>
    <w:qFormat/>
    <w:uiPriority w:val="0"/>
    <w:pPr>
      <w:spacing w:line="300" w:lineRule="auto"/>
      <w:ind w:firstLine="480"/>
    </w:pPr>
    <w:rPr>
      <w:rFonts w:ascii="宋体" w:hAnsi="宋体"/>
      <w:kern w:val="0"/>
      <w:sz w:val="24"/>
      <w:szCs w:val="24"/>
    </w:rPr>
  </w:style>
  <w:style w:type="character" w:customStyle="1" w:styleId="21">
    <w:name w:val="标题 2 字符"/>
    <w:basedOn w:val="15"/>
    <w:link w:val="6"/>
    <w:qFormat/>
    <w:uiPriority w:val="9"/>
    <w:rPr>
      <w:rFonts w:ascii="Arial" w:hAnsi="Arial" w:eastAsia="仿宋"/>
      <w:kern w:val="2"/>
      <w:sz w:val="32"/>
      <w:szCs w:val="22"/>
    </w:rPr>
  </w:style>
  <w:style w:type="paragraph" w:customStyle="1" w:styleId="22">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3">
    <w:name w:val="font5"/>
    <w:basedOn w:val="1"/>
    <w:qFormat/>
    <w:uiPriority w:val="0"/>
    <w:pPr>
      <w:widowControl/>
      <w:spacing w:before="100" w:beforeAutospacing="1" w:after="100" w:afterAutospacing="1"/>
      <w:jc w:val="left"/>
    </w:pPr>
    <w:rPr>
      <w:rFonts w:ascii="Times New Roman" w:hAnsi="Times New Roman"/>
      <w:color w:val="000000"/>
      <w:kern w:val="0"/>
      <w:sz w:val="24"/>
      <w:szCs w:val="24"/>
    </w:rPr>
  </w:style>
  <w:style w:type="paragraph" w:customStyle="1" w:styleId="24">
    <w:name w:val="font6"/>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25">
    <w:name w:val="font7"/>
    <w:basedOn w:val="1"/>
    <w:qFormat/>
    <w:uiPriority w:val="0"/>
    <w:pPr>
      <w:widowControl/>
      <w:spacing w:before="100" w:beforeAutospacing="1" w:after="100" w:afterAutospacing="1"/>
      <w:jc w:val="left"/>
    </w:pPr>
    <w:rPr>
      <w:rFonts w:ascii="Times New Roman" w:hAnsi="Times New Roman"/>
      <w:color w:val="333333"/>
      <w:kern w:val="0"/>
      <w:sz w:val="24"/>
      <w:szCs w:val="24"/>
    </w:rPr>
  </w:style>
  <w:style w:type="paragraph" w:customStyle="1" w:styleId="26">
    <w:name w:val="font8"/>
    <w:basedOn w:val="1"/>
    <w:qFormat/>
    <w:uiPriority w:val="0"/>
    <w:pPr>
      <w:widowControl/>
      <w:spacing w:before="100" w:beforeAutospacing="1" w:after="100" w:afterAutospacing="1"/>
      <w:jc w:val="left"/>
    </w:pPr>
    <w:rPr>
      <w:rFonts w:ascii="宋体" w:hAnsi="宋体" w:cs="宋体"/>
      <w:color w:val="333333"/>
      <w:kern w:val="0"/>
      <w:sz w:val="24"/>
      <w:szCs w:val="24"/>
    </w:rPr>
  </w:style>
  <w:style w:type="paragraph" w:customStyle="1" w:styleId="27">
    <w:name w:val="xl6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8">
    <w:name w:val="xl67"/>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ascii="宋体" w:hAnsi="宋体" w:cs="宋体"/>
      <w:b/>
      <w:bCs/>
      <w:color w:val="000000"/>
      <w:kern w:val="0"/>
      <w:sz w:val="24"/>
      <w:szCs w:val="24"/>
    </w:rPr>
  </w:style>
  <w:style w:type="paragraph" w:customStyle="1" w:styleId="29">
    <w:name w:val="xl68"/>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right"/>
    </w:pPr>
    <w:rPr>
      <w:rFonts w:ascii="Times New Roman" w:hAnsi="Times New Roman"/>
      <w:color w:val="000000"/>
      <w:kern w:val="0"/>
      <w:sz w:val="24"/>
      <w:szCs w:val="24"/>
    </w:rPr>
  </w:style>
  <w:style w:type="paragraph" w:customStyle="1" w:styleId="30">
    <w:name w:val="xl69"/>
    <w:basedOn w:val="1"/>
    <w:qFormat/>
    <w:uiPriority w:val="0"/>
    <w:pPr>
      <w:widowControl/>
      <w:pBdr>
        <w:bottom w:val="single" w:color="000000" w:sz="8" w:space="0"/>
        <w:right w:val="single" w:color="000000" w:sz="8" w:space="0"/>
      </w:pBdr>
      <w:spacing w:before="100" w:beforeAutospacing="1" w:after="100" w:afterAutospacing="1"/>
      <w:jc w:val="left"/>
    </w:pPr>
    <w:rPr>
      <w:rFonts w:ascii="宋体" w:hAnsi="宋体" w:cs="宋体"/>
      <w:color w:val="000000"/>
      <w:kern w:val="0"/>
      <w:sz w:val="24"/>
      <w:szCs w:val="24"/>
    </w:rPr>
  </w:style>
  <w:style w:type="paragraph" w:customStyle="1" w:styleId="31">
    <w:name w:val="xl70"/>
    <w:basedOn w:val="1"/>
    <w:qFormat/>
    <w:uiPriority w:val="0"/>
    <w:pPr>
      <w:widowControl/>
      <w:pBdr>
        <w:bottom w:val="single" w:color="000000" w:sz="8" w:space="0"/>
        <w:right w:val="single" w:color="000000" w:sz="8" w:space="0"/>
      </w:pBdr>
      <w:spacing w:before="100" w:beforeAutospacing="1" w:after="100" w:afterAutospacing="1"/>
      <w:jc w:val="left"/>
    </w:pPr>
    <w:rPr>
      <w:rFonts w:ascii="Times New Roman" w:hAnsi="Times New Roman"/>
      <w:color w:val="000000"/>
      <w:kern w:val="0"/>
      <w:sz w:val="24"/>
      <w:szCs w:val="24"/>
    </w:rPr>
  </w:style>
  <w:style w:type="paragraph" w:customStyle="1" w:styleId="32">
    <w:name w:val="xl71"/>
    <w:basedOn w:val="1"/>
    <w:qFormat/>
    <w:uiPriority w:val="0"/>
    <w:pPr>
      <w:widowControl/>
      <w:pBdr>
        <w:bottom w:val="single" w:color="000000" w:sz="8" w:space="0"/>
        <w:right w:val="single" w:color="000000" w:sz="8" w:space="0"/>
      </w:pBdr>
      <w:spacing w:before="100" w:beforeAutospacing="1" w:after="100" w:afterAutospacing="1"/>
      <w:jc w:val="center"/>
    </w:pPr>
    <w:rPr>
      <w:rFonts w:ascii="宋体" w:hAnsi="宋体" w:cs="宋体"/>
      <w:color w:val="000000"/>
      <w:kern w:val="0"/>
      <w:sz w:val="24"/>
      <w:szCs w:val="24"/>
    </w:rPr>
  </w:style>
  <w:style w:type="paragraph" w:customStyle="1" w:styleId="33">
    <w:name w:val="xl72"/>
    <w:basedOn w:val="1"/>
    <w:qFormat/>
    <w:uiPriority w:val="0"/>
    <w:pPr>
      <w:widowControl/>
      <w:pBdr>
        <w:bottom w:val="single" w:color="000000" w:sz="8" w:space="0"/>
        <w:right w:val="single" w:color="000000" w:sz="8" w:space="0"/>
      </w:pBdr>
      <w:spacing w:before="100" w:beforeAutospacing="1" w:after="100" w:afterAutospacing="1"/>
      <w:jc w:val="right"/>
    </w:pPr>
    <w:rPr>
      <w:rFonts w:ascii="Times New Roman" w:hAnsi="Times New Roman"/>
      <w:color w:val="000000"/>
      <w:kern w:val="0"/>
      <w:sz w:val="24"/>
      <w:szCs w:val="24"/>
    </w:rPr>
  </w:style>
  <w:style w:type="paragraph" w:customStyle="1" w:styleId="34">
    <w:name w:val="xl73"/>
    <w:basedOn w:val="1"/>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pPr>
    <w:rPr>
      <w:rFonts w:ascii="宋体" w:hAnsi="宋体" w:cs="宋体"/>
      <w:b/>
      <w:bCs/>
      <w:color w:val="000000"/>
      <w:kern w:val="0"/>
      <w:sz w:val="24"/>
      <w:szCs w:val="24"/>
    </w:rPr>
  </w:style>
  <w:style w:type="paragraph" w:customStyle="1" w:styleId="35">
    <w:name w:val="xl74"/>
    <w:basedOn w:val="1"/>
    <w:qFormat/>
    <w:uiPriority w:val="0"/>
    <w:pPr>
      <w:widowControl/>
      <w:pBdr>
        <w:top w:val="single" w:color="000000" w:sz="8" w:space="0"/>
        <w:bottom w:val="single" w:color="000000" w:sz="8" w:space="0"/>
      </w:pBdr>
      <w:spacing w:before="100" w:beforeAutospacing="1" w:after="100" w:afterAutospacing="1"/>
      <w:jc w:val="center"/>
    </w:pPr>
    <w:rPr>
      <w:rFonts w:ascii="宋体" w:hAnsi="宋体" w:cs="宋体"/>
      <w:b/>
      <w:bCs/>
      <w:color w:val="000000"/>
      <w:kern w:val="0"/>
      <w:sz w:val="24"/>
      <w:szCs w:val="24"/>
    </w:rPr>
  </w:style>
  <w:style w:type="paragraph" w:customStyle="1" w:styleId="36">
    <w:name w:val="xl75"/>
    <w:basedOn w:val="1"/>
    <w:qFormat/>
    <w:uiPriority w:val="0"/>
    <w:pPr>
      <w:widowControl/>
      <w:pBdr>
        <w:bottom w:val="single" w:color="000000" w:sz="8" w:space="0"/>
        <w:right w:val="single" w:color="000000" w:sz="8" w:space="0"/>
      </w:pBdr>
      <w:spacing w:before="100" w:beforeAutospacing="1" w:after="100" w:afterAutospacing="1"/>
    </w:pPr>
    <w:rPr>
      <w:rFonts w:ascii="Times New Roman" w:hAnsi="Times New Roman"/>
      <w:color w:val="000000"/>
      <w:kern w:val="0"/>
      <w:sz w:val="24"/>
      <w:szCs w:val="24"/>
    </w:rPr>
  </w:style>
  <w:style w:type="paragraph" w:customStyle="1" w:styleId="37">
    <w:name w:val="font9"/>
    <w:basedOn w:val="1"/>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38">
    <w:name w:val="xl76"/>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39">
    <w:name w:val="xl77"/>
    <w:basedOn w:val="1"/>
    <w:qFormat/>
    <w:uiPriority w:val="0"/>
    <w:pPr>
      <w:widowControl/>
      <w:pBdr>
        <w:bottom w:val="single" w:color="000000" w:sz="8" w:space="0"/>
        <w:right w:val="single" w:color="000000" w:sz="8" w:space="0"/>
      </w:pBdr>
      <w:spacing w:before="100" w:beforeAutospacing="1" w:after="100" w:afterAutospacing="1"/>
      <w:jc w:val="left"/>
    </w:pPr>
    <w:rPr>
      <w:rFonts w:ascii="宋体" w:hAnsi="宋体" w:cs="宋体"/>
      <w:kern w:val="0"/>
      <w:sz w:val="24"/>
      <w:szCs w:val="24"/>
    </w:rPr>
  </w:style>
  <w:style w:type="paragraph" w:customStyle="1" w:styleId="40">
    <w:name w:val="xl78"/>
    <w:basedOn w:val="1"/>
    <w:qFormat/>
    <w:uiPriority w:val="0"/>
    <w:pPr>
      <w:widowControl/>
      <w:pBdr>
        <w:bottom w:val="single" w:color="000000" w:sz="8" w:space="0"/>
        <w:right w:val="single" w:color="000000" w:sz="8" w:space="0"/>
      </w:pBdr>
      <w:spacing w:before="100" w:beforeAutospacing="1" w:after="100" w:afterAutospacing="1"/>
      <w:jc w:val="left"/>
    </w:pPr>
    <w:rPr>
      <w:rFonts w:ascii="Times New Roman" w:hAnsi="Times New Roman"/>
      <w:kern w:val="0"/>
      <w:sz w:val="24"/>
      <w:szCs w:val="24"/>
    </w:rPr>
  </w:style>
  <w:style w:type="paragraph" w:customStyle="1" w:styleId="41">
    <w:name w:val="xl79"/>
    <w:basedOn w:val="1"/>
    <w:qFormat/>
    <w:uiPriority w:val="0"/>
    <w:pPr>
      <w:widowControl/>
      <w:pBdr>
        <w:bottom w:val="single" w:color="000000" w:sz="8" w:space="0"/>
        <w:right w:val="single" w:color="000000" w:sz="8" w:space="0"/>
      </w:pBdr>
      <w:spacing w:before="100" w:beforeAutospacing="1" w:after="100" w:afterAutospacing="1"/>
      <w:jc w:val="center"/>
    </w:pPr>
    <w:rPr>
      <w:rFonts w:ascii="宋体" w:hAnsi="宋体" w:cs="宋体"/>
      <w:kern w:val="0"/>
      <w:sz w:val="24"/>
      <w:szCs w:val="24"/>
    </w:rPr>
  </w:style>
  <w:style w:type="paragraph" w:customStyle="1" w:styleId="42">
    <w:name w:val="xl80"/>
    <w:basedOn w:val="1"/>
    <w:qFormat/>
    <w:uiPriority w:val="0"/>
    <w:pPr>
      <w:widowControl/>
      <w:pBdr>
        <w:bottom w:val="single" w:color="000000" w:sz="8" w:space="0"/>
        <w:right w:val="single" w:color="000000" w:sz="8" w:space="0"/>
      </w:pBdr>
      <w:spacing w:before="100" w:beforeAutospacing="1" w:after="100" w:afterAutospacing="1"/>
      <w:jc w:val="right"/>
    </w:pPr>
    <w:rPr>
      <w:rFonts w:ascii="Times New Roman" w:hAnsi="Times New Roman"/>
      <w:kern w:val="0"/>
      <w:sz w:val="24"/>
      <w:szCs w:val="24"/>
    </w:rPr>
  </w:style>
  <w:style w:type="character" w:customStyle="1" w:styleId="43">
    <w:name w:val="标题 1 字符"/>
    <w:basedOn w:val="15"/>
    <w:link w:val="5"/>
    <w:qFormat/>
    <w:uiPriority w:val="0"/>
    <w:rPr>
      <w:rFonts w:ascii="Times New Roman" w:hAnsi="Times New Roman"/>
      <w:b/>
      <w:kern w:val="44"/>
      <w:sz w:val="28"/>
      <w:szCs w:val="22"/>
    </w:rPr>
  </w:style>
  <w:style w:type="character" w:customStyle="1" w:styleId="44">
    <w:name w:val="批注文字 字符"/>
    <w:basedOn w:val="15"/>
    <w:link w:val="7"/>
    <w:qFormat/>
    <w:uiPriority w:val="0"/>
    <w:rPr>
      <w:kern w:val="2"/>
      <w:sz w:val="21"/>
      <w:szCs w:val="22"/>
    </w:rPr>
  </w:style>
  <w:style w:type="character" w:customStyle="1" w:styleId="45">
    <w:name w:val="正文文本缩进 字符"/>
    <w:basedOn w:val="15"/>
    <w:link w:val="8"/>
    <w:qFormat/>
    <w:uiPriority w:val="0"/>
    <w:rPr>
      <w:kern w:val="2"/>
      <w:sz w:val="21"/>
      <w:szCs w:val="22"/>
    </w:rPr>
  </w:style>
  <w:style w:type="character" w:customStyle="1" w:styleId="46">
    <w:name w:val="页脚 字符"/>
    <w:basedOn w:val="15"/>
    <w:link w:val="10"/>
    <w:qFormat/>
    <w:uiPriority w:val="0"/>
    <w:rPr>
      <w:sz w:val="18"/>
      <w:szCs w:val="18"/>
    </w:rPr>
  </w:style>
  <w:style w:type="character" w:customStyle="1" w:styleId="47">
    <w:name w:val="页眉 字符"/>
    <w:basedOn w:val="15"/>
    <w:link w:val="11"/>
    <w:qFormat/>
    <w:uiPriority w:val="0"/>
    <w:rPr>
      <w:kern w:val="2"/>
      <w:sz w:val="18"/>
      <w:szCs w:val="22"/>
    </w:rPr>
  </w:style>
  <w:style w:type="character" w:customStyle="1" w:styleId="48">
    <w:name w:val="正文文本首行缩进 2 字符"/>
    <w:basedOn w:val="45"/>
    <w:link w:val="13"/>
    <w:qFormat/>
    <w:uiPriority w:val="0"/>
    <w:rPr>
      <w:kern w:val="2"/>
      <w:sz w:val="21"/>
      <w:szCs w:val="22"/>
    </w:rPr>
  </w:style>
  <w:style w:type="paragraph" w:customStyle="1" w:styleId="49">
    <w:name w:val="font1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0">
    <w:name w:val="font11"/>
    <w:basedOn w:val="1"/>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51">
    <w:name w:val="font12"/>
    <w:basedOn w:val="1"/>
    <w:qFormat/>
    <w:uiPriority w:val="0"/>
    <w:pPr>
      <w:widowControl/>
      <w:spacing w:before="100" w:beforeAutospacing="1" w:after="100" w:afterAutospacing="1"/>
      <w:jc w:val="left"/>
    </w:pPr>
    <w:rPr>
      <w:rFonts w:ascii="宋体" w:hAnsi="宋体" w:cs="宋体"/>
      <w:color w:val="000000"/>
      <w:kern w:val="0"/>
      <w:sz w:val="24"/>
      <w:szCs w:val="24"/>
    </w:rPr>
  </w:style>
  <w:style w:type="character" w:customStyle="1" w:styleId="52">
    <w:name w:val="font01"/>
    <w:basedOn w:val="15"/>
    <w:qFormat/>
    <w:uiPriority w:val="0"/>
    <w:rPr>
      <w:rFonts w:hint="eastAsia" w:ascii="宋体" w:hAnsi="宋体" w:eastAsia="宋体" w:cs="宋体"/>
      <w:color w:val="000000"/>
      <w:sz w:val="24"/>
      <w:szCs w:val="24"/>
      <w:u w:val="none"/>
    </w:rPr>
  </w:style>
  <w:style w:type="character" w:customStyle="1" w:styleId="53">
    <w:name w:val="font31"/>
    <w:basedOn w:val="15"/>
    <w:qFormat/>
    <w:uiPriority w:val="0"/>
    <w:rPr>
      <w:rFonts w:hint="eastAsia" w:ascii="仿宋" w:hAnsi="仿宋" w:eastAsia="仿宋" w:cs="仿宋"/>
      <w:color w:val="000000"/>
      <w:sz w:val="24"/>
      <w:szCs w:val="24"/>
      <w:u w:val="none"/>
    </w:rPr>
  </w:style>
  <w:style w:type="character" w:customStyle="1" w:styleId="54">
    <w:name w:val="font41"/>
    <w:basedOn w:val="15"/>
    <w:qFormat/>
    <w:uiPriority w:val="0"/>
    <w:rPr>
      <w:rFonts w:hint="eastAsia" w:ascii="宋体" w:hAnsi="宋体" w:eastAsia="宋体" w:cs="宋体"/>
      <w:color w:val="000000"/>
      <w:sz w:val="24"/>
      <w:szCs w:val="24"/>
      <w:u w:val="none"/>
    </w:rPr>
  </w:style>
  <w:style w:type="character" w:customStyle="1" w:styleId="55">
    <w:name w:val="font51"/>
    <w:basedOn w:val="15"/>
    <w:qFormat/>
    <w:uiPriority w:val="0"/>
    <w:rPr>
      <w:rFonts w:hint="eastAsia" w:ascii="宋体" w:hAnsi="宋体" w:eastAsia="宋体" w:cs="宋体"/>
      <w:color w:val="000000"/>
      <w:sz w:val="24"/>
      <w:szCs w:val="24"/>
      <w:u w:val="none"/>
    </w:rPr>
  </w:style>
  <w:style w:type="character" w:customStyle="1" w:styleId="56">
    <w:name w:val="font21"/>
    <w:basedOn w:val="15"/>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dw</Company>
  <Pages>3</Pages>
  <Words>2749</Words>
  <Characters>15671</Characters>
  <Lines>130</Lines>
  <Paragraphs>36</Paragraphs>
  <TotalTime>45</TotalTime>
  <ScaleCrop>false</ScaleCrop>
  <LinksUpToDate>false</LinksUpToDate>
  <CharactersWithSpaces>18384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2022-11-11T20:20:00Z</dcterms:created>
  <dc:creator>杨雯雁</dc:creator>
  <cp:lastModifiedBy>陈相吉</cp:lastModifiedBy>
  <dcterms:modified xsi:type="dcterms:W3CDTF">2026-10-22T08:25:46Z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2B92BE10F21971A9959ED86AA24E2D2A</vt:lpwstr>
  </property>
</Properties>
</file>