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3962E">
      <w:pPr>
        <w:spacing w:before="156" w:beforeLines="50" w:after="156" w:afterLines="50"/>
        <w:jc w:val="center"/>
        <w:rPr>
          <w:rFonts w:hint="eastAsia" w:ascii="方正小标宋_GBK" w:hAnsi="黑体" w:eastAsia="方正小标宋_GBK" w:cs="黑体"/>
          <w:bCs/>
          <w:spacing w:val="3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-506095</wp:posOffset>
            </wp:positionH>
            <wp:positionV relativeFrom="paragraph">
              <wp:posOffset>-796290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B5192F">
      <w:pPr>
        <w:spacing w:before="156" w:beforeLines="50" w:after="156" w:afterLines="50"/>
        <w:jc w:val="center"/>
        <w:rPr>
          <w:rFonts w:hint="eastAsia" w:ascii="方正小标宋_GBK" w:hAnsi="黑体" w:eastAsia="方正小标宋_GBK" w:cs="黑体"/>
          <w:bCs/>
          <w:spacing w:val="30"/>
          <w:sz w:val="44"/>
          <w:szCs w:val="44"/>
        </w:rPr>
      </w:pPr>
    </w:p>
    <w:p w14:paraId="3793FBF0">
      <w:pPr>
        <w:spacing w:before="156" w:beforeLines="50" w:after="156" w:afterLines="50"/>
        <w:rPr>
          <w:rFonts w:hint="eastAsia" w:ascii="方正小标宋_GBK" w:hAnsi="黑体" w:eastAsia="方正小标宋_GBK" w:cs="黑体"/>
          <w:bCs/>
          <w:spacing w:val="30"/>
          <w:sz w:val="44"/>
          <w:szCs w:val="44"/>
        </w:rPr>
      </w:pPr>
    </w:p>
    <w:p w14:paraId="4334F430">
      <w:pPr>
        <w:spacing w:before="156" w:beforeLines="50" w:after="156" w:afterLines="50"/>
        <w:jc w:val="center"/>
        <w:rPr>
          <w:rFonts w:hint="eastAsia" w:ascii="方正小标宋_GBK" w:hAnsi="黑体" w:eastAsia="方正小标宋_GBK" w:cs="黑体"/>
          <w:bCs/>
          <w:spacing w:val="30"/>
          <w:sz w:val="48"/>
          <w:szCs w:val="48"/>
        </w:rPr>
      </w:pPr>
    </w:p>
    <w:p w14:paraId="6188B2A6">
      <w:pPr>
        <w:jc w:val="center"/>
        <w:rPr>
          <w:rFonts w:hint="eastAsia" w:ascii="宋体" w:hAnsi="宋体" w:cs="宋体"/>
          <w:b/>
          <w:bCs/>
        </w:rPr>
      </w:pPr>
      <w:r>
        <w:rPr>
          <w:rFonts w:hint="eastAsia" w:ascii="方正小标宋_GBK" w:hAnsi="黑体" w:eastAsia="方正小标宋_GBK" w:cs="黑体"/>
          <w:bCs/>
          <w:spacing w:val="30"/>
          <w:sz w:val="48"/>
          <w:szCs w:val="48"/>
        </w:rPr>
        <w:t>2026年南网数字集团信通公司林芝地区安全保障咨询服务技术规范书</w:t>
      </w:r>
    </w:p>
    <w:tbl>
      <w:tblPr>
        <w:tblStyle w:val="13"/>
        <w:tblpPr w:leftFromText="180" w:rightFromText="180" w:vertAnchor="text" w:horzAnchor="page" w:tblpX="1387" w:tblpY="4208"/>
        <w:tblOverlap w:val="never"/>
        <w:tblW w:w="8908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8"/>
      </w:tblGrid>
      <w:tr w14:paraId="5EE733B3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0" w:hRule="atLeast"/>
        </w:trPr>
        <w:tc>
          <w:tcPr>
            <w:tcW w:w="8908" w:type="dxa"/>
            <w:vAlign w:val="center"/>
          </w:tcPr>
          <w:p w14:paraId="543A62A5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  <w:r>
              <w:t>南方电网数字电网集团信息通信科技有限公司</w:t>
            </w:r>
          </w:p>
        </w:tc>
      </w:tr>
      <w:tr w14:paraId="1E16D44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13" w:hRule="atLeast"/>
        </w:trPr>
        <w:tc>
          <w:tcPr>
            <w:tcW w:w="8908" w:type="dxa"/>
            <w:vAlign w:val="center"/>
          </w:tcPr>
          <w:p w14:paraId="66B7391C">
            <w:pPr>
              <w:jc w:val="center"/>
              <w:rPr>
                <w:rFonts w:hint="eastAsia" w:ascii="黑体" w:hAnsi="黑体" w:eastAsia="黑体" w:cs="黑体"/>
                <w:spacing w:val="20"/>
                <w:sz w:val="32"/>
                <w:szCs w:val="32"/>
              </w:rPr>
            </w:pPr>
            <w:r>
              <w:t>2026年10月</w:t>
            </w:r>
          </w:p>
        </w:tc>
      </w:tr>
    </w:tbl>
    <w:p w14:paraId="25E47055">
      <w:pPr>
        <w:spacing w:line="360" w:lineRule="auto"/>
        <w:jc w:val="center"/>
        <w:rPr>
          <w:rFonts w:hint="eastAsia" w:ascii="宋体" w:hAnsi="宋体" w:cs="宋体"/>
          <w:b/>
          <w:bCs/>
        </w:rPr>
        <w:sectPr>
          <w:headerReference r:id="rId3" w:type="default"/>
          <w:footerReference r:id="rId4" w:type="default"/>
          <w:pgSz w:w="11906" w:h="16838"/>
          <w:pgMar w:top="720" w:right="720" w:bottom="720" w:left="720" w:header="851" w:footer="992" w:gutter="0"/>
          <w:pgNumType w:start="1"/>
          <w:cols w:space="720" w:num="1"/>
          <w:docGrid w:type="lines" w:linePitch="312" w:charSpace="0"/>
        </w:sectPr>
      </w:pPr>
    </w:p>
    <w:p w14:paraId="2FB0A63D">
      <w:pPr>
        <w:pStyle w:val="2"/>
        <w:pageBreakBefore/>
        <w:spacing w:before="0" w:after="0" w:line="560" w:lineRule="exact"/>
        <w:ind w:left="1054"/>
        <w:rPr>
          <w:rFonts w:hint="eastAsia" w:ascii="黑体" w:hAnsi="黑体" w:cs="黑体"/>
          <w:szCs w:val="32"/>
        </w:rPr>
      </w:pPr>
      <w:r>
        <w:rPr>
          <w:rFonts w:hint="eastAsia" w:ascii="黑体" w:hAnsi="黑体" w:cs="黑体"/>
          <w:szCs w:val="32"/>
        </w:rPr>
        <w:t>项目背景</w:t>
      </w:r>
    </w:p>
    <w:p w14:paraId="371359C2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南方电网数字电网集团信息通信科技有限公司（以下简称“采购人”或“南网信通”）承接中国雅江集团有限公司网络安全攻防服务，服务现场位于西藏自治区林芝市，现场海拔约3,000米（林芝市区海拔约2,900～3,100米），属高原环境。进驻现场的服务人员多来自内地低海拔地区，普遍面临急性高原反应、高原肺水肿、高原脑水肿等高原病风险，以及睡眠障碍、体力下降、作业能力衰减、心理波动等适应性问题；现场作业涉及高处作业、临时用电、有限空间作业及长时间户外作业，高原低氧、低温、强紫外线、昼夜温差大、医疗资源相对薄弱等因素进一步放大了健康与安全风险。</w:t>
      </w:r>
    </w:p>
    <w:p w14:paraId="4CA606AB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为保障进驻人员在高原环境下的身体健康与作业安全，需由具备高原现场服务经历的专业机构提供高原安全保障服务咨询，通过培训与现场驻点指导，使进驻人员掌握高原环境风险认知、高原病识别与自我防护方法。</w:t>
      </w:r>
    </w:p>
    <w:p w14:paraId="2529FD41">
      <w:pPr>
        <w:pStyle w:val="2"/>
        <w:bidi w:val="0"/>
        <w:rPr>
          <w:rFonts w:hint="eastAsia"/>
        </w:rPr>
      </w:pPr>
      <w:r>
        <w:rPr>
          <w:rFonts w:hint="eastAsia"/>
        </w:rPr>
        <w:t>项目目标</w:t>
      </w:r>
    </w:p>
    <w:p w14:paraId="13FC80F5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面向采购人现场进驻人员开展高原安全保障服务咨询，以培训与现场驻点指导为交付主线：培训覆盖率100%、考核合格率不低于95%；现场驻点指导累计不少于8人天；交付物为现场打卡记录、培训资料纸质版与现场培训照片，简洁完整、便于验收。</w:t>
      </w:r>
    </w:p>
    <w:p w14:paraId="25AC82EB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具体目标如下：</w:t>
      </w:r>
    </w:p>
    <w:p w14:paraId="6D7F1DF7">
      <w:pPr>
        <w:pStyle w:val="6"/>
        <w:numPr>
          <w:ilvl w:val="0"/>
          <w:numId w:val="2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完成高原适应性培训（含高原生活指导、高原工作指导内容），参训人员覆盖全部进驻人员；</w:t>
      </w:r>
    </w:p>
    <w:p w14:paraId="6C1BC476">
      <w:pPr>
        <w:pStyle w:val="6"/>
        <w:numPr>
          <w:ilvl w:val="0"/>
          <w:numId w:val="2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提供内容完整、可直接使用的培训资料纸质版并交付采购人留存；</w:t>
      </w:r>
    </w:p>
    <w:p w14:paraId="402F27C1">
      <w:pPr>
        <w:pStyle w:val="6"/>
        <w:numPr>
          <w:ilvl w:val="0"/>
          <w:numId w:val="2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完成现场打卡与签到，记录真实、完整、可追溯；</w:t>
      </w:r>
    </w:p>
    <w:p w14:paraId="317B9669">
      <w:pPr>
        <w:pStyle w:val="6"/>
        <w:numPr>
          <w:ilvl w:val="0"/>
          <w:numId w:val="2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留存现场培训照片，作为培训实施的现场证明；</w:t>
      </w:r>
    </w:p>
    <w:p w14:paraId="4C929885">
      <w:pPr>
        <w:pStyle w:val="6"/>
        <w:numPr>
          <w:ilvl w:val="0"/>
          <w:numId w:val="2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完成现场驻点指导不少于8人天。</w:t>
      </w:r>
    </w:p>
    <w:p w14:paraId="53656263">
      <w:pPr>
        <w:pStyle w:val="2"/>
        <w:bidi w:val="0"/>
        <w:rPr>
          <w:rFonts w:hint="eastAsia"/>
        </w:rPr>
      </w:pPr>
      <w:r>
        <w:rPr>
          <w:rFonts w:hint="eastAsia"/>
        </w:rPr>
        <w:t>项目依据</w:t>
      </w:r>
    </w:p>
    <w:p w14:paraId="2B2BF87C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法律法规与标准依据</w:t>
      </w:r>
    </w:p>
    <w:p w14:paraId="01C5F2DC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《中华人民共和国安全生产法》；</w:t>
      </w:r>
    </w:p>
    <w:p w14:paraId="546CE4CA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《中华人民共和国职业病防治法》；</w:t>
      </w:r>
    </w:p>
    <w:p w14:paraId="32FDAE99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《生产经营单位安全培训规定》；</w:t>
      </w:r>
    </w:p>
    <w:p w14:paraId="3B148B47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《职业健康监护技术规范》GBZ 188—2025；</w:t>
      </w:r>
    </w:p>
    <w:p w14:paraId="6D1FBD5C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《职业性高原病诊断标准》GBZ 92—2008；</w:t>
      </w:r>
    </w:p>
    <w:p w14:paraId="1E09E5A9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《用人单位职业病防治指南》GBZ/T 225—2010；</w:t>
      </w:r>
    </w:p>
    <w:p w14:paraId="22276DF9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《急进高原灾害应急救援队伍防护指南》GB/T 42991—2023；</w:t>
      </w:r>
    </w:p>
    <w:p w14:paraId="42A6A31C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《密闭空间作业职业危害防护规范》GBZ/T 205—2007；</w:t>
      </w:r>
    </w:p>
    <w:p w14:paraId="5BE11623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《个体防护装备配备规范 第1部分：总则》GB 39800.1—2020；</w:t>
      </w:r>
    </w:p>
    <w:p w14:paraId="6F995CDB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《高处作业分级》GB 3608—2025；</w:t>
      </w:r>
    </w:p>
    <w:p w14:paraId="1DF3EBC9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《职业健康安全管理体系 要求及使用指南》GB/T 45001—2020；</w:t>
      </w:r>
    </w:p>
    <w:p w14:paraId="63AB6493">
      <w:pPr>
        <w:pStyle w:val="6"/>
        <w:numPr>
          <w:ilvl w:val="0"/>
          <w:numId w:val="3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采购人及雅江集团（最终用户）现场管理规定、信息安全与保密管理制度。</w:t>
      </w:r>
    </w:p>
    <w:p w14:paraId="7265870A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说明：GBZ 188—2025《职业健康监护技术规范》已将“高原作业”界定为从平原或较低海拔地区进入海拔2,500米以上地区从事职业活动，并对其职业健康监护作出规定。本项目服务现场海拔约3,000米，进驻人员属高原作业人员，开展上岗前、在岗期间职业健康监护与健康准入判定属法定义务。</w:t>
      </w:r>
    </w:p>
    <w:p w14:paraId="3D7C3F9F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上述标准均以本技术规范书发布时的现行有效版本为准；供应商在编制交付物时应采用现行有效版本，并在交付物中标注所引用标准的完整编号与版本（含年号）。</w:t>
      </w:r>
    </w:p>
    <w:p w14:paraId="740CFE2C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交付内容</w:t>
      </w:r>
    </w:p>
    <w:p w14:paraId="009C31A6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本项目各项交付内容与所依据标准的对应关系如下，供应商编制的交付物须与下表逐项匹配：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3"/>
        <w:gridCol w:w="3420"/>
        <w:gridCol w:w="2659"/>
      </w:tblGrid>
      <w:tr w14:paraId="19C42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tblHeader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291C3A1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交付内容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18AC25B5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匹配标准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19195FB8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匹配用途</w:t>
            </w:r>
          </w:p>
        </w:tc>
      </w:tr>
      <w:tr w14:paraId="17CAB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237D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培训内容——高原环境认知、高原病识别与预防、高原习服与适应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3CEC6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GB/T 42991—2023《急进高原灾害应急救援队伍防护指南》</w:t>
            </w:r>
          </w:p>
          <w:p w14:paraId="33724B13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GBZ 92—2008《职业性高原病诊断标准》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ACCBB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确定行前健康筛查与禁忌、低氧预适应与习服方法、高原病早期识别与处置的培训要点</w:t>
            </w:r>
          </w:p>
        </w:tc>
      </w:tr>
      <w:tr w14:paraId="09523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974C0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培训内容——健康监护与作业禁忌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9572B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GBZ 188—2025《职业健康监护技术规范》</w:t>
            </w:r>
          </w:p>
          <w:p w14:paraId="4922BC2E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GBZ/T 225—2010《用人单位职业病防治指南》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78919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确定高原作业健康监护项目、作业禁忌与健康告知的培训要点</w:t>
            </w:r>
          </w:p>
        </w:tc>
      </w:tr>
      <w:tr w14:paraId="009B9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7F005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培训内容——个人防护与特殊作业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99A4A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 39800.1—2020《个体防护装备配备规范 第1部分：总则》</w:t>
            </w:r>
          </w:p>
          <w:p w14:paraId="27EBAA91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 3608—2025《高处作业分级》</w:t>
            </w:r>
          </w:p>
          <w:p w14:paraId="2997336F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GBZ/T 205—2007《密闭空间作业职业危害防护规范》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3AE1D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确定个体防护装备配备与使用、高处作业与有限空间作业风险控制的培训要点</w:t>
            </w:r>
          </w:p>
        </w:tc>
      </w:tr>
      <w:tr w14:paraId="11D63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E18D6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培训组织实施、现场打卡与现场培训照片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92FCF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《生产经营单位安全培训规定》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7A799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确定培训范围、培训学时、签到与培训记录要求（含现场打卡与照片留存）</w:t>
            </w:r>
          </w:p>
        </w:tc>
      </w:tr>
      <w:tr w14:paraId="1302F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64B9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培训资料（纸质版）的编制与质量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8C526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GB/T 45001—2020《职业健康安全管理体系 要求及使用指南》</w:t>
            </w:r>
          </w:p>
        </w:tc>
        <w:tc>
          <w:tcPr>
            <w:tcW w:w="2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01739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确定培训资料编制、发放与培训质量跟踪要求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。</w:t>
            </w:r>
          </w:p>
        </w:tc>
      </w:tr>
    </w:tbl>
    <w:p w14:paraId="5428C25F">
      <w:pPr>
        <w:pStyle w:val="2"/>
        <w:pageBreakBefore/>
        <w:spacing w:before="0" w:after="0" w:line="560" w:lineRule="exact"/>
        <w:ind w:left="1054"/>
        <w:rPr>
          <w:rFonts w:hint="eastAsia" w:ascii="黑体" w:hAnsi="黑体" w:cs="黑体"/>
          <w:szCs w:val="32"/>
        </w:rPr>
      </w:pPr>
      <w:r>
        <w:rPr>
          <w:rFonts w:hint="eastAsia" w:ascii="黑体" w:hAnsi="黑体" w:cs="黑体"/>
          <w:szCs w:val="32"/>
        </w:rPr>
        <w:t>服务内容</w:t>
      </w:r>
    </w:p>
    <w:p w14:paraId="72A1486A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服务范围</w:t>
      </w:r>
    </w:p>
    <w:p w14:paraId="52A56FED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本次采购的服务对象、地点与工作范围如下：</w:t>
      </w:r>
    </w:p>
    <w:tbl>
      <w:tblPr>
        <w:tblStyle w:val="13"/>
        <w:tblW w:w="526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1440"/>
        <w:gridCol w:w="6574"/>
      </w:tblGrid>
      <w:tr w14:paraId="0EF8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tblHeader/>
          <w:jc w:val="center"/>
        </w:trPr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4E16C4BD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173E3D86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6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32A953E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内容</w:t>
            </w:r>
          </w:p>
        </w:tc>
      </w:tr>
      <w:tr w14:paraId="6648F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0950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3F1A6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采购人</w:t>
            </w:r>
          </w:p>
        </w:tc>
        <w:tc>
          <w:tcPr>
            <w:tcW w:w="6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5F3BE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南方电网数字电网集团信息通信科技有限公司（简称“南网信通”）</w:t>
            </w:r>
          </w:p>
        </w:tc>
      </w:tr>
      <w:tr w14:paraId="46CC4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2C3CB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0435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服务地点</w:t>
            </w:r>
          </w:p>
        </w:tc>
        <w:tc>
          <w:tcPr>
            <w:tcW w:w="6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46417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西藏自治区林芝市（现场海拔约3,000米，具体地址以采购人现场通知为准）</w:t>
            </w:r>
          </w:p>
        </w:tc>
      </w:tr>
      <w:tr w14:paraId="7BCC2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E0CF9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0216A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服务内容</w:t>
            </w:r>
          </w:p>
        </w:tc>
        <w:tc>
          <w:tcPr>
            <w:tcW w:w="6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7BAD1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高原安全保障服务咨询，含高原适应性培训、高原生活指导、高原工作指导及现场驻点指导</w:t>
            </w:r>
          </w:p>
        </w:tc>
      </w:tr>
      <w:tr w14:paraId="3A710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5B5D8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07CA4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服务期限</w:t>
            </w:r>
          </w:p>
        </w:tc>
        <w:tc>
          <w:tcPr>
            <w:tcW w:w="6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3BCE4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自采购人通知（或合同签订）之日起至现场服务结束，累计不超过30个自然日</w:t>
            </w:r>
          </w:p>
        </w:tc>
      </w:tr>
    </w:tbl>
    <w:p w14:paraId="0E311104">
      <w:pPr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42FED016">
      <w:pPr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br w:type="page"/>
      </w:r>
    </w:p>
    <w:p w14:paraId="0355486A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服务内容</w:t>
      </w:r>
    </w:p>
    <w:p w14:paraId="2112ACA1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服务内容包括以下工作项：</w:t>
      </w:r>
    </w:p>
    <w:tbl>
      <w:tblPr>
        <w:tblStyle w:val="13"/>
        <w:tblW w:w="513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1700"/>
        <w:gridCol w:w="6154"/>
      </w:tblGrid>
      <w:tr w14:paraId="65840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tblHeader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60D8D92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59D249A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服务模块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3535A10A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具体内容</w:t>
            </w:r>
          </w:p>
        </w:tc>
      </w:tr>
      <w:tr w14:paraId="03169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C2186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AD86A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培训资料（纸质版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/电子版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61BEC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编制并印制培训资料（课件/教材），内容覆盖三部分：</w:t>
            </w:r>
          </w:p>
          <w:p w14:paraId="639080C5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1）高原适应性培训——高原环境认知、高原反应与高原病（急性高原反应、高原肺水肿、高原脑水肿）识别与预防、高原作业禁忌症、阶梯适应与高原习服方法、氧疗与急救常识、下撤判定与转运流程、药品与用品准备；</w:t>
            </w:r>
          </w:p>
          <w:p w14:paraId="09AA79A9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（2）高原生活指导——住宿与供氧、饮食与营养、饮水与保暖、睡眠管理、防晒与皮肤及呼吸道防护、烟酒控制、常用药配置与用药禁忌、就近医疗资源与转运路径、心理适应与情绪管理；</w:t>
            </w:r>
          </w:p>
          <w:p w14:paraId="3C449866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（3）高原工作指导——作业强度分级与限时轮换、休息制度，高处作业、临时用电、有限空间作业在高原环境下的叠加风险控制，两人同行与专人监护要求，恶劣天气与身体异常时的作业叫停标准。</w:t>
            </w:r>
          </w:p>
          <w:p w14:paraId="3AB3AECB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培训资料按采购人要求的份数印制纸质版并交付，费用已包含在报价总价内。</w:t>
            </w:r>
          </w:p>
        </w:tc>
      </w:tr>
      <w:tr w14:paraId="63E29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DC01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8916C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培训实施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C18F6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前培训不少于1场（不少于4学时）；上岗前培训不少于1场（不少于4学时）；服务期内复训不少于1次；合计不少于9学时。培训可采用线上或现场方式，具体时间与地点由采购人确定；培训结束组织考核，考核结果由供应商留存备查。</w:t>
            </w:r>
          </w:p>
        </w:tc>
      </w:tr>
      <w:tr w14:paraId="2222C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489FB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2F4E4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现场打卡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051D2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培训现场组织签到（打卡）并留存签到记录；驻点期间按采购人考勤要求现场打卡；记录载明日期、人员、地点，作为培训覆盖率与驻点工作量的计量依据。</w:t>
            </w:r>
          </w:p>
        </w:tc>
      </w:tr>
      <w:tr w14:paraId="25164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EFD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C305A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现场培训照片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D91FF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各场次培训现场拍摄照片（体现培训时间、地点、参训人员与授课场景），按场次整理，随交付物一并提交；照片涉及采购人现场信息的，按保密要求使用，不得对外披露。</w:t>
            </w:r>
          </w:p>
        </w:tc>
      </w:tr>
      <w:tr w14:paraId="7F89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CD881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CC9D7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现场驻点指导</w:t>
            </w:r>
          </w:p>
        </w:tc>
        <w:tc>
          <w:tcPr>
            <w:tcW w:w="6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96390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在采购人通知的服务期内派驻专业人员现场随队指导，累计不少于8人天，覆盖适应期与关键作业阶段，费用已包含在报价总价内。</w:t>
            </w:r>
          </w:p>
        </w:tc>
      </w:tr>
    </w:tbl>
    <w:p w14:paraId="783A3E2B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服务形式与工作量</w:t>
      </w:r>
    </w:p>
    <w:p w14:paraId="337E8752">
      <w:pPr>
        <w:pStyle w:val="6"/>
        <w:numPr>
          <w:ilvl w:val="0"/>
          <w:numId w:val="4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培训工作量：行前培训不少于1场（不少于4学时）；上岗前培训不少于1场（不少于4学时）；服务期内复训不少于1次；合计不少于9学时。</w:t>
      </w:r>
    </w:p>
    <w:p w14:paraId="2FD3E978">
      <w:pPr>
        <w:pStyle w:val="6"/>
        <w:numPr>
          <w:ilvl w:val="0"/>
          <w:numId w:val="4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现场驻点工作量：累计不少于8人天（1人天＝1名专业人员现场服务1个工日，工日按8小时计），为本次采购的工作量上限，费用已包含在报价总价内，超出部分不予结算。</w:t>
      </w:r>
    </w:p>
    <w:p w14:paraId="7E0F2DC2">
      <w:pPr>
        <w:pStyle w:val="6"/>
        <w:numPr>
          <w:ilvl w:val="0"/>
          <w:numId w:val="4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驻点人员安排：同一时段驻点不少于1人；按采购人通知的时间、地点进场，遵守采购人及雅江集团现场作息、门禁与考勤管理。</w:t>
      </w:r>
    </w:p>
    <w:p w14:paraId="637D9859">
      <w:pPr>
        <w:pStyle w:val="6"/>
        <w:numPr>
          <w:ilvl w:val="0"/>
          <w:numId w:val="4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服务覆盖人数：预计覆盖现场进驻人员，具体人数以采购人通知为准。</w:t>
      </w:r>
    </w:p>
    <w:p w14:paraId="7E749B38">
      <w:pPr>
        <w:pStyle w:val="6"/>
        <w:numPr>
          <w:ilvl w:val="0"/>
          <w:numId w:val="4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工作量以现场打卡（签到）记录为主要计量依据，由采购人或其指定现场管理单位核对确认；现场培训照片作为培训实施的辅助证明。</w:t>
      </w:r>
    </w:p>
    <w:p w14:paraId="730F8F8A">
      <w:pPr>
        <w:pStyle w:val="2"/>
        <w:bidi w:val="0"/>
        <w:rPr>
          <w:rFonts w:hint="eastAsia"/>
        </w:rPr>
      </w:pPr>
      <w:r>
        <w:rPr>
          <w:rFonts w:hint="eastAsia"/>
        </w:rPr>
        <w:t>项目工作要求</w:t>
      </w:r>
    </w:p>
    <w:p w14:paraId="3E4C37B4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资格要求</w:t>
      </w:r>
    </w:p>
    <w:p w14:paraId="7E645B80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中华人民共和国境内依法注册的法人或其他组织，具备合法有效的营业执照。</w:t>
      </w:r>
    </w:p>
    <w:p w14:paraId="04C20C55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具备与本项目相匹配的服务能力与人员配置，能够提供1个以上同类服务业绩（合同或验收证明）。</w:t>
      </w:r>
    </w:p>
    <w:p w14:paraId="3E06109C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供应商须具备高原现场服务经历：近3年内具有海拔3,000米及以上高原地区的安全培训、安全咨询或现场安全服务业绩不少于1个，须提供合同关键页及验收（或履约）证明，且证明材料能够体现服务地点及海拔。</w:t>
      </w:r>
    </w:p>
    <w:p w14:paraId="24345F5D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项目团队须具备高原现场服务经历，至少2名成员具有海拔3,000米及以上高原地区工作或服务经历，须提供个人经历说明或既往项目材料。</w:t>
      </w:r>
    </w:p>
    <w:p w14:paraId="1A9800FB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具备进藏服务能力，能够承诺接到采购人通知后48小时内响应、72小时内到场，并提供书面承诺。</w:t>
      </w:r>
    </w:p>
    <w:p w14:paraId="57A84DA2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具备承担本项目所需的用工合规条件（人员劳动关系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  <w:lang w:eastAsia="zh-CN"/>
        </w:rPr>
        <w:t>或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社会保险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  <w:lang w:eastAsia="zh-CN"/>
        </w:rPr>
        <w:t>证明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），近3年无重大安全事故记录、未被列入严重违法失信名单。</w:t>
      </w:r>
    </w:p>
    <w:p w14:paraId="21A1B668">
      <w:pPr>
        <w:pStyle w:val="6"/>
        <w:numPr>
          <w:ilvl w:val="0"/>
          <w:numId w:val="5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供应商须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  <w:lang w:eastAsia="zh-CN"/>
        </w:rPr>
        <w:t>至少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同时具备下列管理体系认证（共4项），并提供加盖公章的证书复印件，均须在有效期内、可在发证机构官方渠道查验：</w:t>
      </w:r>
    </w:p>
    <w:tbl>
      <w:tblPr>
        <w:tblStyle w:val="13"/>
        <w:tblW w:w="85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318"/>
        <w:gridCol w:w="3299"/>
        <w:gridCol w:w="3291"/>
      </w:tblGrid>
      <w:tr w14:paraId="10475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23DCDAC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0DDE350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资质类别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6BB5F51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认证名称与标准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771FCBE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lang w:eastAsia="zh-CN"/>
              </w:rPr>
              <w:t>备注</w:t>
            </w:r>
          </w:p>
        </w:tc>
      </w:tr>
      <w:tr w14:paraId="675CB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0794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7D3E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职业健康安全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B7E0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职业健康安全管理体系认证证书（GB/T 45001—2020 / ISO 45001:2018）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F82C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必备</w:t>
            </w:r>
          </w:p>
        </w:tc>
      </w:tr>
      <w:tr w14:paraId="6642A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4113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E27E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质量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31F8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质量管理体系认证证书（GB/T 19001—2016 / ISO 9001:2015）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111F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必备</w:t>
            </w:r>
          </w:p>
        </w:tc>
      </w:tr>
      <w:tr w14:paraId="03174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2087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28F1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环境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38DA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环境管理体系认证证书（GB/T 24001—2016 / ISO 14001:2015）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13F4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必备</w:t>
            </w:r>
          </w:p>
        </w:tc>
      </w:tr>
    </w:tbl>
    <w:p w14:paraId="61C84017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3BF0E2CA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上述证书如因发证机构名称变更、标准换版等原因处于换证期间的，可提供原证书及发证机构出具的换证受理证明，视为满足要求。</w:t>
      </w:r>
    </w:p>
    <w:p w14:paraId="012D7E51">
      <w:pPr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06F2F53C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进度要求</w:t>
      </w:r>
    </w:p>
    <w:p w14:paraId="21B0F153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本项目主要节点与交付项如下：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2524"/>
        <w:gridCol w:w="4858"/>
      </w:tblGrid>
      <w:tr w14:paraId="0E10A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tblHeader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2541E071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阶段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5897005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时间要求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38A5EF20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交付项</w:t>
            </w:r>
          </w:p>
        </w:tc>
      </w:tr>
      <w:tr w14:paraId="1BA54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815FB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响应与报备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BAE9B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采购人通知后2个工作日内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68B09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项目组名单、资质与人员证书、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劳动关系或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社保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证明、承诺函</w:t>
            </w:r>
          </w:p>
        </w:tc>
      </w:tr>
      <w:tr w14:paraId="0228D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3BDE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行前培训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0C21D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人员进藏前完成（不少于4学时）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1684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培训资料纸质版、现场打卡记录、现场培训照片</w:t>
            </w:r>
          </w:p>
        </w:tc>
      </w:tr>
      <w:tr w14:paraId="71D35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5A027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适应期现场指导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DE68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人员到场后3个自然日内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A163E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现场驻点指导及打卡记录</w:t>
            </w:r>
          </w:p>
        </w:tc>
      </w:tr>
      <w:tr w14:paraId="7D88A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F0373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上岗前培训与考核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8CA2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适应期完成后1个工作日内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02137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培训资料纸质版、现场打卡记录、现场培训照片</w:t>
            </w:r>
          </w:p>
        </w:tc>
      </w:tr>
      <w:tr w14:paraId="3418D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83391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现场驻点指导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CA2F1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按采购人通知的服务期（累计不少于8人天）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452FA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现场打卡记录</w:t>
            </w:r>
          </w:p>
        </w:tc>
      </w:tr>
      <w:tr w14:paraId="003BB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81B05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成果交付与验收</w:t>
            </w:r>
          </w:p>
        </w:tc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A24D5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现场服务结束后5个工作日内</w:t>
            </w:r>
          </w:p>
        </w:tc>
        <w:tc>
          <w:tcPr>
            <w:tcW w:w="4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53C08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现场打卡记录、培训资料纸质版、现场培训照片（汇总提交）</w:t>
            </w:r>
          </w:p>
        </w:tc>
      </w:tr>
    </w:tbl>
    <w:p w14:paraId="5EC552C8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供应商须自行安排人员进藏交通与高原适应，确保按期到场；服务进度服从采购人现场整体计划，不得因人员缺位影响现场作业节点；因现场实际情况需要调整进度的，须经采购人书面确认。</w:t>
      </w:r>
    </w:p>
    <w:p w14:paraId="5B69979D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人员要求</w:t>
      </w:r>
    </w:p>
    <w:p w14:paraId="6346344A">
      <w:pPr>
        <w:pStyle w:val="6"/>
        <w:numPr>
          <w:ilvl w:val="0"/>
          <w:numId w:val="6"/>
        </w:numPr>
        <w:snapToGrid w:val="0"/>
        <w:spacing w:before="0" w:after="0" w:line="560" w:lineRule="exact"/>
        <w:ind w:left="634" w:leftChars="0" w:hanging="63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项目负责人1名：具有3年及以上安全管理、职业健康或高原作业保障相关工作经验，持有注册安全工程师（中级及以上）或同等水平的安全、职业健康相关资质，并具备高原现场工作经历（提供证明）。</w:t>
      </w:r>
    </w:p>
    <w:p w14:paraId="1EF41EF4">
      <w:pPr>
        <w:pStyle w:val="6"/>
        <w:numPr>
          <w:ilvl w:val="0"/>
          <w:numId w:val="6"/>
        </w:numPr>
        <w:snapToGrid w:val="0"/>
        <w:spacing w:before="0" w:after="0" w:line="560" w:lineRule="exact"/>
        <w:ind w:left="634" w:leftChars="0" w:hanging="63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培训讲师不少于1名：具备医学（职业健康或高原病方向）或安全管理相关专业背景，并持有地市级及以上卫生健康行政部门颁发的职业健康培训证书（或同等效力的职业健康培训合格证明），证书须在有效期内、可在发证机构官方渠道查验；具有高原地区培训或现场服务经历；须提供证书与经历证明。</w:t>
      </w:r>
    </w:p>
    <w:p w14:paraId="7021BD74">
      <w:pPr>
        <w:pStyle w:val="6"/>
        <w:numPr>
          <w:ilvl w:val="0"/>
          <w:numId w:val="6"/>
        </w:numPr>
        <w:snapToGrid w:val="0"/>
        <w:spacing w:before="0" w:after="0" w:line="560" w:lineRule="exact"/>
        <w:ind w:left="634" w:leftChars="0" w:hanging="63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现场驻点人员不少于1名：身体健康并具备高原适应能力，进场前须提供近3个月内体检报告（含血压、心率、血氧饱和度、心肺功能等项目），并自行购买人身意外保险。</w:t>
      </w:r>
    </w:p>
    <w:p w14:paraId="3539E555">
      <w:pPr>
        <w:pStyle w:val="6"/>
        <w:numPr>
          <w:ilvl w:val="0"/>
          <w:numId w:val="6"/>
        </w:numPr>
        <w:snapToGrid w:val="0"/>
        <w:spacing w:before="0" w:after="0" w:line="560" w:lineRule="exact"/>
        <w:ind w:left="634" w:leftChars="0" w:hanging="63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项目负责人须在关键节点到场（行前培训、适应期指导、考核评估），不得全部环节以远程方式完成。</w:t>
      </w:r>
    </w:p>
    <w:p w14:paraId="780C53AC">
      <w:pPr>
        <w:pStyle w:val="6"/>
        <w:numPr>
          <w:ilvl w:val="0"/>
          <w:numId w:val="6"/>
        </w:numPr>
        <w:snapToGrid w:val="0"/>
        <w:spacing w:before="0" w:after="0" w:line="560" w:lineRule="exact"/>
        <w:ind w:left="634" w:leftChars="0" w:hanging="63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供应商须提供项目组名单及分工说明（人员数量、资质、分工与职责）；人员更换须书面报采购人审批，替换人员资质不低于原人员；项目组成员必须遵守采购人及雅江集团现场工作要求与纪律规定，进场前签署《保密承诺》。</w:t>
      </w:r>
    </w:p>
    <w:p w14:paraId="6F92388E">
      <w:pPr>
        <w:pStyle w:val="2"/>
        <w:bidi w:val="0"/>
        <w:rPr>
          <w:rFonts w:hint="eastAsia"/>
        </w:rPr>
      </w:pPr>
      <w:r>
        <w:rPr>
          <w:rFonts w:hint="eastAsia"/>
        </w:rPr>
        <w:t>服务与质量要求</w:t>
      </w:r>
    </w:p>
    <w:p w14:paraId="6DC11DC4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服务方式与纪律：按采购人通知的时间、地点开展培训与现场驻点指导，遵守采购人及雅江集团（最终用户）的作息、门禁与考勤打卡管理；不得擅自进入非作业区域、不得使用采购人办公设备与网络、不得拍摄或外传现场影像。</w:t>
      </w:r>
    </w:p>
    <w:p w14:paraId="42E1B189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培训资料（纸质版</w:t>
      </w: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  <w:lang w:val="en-US" w:eastAsia="zh-CN"/>
        </w:rPr>
        <w:t>/电子版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）要求：培训资料须覆盖高原适应性培训、高原生活指导、高原工作指导三部分，并与第三章所列标准匹配关系逐项对应；须印制纸质版并按采购人要求份数交付，内容准确、可直接使用。</w:t>
      </w:r>
    </w:p>
    <w:p w14:paraId="4CA148F3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现场打卡与签到要求：每次培训均须组织现场签到（打卡），驻点期间按采购人考勤要求现场打卡；记录须载明日期、人员、地点，真实、完整，不得代签、代打卡；参训人员须与采购人确认的进驻人员范围一致。</w:t>
      </w:r>
    </w:p>
    <w:p w14:paraId="4D4E1C04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培训质量与照片要求：培训覆盖率100%，参训人员考核合格率不低于95%（考核结果由供应商留存备查，采购人可随时查阅）；各场次培训须留存现场照片，照片清晰、可辨识培训场景与参训人员，按场次整理后随交付物提交。</w:t>
      </w:r>
    </w:p>
    <w:p w14:paraId="407F5959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质量与安全责任：服务过程中因供应商指导不当造成人员健康损害或安全事故的，由供应商承担相应责任；因供应商原因导致培训未按期完成或内容缺失的，供应商须免费补做。</w:t>
      </w:r>
    </w:p>
    <w:p w14:paraId="5B44B72D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材料与费用边界：培训教材、课件及其印制费用由供应商提供，费用已包含在报价总价内；培训场地、氧疗设备、体检、药品等实物由采购人提供，供应商不得另行计价。</w:t>
      </w:r>
    </w:p>
    <w:p w14:paraId="3616D340">
      <w:pPr>
        <w:pStyle w:val="6"/>
        <w:numPr>
          <w:ilvl w:val="0"/>
          <w:numId w:val="7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个人信息保护：服务过程中采集的人员信息（含签到信息、考核信息）须按个人信息保护相关要求最小化采集、限定用途、妥善保管，不得泄露、出售或用于本项目以外的用途。</w:t>
      </w:r>
    </w:p>
    <w:p w14:paraId="3B64BBA2">
      <w:pPr>
        <w:pStyle w:val="2"/>
        <w:bidi w:val="0"/>
        <w:rPr>
          <w:rFonts w:hint="eastAsia"/>
        </w:rPr>
      </w:pPr>
      <w:r>
        <w:rPr>
          <w:rFonts w:hint="eastAsia"/>
        </w:rPr>
        <w:t>交付物与验收</w:t>
      </w:r>
    </w:p>
    <w:p w14:paraId="6CC29636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交付物清单</w:t>
      </w:r>
    </w:p>
    <w:p w14:paraId="6D389184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本项目交付物共三项，供应商须全部提交：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547"/>
        <w:gridCol w:w="6242"/>
      </w:tblGrid>
      <w:tr w14:paraId="1DA09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tblHeader/>
          <w:jc w:val="center"/>
        </w:trPr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662C7F4E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2070EB4E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交付物</w:t>
            </w:r>
          </w:p>
        </w:tc>
        <w:tc>
          <w:tcPr>
            <w:tcW w:w="6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/>
            <w:vAlign w:val="center"/>
          </w:tcPr>
          <w:p w14:paraId="699F555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内容与要求</w:t>
            </w:r>
          </w:p>
        </w:tc>
      </w:tr>
      <w:tr w14:paraId="2DC78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FB69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F7AF7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现场打卡记录</w:t>
            </w:r>
          </w:p>
        </w:tc>
        <w:tc>
          <w:tcPr>
            <w:tcW w:w="6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EBA21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驻点人员现场签到（打卡）记录及培训现场签到记录，载明日期、人员、地点；提供原件或采购人认可的电子打卡导出件，并加盖公章。</w:t>
            </w:r>
          </w:p>
        </w:tc>
      </w:tr>
      <w:tr w14:paraId="63A53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5226E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1B630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培训资料（纸质版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/电子版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6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0E332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培训资料（课件/教材）纸质版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/电子版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，含高原适应性培训、高原生活指导、高原工作指导三部分，按采购人要求份数交付；内容与第三章标准匹配关系逐项对应。</w:t>
            </w:r>
          </w:p>
        </w:tc>
      </w:tr>
      <w:tr w14:paraId="4BA5E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891C6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0580F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现场培训照片</w:t>
            </w:r>
          </w:p>
        </w:tc>
        <w:tc>
          <w:tcPr>
            <w:tcW w:w="6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F2A97">
            <w:pPr>
              <w:spacing w:line="52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各场次培训现场照片，体现培训时间、地点、参训人员与授课场景；按场次整理（纸质冲印或电子文件均可），随交付物一并提交。</w:t>
            </w:r>
          </w:p>
        </w:tc>
      </w:tr>
    </w:tbl>
    <w:p w14:paraId="09716C15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驻点工作量以现场打卡记录为计量依据；双方签章《服务验收单》后办理结算。</w:t>
      </w:r>
    </w:p>
    <w:p w14:paraId="13680CEA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验收要求</w:t>
      </w:r>
    </w:p>
    <w:p w14:paraId="6FC04369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由采购人组织验收（可会同最终用户雅江集团现场管理单位），以现场打卡记录、培训资料纸质版与现场培训照片为主要依据。验收标准：培训覆盖率100%、参训人员考核合格率不低于95%；现场打卡记录真实、完整，无代签、代打卡情形，驻点累计不少于8人天；培训资料纸质版齐全、份数符合要求，内容与第三章标准匹配关系逐项对应；各场次培训留有现场照片且可辨识培训场景；供应商人员资质与经历真实有效并与响应文件一致；服务期内未发生因供应商指导不当导致的人员健康损害或安全事故。验收不合格项由供应商在采购人指定期限内免费整改，整改完成前不予结算相应工作量。</w:t>
      </w:r>
    </w:p>
    <w:p w14:paraId="641EC9FC">
      <w:pPr>
        <w:pStyle w:val="2"/>
        <w:bidi w:val="0"/>
        <w:rPr>
          <w:rFonts w:hint="eastAsia"/>
        </w:rPr>
      </w:pPr>
      <w:r>
        <w:rPr>
          <w:rFonts w:hint="eastAsia"/>
        </w:rPr>
        <w:t>保密与违约</w:t>
      </w:r>
    </w:p>
    <w:p w14:paraId="645A70F6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保密：供应商及其人员须签署《保密承诺》，对服务过程中接触的采购人及雅江集团（最终用户）现场信息、网络与设备信息、人员健康信息、现场影像资料严格保密；未经采购人书面许可，不得对外披露本项目信息或将现场影像用于宣传；服务结束后，相关资料（含影像、电子件）全部移交采购人或按采购人要求删除，不得私自留存。</w:t>
      </w:r>
    </w:p>
    <w:p w14:paraId="77D0E0A4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进度违约：未按约定时间进场或人员不足的，每逾期1个工作日按成交总价的1%支付违约金；连续逾期3个工作日，采购人有权解除合同。</w:t>
      </w:r>
    </w:p>
    <w:p w14:paraId="02F4A912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记录违约：发现代签、代打卡或人员实际未到场的，按相应工作量双倍扣减费用。</w:t>
      </w:r>
    </w:p>
    <w:p w14:paraId="0E4F81CE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质量违约：培训覆盖率、考核合格率或驻点人天未达到约定要求的，供应商须免费补做；逾期未整改的，采购人有权扣减相应费用并另行委托第三方实施，所需费用由供应商承担。</w:t>
      </w:r>
    </w:p>
    <w:p w14:paraId="7189B883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安全责任：服务期间供应商人员的人身安全与第三者安全由供应商负责；供应商人员进入现场须服从采购人安全交底与作业审批管理。</w:t>
      </w:r>
    </w:p>
    <w:p w14:paraId="17A994A5">
      <w:pPr>
        <w:pStyle w:val="6"/>
        <w:numPr>
          <w:ilvl w:val="0"/>
          <w:numId w:val="8"/>
        </w:numPr>
        <w:snapToGrid w:val="0"/>
        <w:spacing w:before="0" w:after="0" w:line="560" w:lineRule="exact"/>
        <w:ind w:left="234" w:leftChars="0" w:hanging="6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资料与审计：本项目全部结算资料（合同、人员名单、打卡记录、培训与考核记录、验收单、发票）须真实完整、相互印证，供应商应配合采购人及其审计机构的检查。</w:t>
      </w:r>
    </w:p>
    <w:p w14:paraId="78FBF2D5">
      <w:pPr>
        <w:pStyle w:val="2"/>
        <w:bidi w:val="0"/>
        <w:rPr>
          <w:rFonts w:hint="eastAsia"/>
        </w:rPr>
      </w:pPr>
      <w:r>
        <w:rPr>
          <w:rFonts w:hint="eastAsia"/>
        </w:rPr>
        <w:t>附件</w:t>
      </w:r>
    </w:p>
    <w:p w14:paraId="3F310840">
      <w:pPr>
        <w:pStyle w:val="3"/>
        <w:spacing w:line="520" w:lineRule="exact"/>
        <w:rPr>
          <w:rFonts w:hint="eastAsia" w:ascii="楷体_GB2312" w:hAnsi="楷体_GB2312" w:eastAsia="楷体_GB2312" w:cs="楷体_GB2312"/>
          <w:szCs w:val="32"/>
        </w:rPr>
      </w:pPr>
      <w:r>
        <w:rPr>
          <w:rFonts w:hint="eastAsia" w:ascii="楷体_GB2312" w:hAnsi="楷体_GB2312" w:eastAsia="楷体_GB2312" w:cs="楷体_GB2312"/>
          <w:szCs w:val="32"/>
        </w:rPr>
        <w:t>附件1 服务实施与安全承诺函（模板）</w:t>
      </w:r>
    </w:p>
    <w:p w14:paraId="5A3C861A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致：南方电网数字电网集团信息通信科技有限公司</w:t>
      </w:r>
    </w:p>
    <w:p w14:paraId="06BC4A4C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我方（供应商名称：________________）就参与本项目郑重承诺：</w:t>
      </w:r>
    </w:p>
    <w:p w14:paraId="43D4C7CA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我方具备并提供的高原现场服务业绩、资格要求所列四项管理体系认证、所申报的综合能力加分项证书、派驻人员资质（含职业健康培训证书）与经历证明均真实、有效、可查验，并在本项目合同履行期内持续保持有效；如出现缺失、失效、被撤销或与事实不符，采购人有权解除合同并追究我方违约责任；</w:t>
      </w:r>
    </w:p>
    <w:p w14:paraId="3A190EF0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我方承诺接到采购人通知后48小时内响应、72小时内到场；服务期内现场驻点累计不少于8人天，并接受以现场打卡记录为主要依据的考核；</w:t>
      </w:r>
    </w:p>
    <w:p w14:paraId="43DF300C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严格遵守采购人及雅江集团（最终用户）现场管理规定、信息安全与保密要求，不擅自拍摄、复制、外传现场资料；对服务过程中接触的人员健康信息履行个人信息保护义务，不泄露、不出售、不用于本项目以外的用途；</w:t>
      </w:r>
    </w:p>
    <w:p w14:paraId="3ECCA24B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我方提供的全部服务内容（含培训资料、培训实施、现场打卡与现场培训照片、现场驻点指导）均与采购人技术规范书所列标准匹配关系逐项对应，并留存真实、完整的服务记录；</w:t>
      </w:r>
    </w:p>
    <w:p w14:paraId="6486128E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承担服务全过程我方人员的人身安全与第三者安全责任，服从采购人安全交底与作业审批；人员变更事先书面报采购人同意；</w:t>
      </w:r>
    </w:p>
    <w:p w14:paraId="4EA13460">
      <w:pPr>
        <w:pStyle w:val="6"/>
        <w:numPr>
          <w:ilvl w:val="0"/>
          <w:numId w:val="9"/>
        </w:numPr>
        <w:snapToGrid w:val="0"/>
        <w:spacing w:before="0" w:after="0" w:line="560" w:lineRule="exact"/>
        <w:ind w:left="1054" w:firstLineChars="0"/>
        <w:jc w:val="left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Cs/>
          <w:color w:val="000000"/>
          <w:sz w:val="32"/>
          <w:szCs w:val="32"/>
        </w:rPr>
        <w:t>所提交的全部资料（人员、业绩、资质、报价、服务记录）真实、完整、可核查；报价为含税全包价，已包含人员工资、差旅、交通、食宿、培训教材与资料印制、管理费、利润、税费等全部费用，采购人不再另行支付。</w:t>
      </w:r>
    </w:p>
    <w:p w14:paraId="0D33E5A5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供应商（盖章）：________________</w:t>
      </w:r>
    </w:p>
    <w:p w14:paraId="6DEBC092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法定代表人/授权人（签字）：____________</w:t>
      </w:r>
    </w:p>
    <w:p w14:paraId="4E5B88C3">
      <w:pPr>
        <w:ind w:firstLine="48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日期：______年____月____日</w:t>
      </w:r>
    </w:p>
    <w:p w14:paraId="58AF1780"/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FC2F03">
    <w:pPr>
      <w:pStyle w:val="8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 w14:paraId="58B2B8CD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yJ92v0wAAAAUBAAAPAAAA&#10;AAAAAAEAIAAAACIAAABkcnMvZG93bnJldi54bWxQSwECFAAUAAAACACHTuJAU5FUduEBAADEAwAA&#10;DgAAAAAAAAABACAAAAAiAQAAZHJzL2Uyb0RvYy54bWxQSwUGAAAAAAYABgBZAQAAdQUAAAAA&#10;">
              <v:fill on="f" focussize="0,0"/>
              <v:stroke on="f" weight="1pt"/>
              <v:imagedata o:title=""/>
              <o:lock v:ext="edit" aspectratio="f"/>
              <v:textbox inset="0mm,0mm,0mm,0mm" style="mso-fit-shape-to-text:t;">
                <w:txbxContent>
                  <w:p w14:paraId="58B2B8CD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B18664"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D7546B"/>
    <w:multiLevelType w:val="singleLevel"/>
    <w:tmpl w:val="6AD7546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756D29A0"/>
    <w:multiLevelType w:val="multilevel"/>
    <w:tmpl w:val="756D29A0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1055" w:hanging="425"/>
      </w:pPr>
      <w:rPr>
        <w:rFonts w:hint="default" w:ascii="黑体" w:hAnsi="黑体" w:eastAsia="黑体" w:cs="黑体"/>
        <w:b/>
        <w:bCs/>
        <w:i w:val="0"/>
        <w:spacing w:val="-12"/>
        <w:sz w:val="32"/>
        <w:szCs w:val="48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567"/>
        </w:tabs>
        <w:ind w:left="1197" w:hanging="567"/>
      </w:pPr>
      <w:rPr>
        <w:rFonts w:hint="default" w:ascii="楷体_GB2312" w:hAnsi="楷体_GB2312" w:eastAsia="楷体_GB2312" w:cs="楷体_GB2312"/>
        <w:sz w:val="32"/>
        <w:szCs w:val="28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1339" w:hanging="709"/>
      </w:pPr>
      <w:rPr>
        <w:rFonts w:hint="default" w:ascii="仿宋_GB2312" w:hAnsi="仿宋_GB2312" w:eastAsia="仿宋_GB2312" w:cs="仿宋_GB2312"/>
        <w:sz w:val="32"/>
        <w:szCs w:val="21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148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162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76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90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204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2189" w:hanging="1559"/>
      </w:pPr>
      <w:rPr>
        <w:rFonts w:hint="eastAsia"/>
      </w:rPr>
    </w:lvl>
  </w:abstractNum>
  <w:num w:numId="1">
    <w:abstractNumId w:val="1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9B0B0C"/>
    <w:rsid w:val="3D0476DB"/>
    <w:rsid w:val="3E7A251F"/>
    <w:rsid w:val="43786D54"/>
    <w:rsid w:val="59023DE6"/>
    <w:rsid w:val="8F3E0664"/>
    <w:rsid w:val="CF3D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qFormat="1"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qFormat="1" w:unhideWhenUsed="0" w:uiPriority="0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qFormat="1" w:unhideWhenUsed="0" w:uiPriority="0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 w:val="32"/>
      <w:szCs w:val="28"/>
    </w:rPr>
  </w:style>
  <w:style w:type="paragraph" w:styleId="3">
    <w:name w:val="heading 2"/>
    <w:basedOn w:val="1"/>
    <w:next w:val="1"/>
    <w:qFormat/>
    <w:uiPriority w:val="9"/>
    <w:pPr>
      <w:keepNext/>
      <w:keepLines/>
      <w:numPr>
        <w:ilvl w:val="1"/>
        <w:numId w:val="1"/>
      </w:numPr>
      <w:spacing w:line="360" w:lineRule="auto"/>
      <w:jc w:val="left"/>
      <w:outlineLvl w:val="1"/>
    </w:pPr>
    <w:rPr>
      <w:rFonts w:ascii="仿宋_GB2312" w:hAnsi="仿宋_GB2312" w:eastAsia="仿宋_GB2312"/>
      <w:b/>
      <w:bCs/>
      <w:sz w:val="32"/>
      <w:szCs w:val="28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hAnsi="仿宋" w:eastAsia="仿宋_GB2312"/>
      <w:b/>
      <w:bCs/>
      <w:sz w:val="32"/>
      <w:szCs w:val="32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qFormat/>
    <w:uiPriority w:val="99"/>
    <w:pPr>
      <w:jc w:val="left"/>
    </w:pPr>
  </w:style>
  <w:style w:type="paragraph" w:styleId="6">
    <w:name w:val="Body Text"/>
    <w:basedOn w:val="7"/>
    <w:qFormat/>
    <w:uiPriority w:val="0"/>
    <w:pPr>
      <w:spacing w:after="120"/>
      <w:ind w:firstLine="200" w:firstLineChars="200"/>
    </w:pPr>
    <w:rPr>
      <w:sz w:val="24"/>
    </w:rPr>
  </w:style>
  <w:style w:type="paragraph" w:styleId="7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Indent 3"/>
    <w:basedOn w:val="1"/>
    <w:qFormat/>
    <w:uiPriority w:val="0"/>
    <w:pPr>
      <w:spacing w:after="120" w:line="480" w:lineRule="exact"/>
      <w:ind w:left="420" w:leftChars="200" w:firstLine="200" w:firstLineChars="200"/>
    </w:pPr>
    <w:rPr>
      <w:sz w:val="16"/>
      <w:szCs w:val="16"/>
    </w:rPr>
  </w:style>
  <w:style w:type="paragraph" w:styleId="11">
    <w:name w:val="annotation subject"/>
    <w:basedOn w:val="5"/>
    <w:next w:val="5"/>
    <w:link w:val="22"/>
    <w:qFormat/>
    <w:uiPriority w:val="99"/>
    <w:rPr>
      <w:b/>
      <w:bCs/>
    </w:rPr>
  </w:style>
  <w:style w:type="paragraph" w:styleId="12">
    <w:name w:val="Body Text First Indent"/>
    <w:basedOn w:val="6"/>
    <w:qFormat/>
    <w:uiPriority w:val="0"/>
    <w:pPr>
      <w:adjustRightInd w:val="0"/>
      <w:spacing w:before="0" w:line="312" w:lineRule="atLeast"/>
      <w:ind w:firstLine="420" w:firstLineChars="100"/>
    </w:pPr>
    <w:rPr>
      <w:kern w:val="0"/>
      <w:sz w:val="21"/>
    </w:rPr>
  </w:style>
  <w:style w:type="table" w:styleId="14">
    <w:name w:val="Table Grid"/>
    <w:basedOn w:val="13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99"/>
    <w:rPr>
      <w:sz w:val="21"/>
      <w:szCs w:val="21"/>
    </w:rPr>
  </w:style>
  <w:style w:type="paragraph" w:customStyle="1" w:styleId="17">
    <w:name w:val="1正文"/>
    <w:basedOn w:val="1"/>
    <w:qFormat/>
    <w:uiPriority w:val="0"/>
    <w:pPr>
      <w:spacing w:line="360" w:lineRule="auto"/>
      <w:ind w:left="100" w:leftChars="100" w:right="100" w:rightChars="100" w:firstLine="480" w:firstLineChars="200"/>
    </w:pPr>
    <w:rPr>
      <w:sz w:val="24"/>
    </w:rPr>
  </w:style>
  <w:style w:type="paragraph" w:customStyle="1" w:styleId="18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国网标准正文"/>
    <w:basedOn w:val="1"/>
    <w:semiHidden/>
    <w:qFormat/>
    <w:uiPriority w:val="0"/>
    <w:pPr>
      <w:tabs>
        <w:tab w:val="left" w:pos="2700"/>
      </w:tabs>
      <w:adjustRightInd w:val="0"/>
      <w:snapToGrid w:val="0"/>
      <w:spacing w:line="312" w:lineRule="exact"/>
      <w:ind w:firstLine="420" w:firstLineChars="200"/>
    </w:pPr>
    <w:rPr>
      <w:rFonts w:ascii="宋体" w:hAnsi="宋体"/>
      <w:szCs w:val="28"/>
    </w:rPr>
  </w:style>
  <w:style w:type="character" w:customStyle="1" w:styleId="21">
    <w:name w:val="批注文字 字符"/>
    <w:basedOn w:val="15"/>
    <w:link w:val="5"/>
    <w:qFormat/>
    <w:uiPriority w:val="99"/>
    <w:rPr>
      <w:kern w:val="2"/>
      <w:sz w:val="21"/>
      <w:szCs w:val="24"/>
    </w:rPr>
  </w:style>
  <w:style w:type="character" w:customStyle="1" w:styleId="22">
    <w:name w:val="批注主题 字符"/>
    <w:basedOn w:val="21"/>
    <w:link w:val="11"/>
    <w:qFormat/>
    <w:uiPriority w:val="99"/>
    <w:rPr>
      <w:b/>
      <w:bCs/>
      <w:kern w:val="2"/>
      <w:sz w:val="21"/>
      <w:szCs w:val="24"/>
    </w:rPr>
  </w:style>
  <w:style w:type="table" w:customStyle="1" w:styleId="23">
    <w:name w:val="Grid Table 4 Accent 3"/>
    <w:basedOn w:val="13"/>
    <w:qFormat/>
    <w:uiPriority w:val="49"/>
    <w:tblPr>
      <w:tblBorders>
        <w:top w:val="single" w:color="C8C8C8" w:themeColor="accent3" w:themeTint="99" w:sz="4" w:space="0"/>
        <w:left w:val="single" w:color="C8C8C8" w:themeColor="accent3" w:themeTint="99" w:sz="4" w:space="0"/>
        <w:bottom w:val="single" w:color="C8C8C8" w:themeColor="accent3" w:themeTint="99" w:sz="4" w:space="0"/>
        <w:right w:val="single" w:color="C8C8C8" w:themeColor="accent3" w:themeTint="99" w:sz="4" w:space="0"/>
        <w:insideH w:val="single" w:color="C8C8C8" w:themeColor="accent3" w:themeTint="99" w:sz="4" w:space="0"/>
        <w:insideV w:val="single" w:color="C8C8C8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CECEC" w:themeFill="accent3" w:themeFillTint="33"/>
      </w:tcPr>
    </w:tblStylePr>
    <w:tblStylePr w:type="band1Horz">
      <w:tcPr>
        <w:shd w:val="clear" w:color="auto" w:fill="ECECEC" w:themeFill="accent3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57</Words>
  <Characters>64</Characters>
  <Lines>13</Lines>
  <Paragraphs>3</Paragraphs>
  <TotalTime>33</TotalTime>
  <ScaleCrop>false</ScaleCrop>
  <LinksUpToDate>false</LinksUpToDate>
  <CharactersWithSpaces>64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2025-08-07T09:21:00Z</dcterms:created>
  <dc:creator>nongcq</dc:creator>
  <cp:lastModifiedBy>yerik</cp:lastModifiedBy>
  <dcterms:modified xsi:type="dcterms:W3CDTF">2026-10-23T07:36:07Z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F9F2715C51EEA4E06800DB6A5FF7DC91_43</vt:lpwstr>
  </property>
  <property fmtid="{D5CDD505-2E9C-101B-9397-08002B2CF9AE}" pid="4" name="KSOTemplateDocerSaveRecord">
    <vt:lpwstr>eyJoZGlkIjoiZTllNzFlZDRhZGQ3ZDFhNGE5OTBmMzhmMmEyZjk1OTYiLCJ1c2VySWQiOiIxMTM2NjYxODI2In0=</vt:lpwstr>
  </property>
</Properties>
</file>