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373D3">
      <w:pPr>
        <w:spacing w:after="80"/>
        <w:jc w:val="center"/>
      </w:pPr>
      <w:r>
        <w:rPr>
          <w:rFonts w:ascii="Times New Roman" w:hAnsi="Times New Roman" w:eastAsia="黑体" w:cs="Times New Roman"/>
          <w:b/>
          <w:bCs/>
          <w:sz w:val="32"/>
          <w:szCs w:val="32"/>
        </w:rPr>
        <w:t>海南电网公司2026年“三种人”安规题库修编</w:t>
      </w:r>
    </w:p>
    <w:p w14:paraId="7C358EA2">
      <w:pPr>
        <w:spacing w:after="200"/>
        <w:jc w:val="center"/>
      </w:pPr>
      <w:r>
        <w:rPr>
          <w:rFonts w:ascii="Times New Roman" w:hAnsi="Times New Roman" w:eastAsia="黑体" w:cs="Times New Roman"/>
          <w:b/>
          <w:bCs/>
          <w:sz w:val="32"/>
          <w:szCs w:val="32"/>
        </w:rPr>
        <w:t>零星采购</w:t>
      </w:r>
      <w:r>
        <w:rPr>
          <w:rFonts w:hint="eastAsia" w:eastAsia="黑体" w:cs="Times New Roman"/>
          <w:b/>
          <w:bCs/>
          <w:sz w:val="32"/>
          <w:szCs w:val="32"/>
          <w:lang w:val="en-US" w:eastAsia="zh-CN"/>
        </w:rPr>
        <w:t>技术</w:t>
      </w:r>
      <w:r>
        <w:rPr>
          <w:rFonts w:ascii="Times New Roman" w:hAnsi="Times New Roman" w:eastAsia="黑体" w:cs="Times New Roman"/>
          <w:b/>
          <w:bCs/>
          <w:sz w:val="32"/>
          <w:szCs w:val="32"/>
        </w:rPr>
        <w:t>文件</w:t>
      </w:r>
    </w:p>
    <w:p w14:paraId="05DEA1A6">
      <w:pPr>
        <w:spacing w:before="40" w:after="40" w:line="340" w:lineRule="auto"/>
        <w:jc w:val="left"/>
      </w:pPr>
      <w:r>
        <w:rPr>
          <w:rFonts w:ascii="Times New Roman" w:hAnsi="Times New Roman" w:eastAsia="黑体" w:cs="Times New Roman"/>
          <w:b/>
          <w:bCs/>
          <w:sz w:val="28"/>
          <w:szCs w:val="28"/>
        </w:rPr>
        <w:t>一、项目要求文件（依据附录H模板）</w:t>
      </w:r>
    </w:p>
    <w:p w14:paraId="37FC4CC8">
      <w:pPr>
        <w:spacing w:before="40" w:after="40" w:line="340" w:lineRule="auto"/>
        <w:jc w:val="left"/>
      </w:pPr>
      <w:r>
        <w:rPr>
          <w:rFonts w:ascii="Times New Roman" w:hAnsi="Times New Roman" w:eastAsia="宋体" w:cs="Times New Roman"/>
          <w:sz w:val="22"/>
          <w:szCs w:val="22"/>
        </w:rPr>
        <w:t>说明：上述含包装、保险、运输、交货、售后、税费等费用。结算方式为货到（成果交付）验收合格并收到发票后付款。</w:t>
      </w:r>
    </w:p>
    <w:p w14:paraId="13474B45">
      <w:pPr>
        <w:spacing w:before="40" w:after="40" w:line="340" w:lineRule="auto"/>
        <w:jc w:val="left"/>
        <w:rPr>
          <w:rFonts w:ascii="Times New Roman" w:hAnsi="Times New Roman" w:eastAsia="宋体" w:cs="Times New Roman"/>
          <w:sz w:val="22"/>
          <w:szCs w:val="22"/>
        </w:rPr>
      </w:pPr>
      <w:r>
        <w:rPr>
          <w:rFonts w:ascii="Times New Roman" w:hAnsi="Times New Roman" w:eastAsia="宋体" w:cs="Times New Roman"/>
          <w:sz w:val="22"/>
          <w:szCs w:val="22"/>
        </w:rPr>
        <w:t>一、项目概况及采购内容：“三种人”（工作票签发人、工作许可人）安规题库修编，含单选、多选、判断、案例分析等题型，配套解析与规范出处，形成公司统一机考题库及源文件。</w:t>
      </w:r>
    </w:p>
    <w:p w14:paraId="01459387">
      <w:pPr>
        <w:spacing w:before="40" w:after="40" w:line="340" w:lineRule="auto"/>
        <w:jc w:val="center"/>
      </w:pPr>
      <w:r>
        <w:rPr>
          <w:rFonts w:ascii="黑体" w:hAnsi="黑体" w:eastAsia="黑体"/>
          <w:b/>
          <w:sz w:val="24"/>
        </w:rPr>
        <w:t>概算费用构成及阶段任务表</w:t>
      </w:r>
    </w:p>
    <w:tbl>
      <w:tblPr>
        <w:tblStyle w:val="11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880"/>
        <w:gridCol w:w="2557"/>
        <w:gridCol w:w="735"/>
        <w:gridCol w:w="1032"/>
        <w:gridCol w:w="1032"/>
        <w:gridCol w:w="1391"/>
        <w:gridCol w:w="1098"/>
      </w:tblGrid>
      <w:tr w14:paraId="1675CA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16915069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序号</w:t>
            </w:r>
          </w:p>
        </w:tc>
        <w:tc>
          <w:tcPr>
            <w:tcW w:w="1134" w:type="dxa"/>
          </w:tcPr>
          <w:p w14:paraId="795EEF6F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阶段名称</w:t>
            </w:r>
          </w:p>
        </w:tc>
        <w:tc>
          <w:tcPr>
            <w:tcW w:w="3515" w:type="dxa"/>
          </w:tcPr>
          <w:p w14:paraId="75263D01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主要工作内容及要求</w:t>
            </w:r>
          </w:p>
        </w:tc>
        <w:tc>
          <w:tcPr>
            <w:tcW w:w="907" w:type="dxa"/>
          </w:tcPr>
          <w:p w14:paraId="19BEAB58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工作量</w:t>
            </w:r>
          </w:p>
        </w:tc>
        <w:tc>
          <w:tcPr>
            <w:tcW w:w="1134" w:type="dxa"/>
          </w:tcPr>
          <w:p w14:paraId="1D3A0EBE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含税单价（元）</w:t>
            </w:r>
          </w:p>
        </w:tc>
        <w:tc>
          <w:tcPr>
            <w:tcW w:w="1134" w:type="dxa"/>
          </w:tcPr>
          <w:p w14:paraId="7C619286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含税总价（元）</w:t>
            </w:r>
          </w:p>
        </w:tc>
        <w:tc>
          <w:tcPr>
            <w:tcW w:w="1814" w:type="dxa"/>
          </w:tcPr>
          <w:p w14:paraId="6239076D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备注</w:t>
            </w:r>
          </w:p>
        </w:tc>
        <w:tc>
          <w:tcPr>
            <w:tcW w:w="1474" w:type="dxa"/>
          </w:tcPr>
          <w:p w14:paraId="0531DB60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计划完成时间</w:t>
            </w:r>
          </w:p>
        </w:tc>
      </w:tr>
      <w:tr w14:paraId="0C8275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63BFD207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1</w:t>
            </w:r>
          </w:p>
        </w:tc>
        <w:tc>
          <w:tcPr>
            <w:tcW w:w="1134" w:type="dxa"/>
          </w:tcPr>
          <w:p w14:paraId="50BC7C7E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编题阶段</w:t>
            </w:r>
          </w:p>
        </w:tc>
        <w:tc>
          <w:tcPr>
            <w:tcW w:w="3515" w:type="dxa"/>
          </w:tcPr>
          <w:p w14:paraId="0FE15807">
            <w:r>
              <w:rPr>
                <w:rFonts w:ascii="宋体" w:hAnsi="宋体" w:eastAsia="宋体"/>
                <w:sz w:val="21"/>
              </w:rPr>
              <w:t>依据最新《电业安全工作规程》《公司两票管理办法》及两票细则修编题库2000道（单选800道、多选500道、判断500道、案例分析200道），每题标明答案、解析及规范出处</w:t>
            </w:r>
          </w:p>
        </w:tc>
        <w:tc>
          <w:tcPr>
            <w:tcW w:w="907" w:type="dxa"/>
          </w:tcPr>
          <w:p w14:paraId="6E7C4A63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75人天</w:t>
            </w:r>
          </w:p>
        </w:tc>
        <w:tc>
          <w:tcPr>
            <w:tcW w:w="1134" w:type="dxa"/>
          </w:tcPr>
          <w:p w14:paraId="1093634F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400</w:t>
            </w:r>
          </w:p>
        </w:tc>
        <w:tc>
          <w:tcPr>
            <w:tcW w:w="1134" w:type="dxa"/>
          </w:tcPr>
          <w:p w14:paraId="4B199BF0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30000</w:t>
            </w:r>
          </w:p>
        </w:tc>
        <w:tc>
          <w:tcPr>
            <w:tcW w:w="1814" w:type="dxa"/>
          </w:tcPr>
          <w:p w14:paraId="58B772A6">
            <w:r>
              <w:rPr>
                <w:rFonts w:ascii="宋体" w:hAnsi="宋体" w:eastAsia="宋体"/>
                <w:sz w:val="21"/>
              </w:rPr>
              <w:t>投入安规、两票专业专家5人；形成题库初稿</w:t>
            </w:r>
          </w:p>
        </w:tc>
        <w:tc>
          <w:tcPr>
            <w:tcW w:w="1474" w:type="dxa"/>
          </w:tcPr>
          <w:p w14:paraId="66BD25A2">
            <w:r>
              <w:rPr>
                <w:rFonts w:ascii="宋体" w:hAnsi="宋体" w:eastAsia="宋体"/>
                <w:sz w:val="21"/>
              </w:rPr>
              <w:t>合同签订后第5周末</w:t>
            </w:r>
          </w:p>
        </w:tc>
      </w:tr>
      <w:tr w14:paraId="354414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108331EC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2</w:t>
            </w:r>
          </w:p>
        </w:tc>
        <w:tc>
          <w:tcPr>
            <w:tcW w:w="1134" w:type="dxa"/>
          </w:tcPr>
          <w:p w14:paraId="26289A50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审核阶段</w:t>
            </w:r>
          </w:p>
        </w:tc>
        <w:tc>
          <w:tcPr>
            <w:tcW w:w="3515" w:type="dxa"/>
          </w:tcPr>
          <w:p w14:paraId="43BD8B73">
            <w:r>
              <w:rPr>
                <w:rFonts w:ascii="宋体" w:hAnsi="宋体" w:eastAsia="宋体"/>
                <w:sz w:val="21"/>
              </w:rPr>
              <w:t>对题库初稿开展两轮审题校核，核对答案准确性、解析规范性及规范出处有效性，逐题溯源，校核记录留档备查</w:t>
            </w:r>
          </w:p>
        </w:tc>
        <w:tc>
          <w:tcPr>
            <w:tcW w:w="907" w:type="dxa"/>
          </w:tcPr>
          <w:p w14:paraId="3EA84667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20人天</w:t>
            </w:r>
          </w:p>
        </w:tc>
        <w:tc>
          <w:tcPr>
            <w:tcW w:w="1134" w:type="dxa"/>
          </w:tcPr>
          <w:p w14:paraId="392EA7F5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400</w:t>
            </w:r>
          </w:p>
        </w:tc>
        <w:tc>
          <w:tcPr>
            <w:tcW w:w="1134" w:type="dxa"/>
          </w:tcPr>
          <w:p w14:paraId="486833CC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8000</w:t>
            </w:r>
          </w:p>
        </w:tc>
        <w:tc>
          <w:tcPr>
            <w:tcW w:w="1814" w:type="dxa"/>
          </w:tcPr>
          <w:p w14:paraId="083BE9CA">
            <w:r>
              <w:rPr>
                <w:rFonts w:ascii="宋体" w:hAnsi="宋体" w:eastAsia="宋体"/>
                <w:sz w:val="21"/>
              </w:rPr>
              <w:t>两轮校核，覆盖全部题目</w:t>
            </w:r>
          </w:p>
        </w:tc>
        <w:tc>
          <w:tcPr>
            <w:tcW w:w="1474" w:type="dxa"/>
          </w:tcPr>
          <w:p w14:paraId="46A72C15">
            <w:r>
              <w:rPr>
                <w:rFonts w:ascii="宋体" w:hAnsi="宋体" w:eastAsia="宋体"/>
                <w:sz w:val="21"/>
              </w:rPr>
              <w:t>合同签订后第7周末</w:t>
            </w:r>
          </w:p>
        </w:tc>
      </w:tr>
      <w:tr w14:paraId="3B6151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36617E2C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3</w:t>
            </w:r>
          </w:p>
        </w:tc>
        <w:tc>
          <w:tcPr>
            <w:tcW w:w="1134" w:type="dxa"/>
          </w:tcPr>
          <w:p w14:paraId="6FC81E9C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组卷测试</w:t>
            </w:r>
          </w:p>
        </w:tc>
        <w:tc>
          <w:tcPr>
            <w:tcW w:w="3515" w:type="dxa"/>
          </w:tcPr>
          <w:p w14:paraId="613DAE61">
            <w:r>
              <w:rPr>
                <w:rFonts w:ascii="宋体" w:hAnsi="宋体" w:eastAsia="宋体"/>
                <w:sz w:val="21"/>
              </w:rPr>
              <w:t>按“三种人”准入资格认证及普考调考需要组卷，完成机考系统导入及模拟测试，题量、题型比例满足考试要求</w:t>
            </w:r>
          </w:p>
        </w:tc>
        <w:tc>
          <w:tcPr>
            <w:tcW w:w="907" w:type="dxa"/>
          </w:tcPr>
          <w:p w14:paraId="73001285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10人天</w:t>
            </w:r>
          </w:p>
        </w:tc>
        <w:tc>
          <w:tcPr>
            <w:tcW w:w="1134" w:type="dxa"/>
          </w:tcPr>
          <w:p w14:paraId="24FE10ED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400</w:t>
            </w:r>
          </w:p>
        </w:tc>
        <w:tc>
          <w:tcPr>
            <w:tcW w:w="1134" w:type="dxa"/>
          </w:tcPr>
          <w:p w14:paraId="21164C7B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4000</w:t>
            </w:r>
          </w:p>
        </w:tc>
        <w:tc>
          <w:tcPr>
            <w:tcW w:w="1814" w:type="dxa"/>
          </w:tcPr>
          <w:p w14:paraId="5E2CD65E">
            <w:r>
              <w:rPr>
                <w:rFonts w:ascii="宋体" w:hAnsi="宋体" w:eastAsia="宋体"/>
                <w:sz w:val="21"/>
              </w:rPr>
              <w:t>确保题库可正常导入公司机考系统</w:t>
            </w:r>
          </w:p>
        </w:tc>
        <w:tc>
          <w:tcPr>
            <w:tcW w:w="1474" w:type="dxa"/>
          </w:tcPr>
          <w:p w14:paraId="4A1D4327">
            <w:r>
              <w:rPr>
                <w:rFonts w:ascii="宋体" w:hAnsi="宋体" w:eastAsia="宋体"/>
                <w:sz w:val="21"/>
              </w:rPr>
              <w:t>合同签订后第8周</w:t>
            </w:r>
          </w:p>
        </w:tc>
      </w:tr>
      <w:tr w14:paraId="55FBFD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2C71519A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4</w:t>
            </w:r>
          </w:p>
        </w:tc>
        <w:tc>
          <w:tcPr>
            <w:tcW w:w="1134" w:type="dxa"/>
          </w:tcPr>
          <w:p w14:paraId="7A28FA5B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成果交付</w:t>
            </w:r>
          </w:p>
        </w:tc>
        <w:tc>
          <w:tcPr>
            <w:tcW w:w="3515" w:type="dxa"/>
          </w:tcPr>
          <w:p w14:paraId="2FC549CC">
            <w:r>
              <w:rPr>
                <w:rFonts w:ascii="宋体" w:hAnsi="宋体" w:eastAsia="宋体"/>
                <w:sz w:val="21"/>
              </w:rPr>
              <w:t>交付机考题库文件、源文件、答案解析及出处清单，配合通过公司安监部门验收</w:t>
            </w:r>
          </w:p>
        </w:tc>
        <w:tc>
          <w:tcPr>
            <w:tcW w:w="907" w:type="dxa"/>
          </w:tcPr>
          <w:p w14:paraId="4C31A0E9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1项</w:t>
            </w:r>
          </w:p>
        </w:tc>
        <w:tc>
          <w:tcPr>
            <w:tcW w:w="1134" w:type="dxa"/>
          </w:tcPr>
          <w:p w14:paraId="535CDFDA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3000</w:t>
            </w:r>
          </w:p>
        </w:tc>
        <w:tc>
          <w:tcPr>
            <w:tcW w:w="1134" w:type="dxa"/>
          </w:tcPr>
          <w:p w14:paraId="5B50785F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3000</w:t>
            </w:r>
          </w:p>
        </w:tc>
        <w:tc>
          <w:tcPr>
            <w:tcW w:w="1814" w:type="dxa"/>
          </w:tcPr>
          <w:p w14:paraId="36477A68">
            <w:r>
              <w:rPr>
                <w:rFonts w:ascii="宋体" w:hAnsi="宋体" w:eastAsia="宋体"/>
                <w:sz w:val="21"/>
              </w:rPr>
              <w:t>包干费用，验收合格后付款</w:t>
            </w:r>
          </w:p>
        </w:tc>
        <w:tc>
          <w:tcPr>
            <w:tcW w:w="1474" w:type="dxa"/>
          </w:tcPr>
          <w:p w14:paraId="429120C0">
            <w:r>
              <w:rPr>
                <w:rFonts w:ascii="宋体" w:hAnsi="宋体" w:eastAsia="宋体"/>
                <w:sz w:val="21"/>
              </w:rPr>
              <w:t>合同签订后2个月内</w:t>
            </w:r>
          </w:p>
        </w:tc>
      </w:tr>
      <w:tr w14:paraId="2F41CA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584E177B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5</w:t>
            </w:r>
          </w:p>
        </w:tc>
        <w:tc>
          <w:tcPr>
            <w:tcW w:w="1134" w:type="dxa"/>
          </w:tcPr>
          <w:p w14:paraId="60AEFB41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税费及管理费</w:t>
            </w:r>
          </w:p>
        </w:tc>
        <w:tc>
          <w:tcPr>
            <w:tcW w:w="3515" w:type="dxa"/>
          </w:tcPr>
          <w:p w14:paraId="6F956A92">
            <w:r>
              <w:rPr>
                <w:rFonts w:ascii="宋体" w:hAnsi="宋体" w:eastAsia="宋体"/>
                <w:sz w:val="21"/>
              </w:rPr>
              <w:t>完成本项目所需的各项税费及供应商管理费</w:t>
            </w:r>
          </w:p>
        </w:tc>
        <w:tc>
          <w:tcPr>
            <w:tcW w:w="907" w:type="dxa"/>
          </w:tcPr>
          <w:p w14:paraId="738FD5B6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1项</w:t>
            </w:r>
          </w:p>
        </w:tc>
        <w:tc>
          <w:tcPr>
            <w:tcW w:w="1134" w:type="dxa"/>
          </w:tcPr>
          <w:p w14:paraId="31275B4F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3000</w:t>
            </w:r>
          </w:p>
        </w:tc>
        <w:tc>
          <w:tcPr>
            <w:tcW w:w="1134" w:type="dxa"/>
          </w:tcPr>
          <w:p w14:paraId="2873F9EC">
            <w:pPr>
              <w:jc w:val="center"/>
            </w:pPr>
            <w:r>
              <w:rPr>
                <w:rFonts w:ascii="宋体" w:hAnsi="宋体" w:eastAsia="宋体"/>
                <w:sz w:val="21"/>
              </w:rPr>
              <w:t>3000</w:t>
            </w:r>
          </w:p>
        </w:tc>
        <w:tc>
          <w:tcPr>
            <w:tcW w:w="1814" w:type="dxa"/>
          </w:tcPr>
          <w:p w14:paraId="38F834E6">
            <w:r>
              <w:rPr>
                <w:rFonts w:ascii="宋体" w:hAnsi="宋体" w:eastAsia="宋体"/>
                <w:sz w:val="21"/>
              </w:rPr>
              <w:t>包干费用</w:t>
            </w:r>
          </w:p>
        </w:tc>
        <w:tc>
          <w:tcPr>
            <w:tcW w:w="1474" w:type="dxa"/>
          </w:tcPr>
          <w:p w14:paraId="1FCB7A36">
            <w:r>
              <w:rPr>
                <w:rFonts w:ascii="宋体" w:hAnsi="宋体" w:eastAsia="宋体"/>
                <w:sz w:val="21"/>
              </w:rPr>
              <w:t>项目全程</w:t>
            </w:r>
          </w:p>
        </w:tc>
      </w:tr>
      <w:tr w14:paraId="34238A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21E4AB4F">
            <w:pPr>
              <w:jc w:val="center"/>
            </w:pPr>
          </w:p>
        </w:tc>
        <w:tc>
          <w:tcPr>
            <w:tcW w:w="1134" w:type="dxa"/>
          </w:tcPr>
          <w:p w14:paraId="7CC6DB9E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合计</w:t>
            </w:r>
          </w:p>
        </w:tc>
        <w:tc>
          <w:tcPr>
            <w:tcW w:w="3515" w:type="dxa"/>
          </w:tcPr>
          <w:p w14:paraId="374815A0">
            <w:r>
              <w:rPr>
                <w:rFonts w:ascii="宋体" w:hAnsi="宋体" w:eastAsia="宋体"/>
                <w:b/>
                <w:sz w:val="21"/>
              </w:rPr>
              <w:t>大写：肆万捌仟元整</w:t>
            </w:r>
          </w:p>
        </w:tc>
        <w:tc>
          <w:tcPr>
            <w:tcW w:w="907" w:type="dxa"/>
          </w:tcPr>
          <w:p w14:paraId="5C52588A">
            <w:pPr>
              <w:jc w:val="center"/>
            </w:pPr>
          </w:p>
        </w:tc>
        <w:tc>
          <w:tcPr>
            <w:tcW w:w="1134" w:type="dxa"/>
          </w:tcPr>
          <w:p w14:paraId="10411474">
            <w:pPr>
              <w:jc w:val="center"/>
            </w:pPr>
          </w:p>
        </w:tc>
        <w:tc>
          <w:tcPr>
            <w:tcW w:w="1134" w:type="dxa"/>
          </w:tcPr>
          <w:p w14:paraId="1979015F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48000</w:t>
            </w:r>
          </w:p>
        </w:tc>
        <w:tc>
          <w:tcPr>
            <w:tcW w:w="1814" w:type="dxa"/>
          </w:tcPr>
          <w:p w14:paraId="6BE15DC8">
            <w:r>
              <w:rPr>
                <w:rFonts w:ascii="宋体" w:hAnsi="宋体" w:eastAsia="宋体"/>
                <w:b/>
                <w:sz w:val="21"/>
              </w:rPr>
              <w:t>作为最高限价</w:t>
            </w:r>
          </w:p>
        </w:tc>
        <w:tc>
          <w:tcPr>
            <w:tcW w:w="1474" w:type="dxa"/>
          </w:tcPr>
          <w:p w14:paraId="1A06B403"/>
        </w:tc>
      </w:tr>
    </w:tbl>
    <w:p w14:paraId="5985B0CE">
      <w:pPr>
        <w:spacing w:before="40" w:after="40" w:line="340" w:lineRule="auto"/>
        <w:jc w:val="left"/>
        <w:rPr>
          <w:rFonts w:ascii="Times New Roman" w:hAnsi="Times New Roman" w:eastAsia="宋体" w:cs="Times New Roman"/>
          <w:sz w:val="22"/>
          <w:szCs w:val="22"/>
        </w:rPr>
      </w:pPr>
    </w:p>
    <w:p w14:paraId="1D1C0530">
      <w:pPr>
        <w:spacing w:before="40" w:after="40" w:line="340" w:lineRule="auto"/>
        <w:jc w:val="left"/>
        <w:rPr>
          <w:rFonts w:ascii="Times New Roman" w:hAnsi="Times New Roman" w:eastAsia="宋体" w:cs="Times New Roman"/>
          <w:sz w:val="22"/>
          <w:szCs w:val="22"/>
        </w:rPr>
      </w:pPr>
      <w:r>
        <w:rPr>
          <w:rFonts w:ascii="Times New Roman" w:hAnsi="Times New Roman" w:eastAsia="宋体" w:cs="Times New Roman"/>
          <w:sz w:val="22"/>
          <w:szCs w:val="22"/>
        </w:rPr>
        <w:t>二、资质要求：具备电力安全生产培训或评价相关业绩</w:t>
      </w:r>
    </w:p>
    <w:p w14:paraId="1F12BFF4">
      <w:pPr>
        <w:spacing w:before="40" w:after="40" w:line="340" w:lineRule="auto"/>
        <w:jc w:val="left"/>
      </w:pPr>
      <w:bookmarkStart w:id="0" w:name="_GoBack"/>
      <w:bookmarkEnd w:id="0"/>
      <w:r>
        <w:rPr>
          <w:rFonts w:ascii="Times New Roman" w:hAnsi="Times New Roman" w:eastAsia="宋体" w:cs="Times New Roman"/>
          <w:sz w:val="22"/>
          <w:szCs w:val="22"/>
        </w:rPr>
        <w:t>三、相关技术要求：依据最新安规及两票细则；每题标明答案、解析及规范出处；题库可导入公司机考系统；题量、题型比例满足准入资格认证及普考调考需要。</w:t>
      </w:r>
    </w:p>
    <w:p w14:paraId="57999A1C">
      <w:pPr>
        <w:spacing w:before="40" w:after="40" w:line="340" w:lineRule="auto"/>
        <w:jc w:val="left"/>
      </w:pPr>
      <w:r>
        <w:rPr>
          <w:rFonts w:ascii="Times New Roman" w:hAnsi="Times New Roman" w:eastAsia="宋体" w:cs="Times New Roman"/>
          <w:sz w:val="22"/>
          <w:szCs w:val="22"/>
        </w:rPr>
        <w:t>四、服务相关要求：提供审题、校核、组卷及成果交付服务；按综合最优法提交项目综合方案（质量、价格、售后）。</w:t>
      </w:r>
    </w:p>
    <w:p w14:paraId="27430D81">
      <w:pPr>
        <w:spacing w:before="40" w:after="40" w:line="340" w:lineRule="auto"/>
        <w:jc w:val="left"/>
      </w:pPr>
      <w:r>
        <w:rPr>
          <w:rFonts w:ascii="Times New Roman" w:hAnsi="Times New Roman" w:eastAsia="宋体" w:cs="Times New Roman"/>
          <w:sz w:val="22"/>
          <w:szCs w:val="22"/>
        </w:rPr>
        <w:t>五、交付标准：交付机考题库文件、源文件、答案解析及出处清单，通过公司安监部门验收。</w:t>
      </w:r>
    </w:p>
    <w:p w14:paraId="1948AD19">
      <w:pPr>
        <w:spacing w:before="40" w:after="40" w:line="340" w:lineRule="auto"/>
        <w:jc w:val="left"/>
      </w:pPr>
      <w:r>
        <w:rPr>
          <w:rFonts w:ascii="Times New Roman" w:hAnsi="Times New Roman" w:eastAsia="宋体" w:cs="Times New Roman"/>
          <w:sz w:val="22"/>
          <w:szCs w:val="22"/>
        </w:rPr>
        <w:t>六、商务及报价要求：报价含税费、专家费、交通、成果交付等全部费用；最高限价50000元；货到（成果交付）验收合格后付款。</w:t>
      </w:r>
    </w:p>
    <w:p w14:paraId="5CD27797">
      <w:pPr>
        <w:spacing w:before="40" w:after="40" w:line="340" w:lineRule="auto"/>
        <w:jc w:val="left"/>
      </w:pPr>
      <w:r>
        <w:rPr>
          <w:rFonts w:ascii="Times New Roman" w:hAnsi="Times New Roman" w:eastAsia="宋体" w:cs="Times New Roman"/>
          <w:sz w:val="22"/>
          <w:szCs w:val="22"/>
        </w:rPr>
        <w:t>七、“三种人”安规题库修编，含单选、多选、判断、案例分析等题型，配套解析与规范出处，形成可导入公司机考系统的统一题库及源文件。</w:t>
      </w:r>
    </w:p>
    <w:p w14:paraId="1E2A5056">
      <w:pPr>
        <w:spacing w:before="40" w:after="40" w:line="340" w:lineRule="auto"/>
        <w:jc w:val="left"/>
      </w:pPr>
      <w:r>
        <w:rPr>
          <w:rFonts w:hint="eastAsia" w:cs="Times New Roman"/>
          <w:sz w:val="22"/>
          <w:szCs w:val="22"/>
          <w:lang w:val="en-US" w:eastAsia="zh-CN"/>
        </w:rPr>
        <w:t>八、</w:t>
      </w:r>
      <w:r>
        <w:rPr>
          <w:rFonts w:ascii="Times New Roman" w:hAnsi="Times New Roman" w:eastAsia="宋体" w:cs="Times New Roman"/>
          <w:sz w:val="22"/>
          <w:szCs w:val="22"/>
        </w:rPr>
        <w:t>其他要求：质量保证期内免费修正；成果知识产权归采购人所有。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1A9D61F2"/>
    <w:rsid w:val="22F630A3"/>
    <w:rsid w:val="44F9567B"/>
    <w:rsid w:val="53A140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iPriority="99" w:name="endnote reference"/>
    <w:lsdException w:qFormat="1"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2"/>
      <w:szCs w:val="22"/>
    </w:rPr>
  </w:style>
  <w:style w:type="paragraph" w:styleId="2">
    <w:name w:val="heading 1"/>
    <w:next w:val="1"/>
    <w:qFormat/>
    <w:uiPriority w:val="0"/>
    <w:pPr>
      <w:spacing w:before="240" w:after="120"/>
      <w:outlineLvl w:val="0"/>
    </w:pPr>
    <w:rPr>
      <w:rFonts w:ascii="Times New Roman" w:hAnsi="Times New Roman" w:eastAsia="黑体" w:cs="Times New Roman"/>
      <w:b/>
      <w:bCs/>
      <w:sz w:val="28"/>
      <w:szCs w:val="28"/>
    </w:rPr>
  </w:style>
  <w:style w:type="paragraph" w:styleId="3">
    <w:name w:val="heading 2"/>
    <w:next w:val="1"/>
    <w:qFormat/>
    <w:uiPriority w:val="0"/>
    <w:rPr>
      <w:rFonts w:ascii="Times New Roman" w:hAnsi="Times New Roman" w:eastAsia="宋体" w:cs="Times New Roman"/>
      <w:color w:val="2E74B5"/>
      <w:sz w:val="26"/>
      <w:szCs w:val="26"/>
    </w:rPr>
  </w:style>
  <w:style w:type="paragraph" w:styleId="4">
    <w:name w:val="heading 3"/>
    <w:next w:val="1"/>
    <w:qFormat/>
    <w:uiPriority w:val="0"/>
    <w:rPr>
      <w:rFonts w:ascii="Times New Roman" w:hAnsi="Times New Roman" w:eastAsia="宋体" w:cs="Times New Roman"/>
      <w:color w:val="1F4D78"/>
      <w:sz w:val="24"/>
      <w:szCs w:val="24"/>
    </w:rPr>
  </w:style>
  <w:style w:type="paragraph" w:styleId="5">
    <w:name w:val="heading 4"/>
    <w:next w:val="1"/>
    <w:qFormat/>
    <w:uiPriority w:val="0"/>
    <w:rPr>
      <w:rFonts w:ascii="Times New Roman" w:hAnsi="Times New Roman" w:eastAsia="宋体" w:cs="Times New Roman"/>
      <w:i/>
      <w:iCs/>
      <w:color w:val="2E74B5"/>
      <w:sz w:val="22"/>
      <w:szCs w:val="22"/>
    </w:rPr>
  </w:style>
  <w:style w:type="paragraph" w:styleId="6">
    <w:name w:val="heading 5"/>
    <w:next w:val="1"/>
    <w:qFormat/>
    <w:uiPriority w:val="0"/>
    <w:rPr>
      <w:rFonts w:ascii="Times New Roman" w:hAnsi="Times New Roman" w:eastAsia="宋体" w:cs="Times New Roman"/>
      <w:color w:val="2E74B5"/>
      <w:sz w:val="22"/>
      <w:szCs w:val="22"/>
    </w:rPr>
  </w:style>
  <w:style w:type="paragraph" w:styleId="7">
    <w:name w:val="heading 6"/>
    <w:next w:val="1"/>
    <w:qFormat/>
    <w:uiPriority w:val="0"/>
    <w:rPr>
      <w:rFonts w:ascii="Times New Roman" w:hAnsi="Times New Roman" w:eastAsia="宋体" w:cs="Times New Roman"/>
      <w:color w:val="1F4D78"/>
      <w:sz w:val="22"/>
      <w:szCs w:val="22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endnote text"/>
    <w:link w:val="18"/>
    <w:semi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9">
    <w:name w:val="footnote text"/>
    <w:link w:val="17"/>
    <w:semi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10">
    <w:name w:val="Title"/>
    <w:qFormat/>
    <w:uiPriority w:val="0"/>
    <w:rPr>
      <w:rFonts w:ascii="Times New Roman" w:hAnsi="Times New Roman" w:eastAsia="宋体" w:cs="Times New Roman"/>
      <w:sz w:val="56"/>
      <w:szCs w:val="56"/>
    </w:rPr>
  </w:style>
  <w:style w:type="character" w:styleId="13">
    <w:name w:val="endnote reference"/>
    <w:semiHidden/>
    <w:unhideWhenUsed/>
    <w:qFormat/>
    <w:uiPriority w:val="99"/>
    <w:rPr>
      <w:vertAlign w:val="superscript"/>
    </w:rPr>
  </w:style>
  <w:style w:type="character" w:styleId="14">
    <w:name w:val="Hyperlink"/>
    <w:unhideWhenUsed/>
    <w:qFormat/>
    <w:uiPriority w:val="99"/>
    <w:rPr>
      <w:color w:val="0563C1"/>
      <w:u w:val="single"/>
    </w:rPr>
  </w:style>
  <w:style w:type="character" w:styleId="15">
    <w:name w:val="footnote reference"/>
    <w:semiHidden/>
    <w:unhideWhenUsed/>
    <w:qFormat/>
    <w:uiPriority w:val="99"/>
    <w:rPr>
      <w:vertAlign w:val="superscript"/>
    </w:rPr>
  </w:style>
  <w:style w:type="paragraph" w:styleId="16">
    <w:name w:val="List Paragraph"/>
    <w:qFormat/>
    <w:uiPriority w:val="0"/>
    <w:rPr>
      <w:rFonts w:ascii="Times New Roman" w:hAnsi="Times New Roman" w:eastAsia="宋体" w:cs="Times New Roman"/>
      <w:sz w:val="22"/>
      <w:szCs w:val="22"/>
    </w:rPr>
  </w:style>
  <w:style w:type="character" w:customStyle="1" w:styleId="17">
    <w:name w:val="Footnote Text Char"/>
    <w:link w:val="9"/>
    <w:semiHidden/>
    <w:unhideWhenUsed/>
    <w:qFormat/>
    <w:uiPriority w:val="99"/>
    <w:rPr>
      <w:sz w:val="20"/>
      <w:szCs w:val="20"/>
    </w:rPr>
  </w:style>
  <w:style w:type="character" w:customStyle="1" w:styleId="18">
    <w:name w:val="Endnote Text Char"/>
    <w:link w:val="8"/>
    <w:semiHidden/>
    <w:unhideWhenUsed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1996</Words>
  <Characters>2224</Characters>
  <TotalTime>0</TotalTime>
  <ScaleCrop>false</ScaleCrop>
  <LinksUpToDate>false</LinksUpToDate>
  <CharactersWithSpaces>2285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2026-09-07T16:14:00Z</dcterms:created>
  <dc:creator>Un-named</dc:creator>
  <cp:lastModifiedBy>冯积家</cp:lastModifiedBy>
  <dcterms:modified xsi:type="dcterms:W3CDTF">2026-10-23T08:08:09Z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eyJoZGlkIjoiNDdmNjZiNjk5ZDNhOGIyMjY0NjQwZWY1ZDM5YTBlNzQiLCJ1c2VySWQiOiIzOTA1ODA2NjYifQ==</vt:lpwstr>
  </property>
  <property fmtid="{D5CDD505-2E9C-101B-9397-08002B2CF9AE}" pid="3" name="KSOProductBuildVer">
    <vt:lpwstr>2052-12.1.0.23125</vt:lpwstr>
  </property>
  <property fmtid="{D5CDD505-2E9C-101B-9397-08002B2CF9AE}" pid="4" name="ICV">
    <vt:lpwstr>F401EDD45AF64DE2AB924480E5385BCA_13</vt:lpwstr>
  </property>
</Properties>
</file>