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C283A">
      <w:pPr>
        <w:kinsoku/>
        <w:autoSpaceDE/>
        <w:autoSpaceDN/>
        <w:bidi w:val="0"/>
        <w:adjustRightInd/>
        <w:snapToGrid/>
        <w:spacing w:line="240" w:lineRule="auto"/>
        <w:jc w:val="center"/>
        <w:textAlignment w:val="auto"/>
        <w:rPr>
          <w:rFonts w:hint="eastAsia" w:ascii="Times New Roman" w:hAnsi="Times New Roman" w:eastAsia="宋体" w:cs="Times New Roman"/>
          <w:b/>
          <w:bCs/>
          <w:snapToGrid/>
          <w:color w:val="auto"/>
          <w:kern w:val="2"/>
          <w:sz w:val="28"/>
          <w:szCs w:val="24"/>
          <w:lang w:val="en-US" w:eastAsia="zh-CN"/>
        </w:rPr>
      </w:pPr>
      <w:r>
        <w:rPr>
          <w:rFonts w:hint="eastAsia" w:ascii="Times New Roman" w:hAnsi="Times New Roman" w:eastAsia="宋体" w:cs="Times New Roman"/>
          <w:b/>
          <w:bCs/>
          <w:snapToGrid/>
          <w:color w:val="auto"/>
          <w:kern w:val="2"/>
          <w:sz w:val="28"/>
          <w:szCs w:val="24"/>
          <w:lang w:val="en-US" w:eastAsia="zh-CN"/>
        </w:rPr>
        <w:t>南网技术公司2026年安全芯片开发套件代工服务零星采购技术附件</w:t>
      </w:r>
    </w:p>
    <w:p w14:paraId="25B1A393">
      <w:pPr>
        <w:spacing w:beforeLines="0" w:afterLines="0"/>
        <w:jc w:val="left"/>
        <w:rPr>
          <w:rFonts w:hint="eastAsia" w:ascii="宋体" w:hAnsi="宋体" w:eastAsia="宋体"/>
          <w:b/>
          <w:bCs/>
          <w:color w:val="auto"/>
          <w:sz w:val="28"/>
          <w:szCs w:val="36"/>
        </w:rPr>
      </w:pPr>
    </w:p>
    <w:p w14:paraId="6AACD1B0">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color w:val="auto"/>
          <w:sz w:val="32"/>
          <w:szCs w:val="32"/>
        </w:rPr>
      </w:pPr>
      <w:r>
        <w:rPr>
          <w:rFonts w:hint="eastAsia" w:ascii="宋体" w:hAnsi="宋体" w:eastAsia="宋体"/>
          <w:b/>
          <w:bCs/>
          <w:color w:val="auto"/>
          <w:sz w:val="28"/>
          <w:szCs w:val="36"/>
        </w:rPr>
        <w:t>一、采购范围及要求</w:t>
      </w:r>
    </w:p>
    <w:p w14:paraId="5A1AA3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napToGrid/>
          <w:color w:val="auto"/>
          <w:kern w:val="2"/>
          <w:sz w:val="24"/>
          <w:szCs w:val="24"/>
          <w:lang w:val="en-US" w:eastAsia="zh-CN"/>
        </w:rPr>
      </w:pPr>
      <w:r>
        <w:rPr>
          <w:rFonts w:hint="eastAsia" w:ascii="仿宋_GB2312" w:hAnsi="仿宋_GB2312" w:eastAsia="仿宋_GB2312" w:cs="仿宋_GB2312"/>
          <w:snapToGrid/>
          <w:color w:val="auto"/>
          <w:kern w:val="2"/>
          <w:sz w:val="24"/>
          <w:szCs w:val="32"/>
          <w:lang w:val="en-US" w:eastAsia="zh-CN"/>
        </w:rPr>
        <w:t>为保障南网技术公司计量自动化终端安全芯片开发套件与新型电鸿智能网关电能表安全芯片开发套件的研发、试制、生产工作顺利开展，智能用电事业部拟发起南网技术公司2026年安全芯片开发套件代工服务（包工包料）零星采购，采购一批计量自动化终端安全芯片开发套件与新型电鸿智能网关电能表安全芯片开发套件的代工服务。具体内容为：</w:t>
      </w:r>
      <w:r>
        <w:rPr>
          <w:rFonts w:hint="eastAsia" w:ascii="仿宋_GB2312" w:hAnsi="仿宋_GB2312" w:eastAsia="仿宋_GB2312" w:cs="仿宋_GB2312"/>
          <w:snapToGrid/>
          <w:color w:val="auto"/>
          <w:kern w:val="2"/>
          <w:sz w:val="24"/>
          <w:szCs w:val="32"/>
          <w:lang w:val="en-US" w:eastAsia="zh-CN"/>
        </w:rPr>
        <w:br w:type="textWrapping"/>
      </w:r>
      <w:r>
        <w:rPr>
          <w:rFonts w:hint="eastAsia" w:ascii="仿宋" w:hAnsi="仿宋" w:eastAsia="仿宋" w:cs="仿宋"/>
          <w:snapToGrid/>
          <w:color w:val="auto"/>
          <w:kern w:val="2"/>
          <w:sz w:val="24"/>
          <w:szCs w:val="24"/>
          <w:lang w:val="en-US" w:eastAsia="zh-CN"/>
        </w:rPr>
        <w:t>1、</w:t>
      </w:r>
      <w:r>
        <w:rPr>
          <w:rFonts w:hint="eastAsia" w:ascii="仿宋_GB2312" w:hAnsi="仿宋_GB2312" w:eastAsia="仿宋_GB2312" w:cs="仿宋_GB2312"/>
          <w:snapToGrid/>
          <w:color w:val="auto"/>
          <w:kern w:val="2"/>
          <w:sz w:val="24"/>
          <w:szCs w:val="24"/>
          <w:lang w:val="en-US" w:eastAsia="zh-CN"/>
        </w:rPr>
        <w:t>采购范围</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87"/>
        <w:gridCol w:w="1765"/>
        <w:gridCol w:w="4170"/>
        <w:gridCol w:w="973"/>
        <w:gridCol w:w="814"/>
      </w:tblGrid>
      <w:tr w14:paraId="3718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8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D8F864A">
            <w:pPr>
              <w:pStyle w:val="18"/>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序号</w:t>
            </w:r>
          </w:p>
        </w:tc>
        <w:tc>
          <w:tcPr>
            <w:tcW w:w="1765"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FE02F02">
            <w:pPr>
              <w:pStyle w:val="18"/>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lang w:val="en-US" w:eastAsia="zh-CN"/>
              </w:rPr>
              <w:t>服务</w:t>
            </w:r>
            <w:r>
              <w:rPr>
                <w:rFonts w:hint="eastAsia" w:ascii="仿宋_GB2312" w:hAnsi="仿宋_GB2312" w:eastAsia="仿宋_GB2312" w:cs="仿宋_GB2312"/>
                <w:b/>
                <w:bCs/>
                <w:color w:val="auto"/>
                <w:sz w:val="24"/>
                <w:szCs w:val="24"/>
              </w:rPr>
              <w:t>名称</w:t>
            </w:r>
          </w:p>
        </w:tc>
        <w:tc>
          <w:tcPr>
            <w:tcW w:w="417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F9DF082">
            <w:pPr>
              <w:pStyle w:val="18"/>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服务内容</w:t>
            </w:r>
          </w:p>
        </w:tc>
        <w:tc>
          <w:tcPr>
            <w:tcW w:w="97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3A680E7">
            <w:pPr>
              <w:pStyle w:val="18"/>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数量</w:t>
            </w:r>
          </w:p>
        </w:tc>
        <w:tc>
          <w:tcPr>
            <w:tcW w:w="814"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D5DDE40">
            <w:pPr>
              <w:pStyle w:val="18"/>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备注</w:t>
            </w:r>
          </w:p>
        </w:tc>
      </w:tr>
      <w:tr w14:paraId="452E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8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10C047A">
            <w:pPr>
              <w:pStyle w:val="18"/>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1765"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649CB47">
            <w:pPr>
              <w:pStyle w:val="18"/>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安全芯片开发套件代工服务</w:t>
            </w:r>
          </w:p>
        </w:tc>
        <w:tc>
          <w:tcPr>
            <w:tcW w:w="417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CDC180D">
            <w:pPr>
              <w:pStyle w:val="18"/>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按照《计量自动化终端安全芯片开发套件技术规范》代工2组套件、按照《新型电鸿智能网关电能表安全芯片开发套件技术规范》代工12组套件。</w:t>
            </w:r>
          </w:p>
        </w:tc>
        <w:tc>
          <w:tcPr>
            <w:tcW w:w="97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E70FD7">
            <w:pPr>
              <w:pStyle w:val="18"/>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w:t>
            </w:r>
          </w:p>
        </w:tc>
        <w:tc>
          <w:tcPr>
            <w:tcW w:w="814"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E634439">
            <w:pPr>
              <w:pStyle w:val="18"/>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包工包料</w:t>
            </w:r>
          </w:p>
        </w:tc>
      </w:tr>
    </w:tbl>
    <w:p w14:paraId="5E2AFEBD">
      <w:pPr>
        <w:pStyle w:val="4"/>
        <w:numPr>
          <w:ilvl w:val="1"/>
          <w:numId w:val="0"/>
        </w:numPr>
        <w:bidi w:val="0"/>
        <w:ind w:leftChars="0"/>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2、</w:t>
      </w:r>
      <w:r>
        <w:rPr>
          <w:rFonts w:hint="eastAsia" w:ascii="仿宋_GB2312" w:hAnsi="仿宋_GB2312" w:eastAsia="仿宋_GB2312" w:cs="仿宋_GB2312"/>
          <w:color w:val="auto"/>
          <w:sz w:val="24"/>
          <w:szCs w:val="24"/>
          <w:highlight w:val="none"/>
          <w:lang w:val="en-US" w:eastAsia="zh-CN"/>
        </w:rPr>
        <w:t>计量自动化终端安全芯片开发套件技术规范</w:t>
      </w:r>
    </w:p>
    <w:tbl>
      <w:tblPr>
        <w:tblStyle w:val="9"/>
        <w:tblW w:w="4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1995"/>
        <w:gridCol w:w="4610"/>
      </w:tblGrid>
      <w:tr w14:paraId="144F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5992615E">
            <w:pPr>
              <w:widowControl w:val="0"/>
              <w:spacing w:line="240" w:lineRule="atLeas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299" w:type="pct"/>
            <w:noWrap w:val="0"/>
            <w:vAlign w:val="center"/>
          </w:tcPr>
          <w:p w14:paraId="5BBC8A59">
            <w:pPr>
              <w:widowControl w:val="0"/>
              <w:spacing w:line="240" w:lineRule="atLeas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指标名称</w:t>
            </w:r>
          </w:p>
        </w:tc>
        <w:tc>
          <w:tcPr>
            <w:tcW w:w="3002" w:type="pct"/>
            <w:noWrap w:val="0"/>
            <w:vAlign w:val="center"/>
          </w:tcPr>
          <w:p w14:paraId="51129C0D">
            <w:pPr>
              <w:widowControl w:val="0"/>
              <w:spacing w:line="240" w:lineRule="atLeas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参数要求</w:t>
            </w:r>
          </w:p>
        </w:tc>
      </w:tr>
      <w:tr w14:paraId="45BD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757E4A3F">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w:t>
            </w:r>
          </w:p>
        </w:tc>
        <w:tc>
          <w:tcPr>
            <w:tcW w:w="1299" w:type="pct"/>
            <w:noWrap w:val="0"/>
            <w:vAlign w:val="center"/>
          </w:tcPr>
          <w:p w14:paraId="56F364A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终端套件安全芯片</w:t>
            </w:r>
          </w:p>
        </w:tc>
        <w:tc>
          <w:tcPr>
            <w:tcW w:w="3002" w:type="pct"/>
            <w:noWrap w:val="0"/>
            <w:vAlign w:val="center"/>
          </w:tcPr>
          <w:p w14:paraId="7F6D64A8">
            <w:pPr>
              <w:widowControl w:val="0"/>
              <w:spacing w:line="240" w:lineRule="atLeast"/>
              <w:jc w:val="left"/>
              <w:rPr>
                <w:rFonts w:hint="eastAsia"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lang w:val="en-US" w:eastAsia="zh-CN"/>
              </w:rPr>
              <w:t>a)通信接口：SPI</w:t>
            </w:r>
          </w:p>
          <w:p w14:paraId="150E0C43">
            <w:pPr>
              <w:widowControl w:val="0"/>
              <w:spacing w:line="240" w:lineRule="atLeast"/>
              <w:jc w:val="left"/>
              <w:rPr>
                <w:rFonts w:hint="eastAsia"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b）</w:t>
            </w:r>
            <w:r>
              <w:rPr>
                <w:rFonts w:hint="eastAsia" w:ascii="仿宋_GB2312" w:hAnsi="仿宋_GB2312" w:eastAsia="仿宋_GB2312" w:cs="仿宋_GB2312"/>
                <w:color w:val="auto"/>
                <w:sz w:val="24"/>
                <w:highlight w:val="none"/>
                <w:lang w:val="en-US" w:eastAsia="zh-CN"/>
              </w:rPr>
              <w:t>通信速率：5-20Mhz</w:t>
            </w:r>
          </w:p>
          <w:p w14:paraId="6ABDA006">
            <w:pPr>
              <w:widowControl w:val="0"/>
              <w:spacing w:line="240" w:lineRule="atLeast"/>
              <w:jc w:val="left"/>
              <w:rPr>
                <w:rFonts w:hint="eastAsia"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c）</w:t>
            </w:r>
            <w:r>
              <w:rPr>
                <w:rFonts w:hint="eastAsia" w:ascii="仿宋_GB2312" w:hAnsi="仿宋_GB2312" w:eastAsia="仿宋_GB2312" w:cs="仿宋_GB2312"/>
                <w:color w:val="auto"/>
                <w:sz w:val="24"/>
                <w:highlight w:val="none"/>
                <w:lang w:val="en-US" w:eastAsia="zh-CN"/>
              </w:rPr>
              <w:t>工作电压：2.7-5.5V</w:t>
            </w:r>
          </w:p>
          <w:p w14:paraId="24607EDB">
            <w:pPr>
              <w:widowControl w:val="0"/>
              <w:spacing w:line="240" w:lineRule="atLeast"/>
              <w:jc w:val="left"/>
              <w:rPr>
                <w:rFonts w:hint="eastAsia"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d）</w:t>
            </w:r>
            <w:r>
              <w:rPr>
                <w:rFonts w:hint="eastAsia" w:ascii="仿宋_GB2312" w:hAnsi="仿宋_GB2312" w:eastAsia="仿宋_GB2312" w:cs="仿宋_GB2312"/>
                <w:color w:val="auto"/>
                <w:sz w:val="24"/>
                <w:highlight w:val="none"/>
                <w:lang w:val="en-US" w:eastAsia="zh-CN"/>
              </w:rPr>
              <w:t>支持的算法：SM1\2\3\4</w:t>
            </w:r>
          </w:p>
          <w:p w14:paraId="4D62800E">
            <w:pPr>
              <w:widowControl w:val="0"/>
              <w:spacing w:line="240" w:lineRule="atLeast"/>
              <w:jc w:val="left"/>
              <w:rPr>
                <w:rFonts w:hint="eastAsia"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e）</w:t>
            </w:r>
            <w:r>
              <w:rPr>
                <w:rFonts w:hint="eastAsia" w:ascii="仿宋_GB2312" w:hAnsi="仿宋_GB2312" w:eastAsia="仿宋_GB2312" w:cs="仿宋_GB2312"/>
                <w:color w:val="auto"/>
                <w:sz w:val="24"/>
                <w:highlight w:val="none"/>
                <w:lang w:val="en-US" w:eastAsia="zh-CN"/>
              </w:rPr>
              <w:t>封装：SOIC8</w:t>
            </w:r>
          </w:p>
          <w:p w14:paraId="1ADB7B21">
            <w:pPr>
              <w:widowControl w:val="0"/>
              <w:spacing w:line="240" w:lineRule="atLeast"/>
              <w:jc w:val="left"/>
              <w:rPr>
                <w:rFonts w:hint="eastAsia"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f）</w:t>
            </w:r>
            <w:r>
              <w:rPr>
                <w:rFonts w:hint="eastAsia" w:ascii="仿宋_GB2312" w:hAnsi="仿宋_GB2312" w:eastAsia="仿宋_GB2312" w:cs="仿宋_GB2312"/>
                <w:color w:val="auto"/>
                <w:sz w:val="24"/>
                <w:highlight w:val="none"/>
                <w:lang w:val="en-US" w:eastAsia="zh-CN"/>
              </w:rPr>
              <w:t>支持的协议：南方电网</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计量自动化终端</w:t>
            </w:r>
            <w:r>
              <w:rPr>
                <w:rFonts w:hint="eastAsia" w:ascii="仿宋_GB2312" w:hAnsi="仿宋_GB2312" w:eastAsia="仿宋_GB2312" w:cs="仿宋_GB2312"/>
                <w:color w:val="auto"/>
                <w:sz w:val="24"/>
                <w:highlight w:val="none"/>
              </w:rPr>
              <w:t>信息交换安全认证技术要求》</w:t>
            </w:r>
          </w:p>
          <w:p w14:paraId="416B0B4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g）管脚定义</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343"/>
              <w:gridCol w:w="2339"/>
            </w:tblGrid>
            <w:tr w14:paraId="13B9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shd w:val="clear" w:color="auto" w:fill="CCCCCC"/>
                  <w:noWrap w:val="0"/>
                  <w:vAlign w:val="top"/>
                </w:tcPr>
                <w:p w14:paraId="3B14DAFE">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引脚号</w:t>
                  </w:r>
                </w:p>
              </w:tc>
              <w:tc>
                <w:tcPr>
                  <w:tcW w:w="1909" w:type="dxa"/>
                  <w:tcBorders>
                    <w:top w:val="single" w:color="auto" w:sz="4" w:space="0"/>
                    <w:left w:val="single" w:color="auto" w:sz="4" w:space="0"/>
                    <w:bottom w:val="single" w:color="auto" w:sz="4" w:space="0"/>
                    <w:right w:val="single" w:color="auto" w:sz="4" w:space="0"/>
                  </w:tcBorders>
                  <w:shd w:val="clear" w:color="auto" w:fill="CCCCCC"/>
                  <w:noWrap w:val="0"/>
                  <w:vAlign w:val="top"/>
                </w:tcPr>
                <w:p w14:paraId="614EC5B4">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引脚名</w:t>
                  </w:r>
                </w:p>
              </w:tc>
              <w:tc>
                <w:tcPr>
                  <w:tcW w:w="3778" w:type="dxa"/>
                  <w:tcBorders>
                    <w:top w:val="single" w:color="auto" w:sz="4" w:space="0"/>
                    <w:left w:val="single" w:color="auto" w:sz="4" w:space="0"/>
                    <w:bottom w:val="single" w:color="auto" w:sz="4" w:space="0"/>
                    <w:right w:val="single" w:color="auto" w:sz="4" w:space="0"/>
                  </w:tcBorders>
                  <w:shd w:val="clear" w:color="auto" w:fill="CCCCCC"/>
                  <w:noWrap w:val="0"/>
                  <w:vAlign w:val="top"/>
                </w:tcPr>
                <w:p w14:paraId="650A0F33">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功能描述</w:t>
                  </w:r>
                </w:p>
              </w:tc>
            </w:tr>
            <w:tr w14:paraId="013B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276BDFF5">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55CC32CB">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GND</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046080BD">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w:t>
                  </w:r>
                </w:p>
              </w:tc>
            </w:tr>
            <w:tr w14:paraId="2DE8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7E7B13B8">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2、7</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404BC343">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MOSI</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5834943F">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主出从入，引脚2与7需外部短接</w:t>
                  </w:r>
                </w:p>
              </w:tc>
            </w:tr>
            <w:tr w14:paraId="3ABB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6085CE46">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3、6</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1E634B8A">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MISO</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0E5E9DEF">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主入从出，引脚3与6需外部短接</w:t>
                  </w:r>
                </w:p>
              </w:tc>
            </w:tr>
            <w:tr w14:paraId="1622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425CF86E">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20F5A6C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SSN</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0FA76C0A">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片选</w:t>
                  </w:r>
                </w:p>
              </w:tc>
            </w:tr>
            <w:tr w14:paraId="0B4D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08328F78">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127FC1E0">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SCK</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08FBF39E">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时钟</w:t>
                  </w:r>
                </w:p>
              </w:tc>
            </w:tr>
            <w:tr w14:paraId="400D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4D4E1B59">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73A83767">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VCC</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0CB645D6">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电源</w:t>
                  </w:r>
                </w:p>
              </w:tc>
            </w:tr>
          </w:tbl>
          <w:p w14:paraId="62C8C30D">
            <w:pPr>
              <w:pStyle w:val="2"/>
              <w:widowControl w:val="0"/>
              <w:rPr>
                <w:rFonts w:hint="eastAsia" w:ascii="仿宋_GB2312" w:hAnsi="仿宋_GB2312" w:eastAsia="仿宋_GB2312" w:cs="仿宋_GB2312"/>
                <w:lang w:val="en-US" w:eastAsia="zh-CN"/>
              </w:rPr>
            </w:pPr>
          </w:p>
        </w:tc>
      </w:tr>
      <w:tr w14:paraId="3224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79D8D532">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w:t>
            </w:r>
          </w:p>
        </w:tc>
        <w:tc>
          <w:tcPr>
            <w:tcW w:w="1299" w:type="pct"/>
            <w:noWrap w:val="0"/>
            <w:vAlign w:val="center"/>
          </w:tcPr>
          <w:p w14:paraId="64EF2C3B">
            <w:pPr>
              <w:widowControl w:val="0"/>
              <w:spacing w:line="240" w:lineRule="atLeast"/>
              <w:jc w:val="both"/>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读卡器</w:t>
            </w:r>
          </w:p>
        </w:tc>
        <w:tc>
          <w:tcPr>
            <w:tcW w:w="3002" w:type="pct"/>
            <w:noWrap w:val="0"/>
            <w:vAlign w:val="center"/>
          </w:tcPr>
          <w:p w14:paraId="706A13C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a)符合PC/SC标准的接触式、非接触式和SAM卡界面</w:t>
            </w:r>
          </w:p>
          <w:p w14:paraId="655BC07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b)支持CCID标准</w:t>
            </w:r>
          </w:p>
          <w:p w14:paraId="5DF1E50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c）支持Mifare 1K/4K卡的T=CL模拟功能</w:t>
            </w:r>
          </w:p>
          <w:p w14:paraId="0B19FDA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d）拥有内置的防撞功能（出现多张卡时，至少能检测到一张卡）</w:t>
            </w:r>
          </w:p>
          <w:p w14:paraId="1B7D1D8D">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e）支持符合ISO7816 T0标准的接触式智能卡</w:t>
            </w:r>
          </w:p>
          <w:p w14:paraId="70BD644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f)支持SPI协议的智能ESAM</w:t>
            </w:r>
          </w:p>
          <w:p w14:paraId="2A96CEB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g)ICC支持A类和B类卡，SAM仅支持B类卡。</w:t>
            </w:r>
          </w:p>
          <w:p w14:paraId="009CAEA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h)性能参数</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0"/>
              <w:gridCol w:w="2514"/>
            </w:tblGrid>
            <w:tr w14:paraId="60E09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shd w:val="clear" w:color="auto" w:fill="CCCCCC"/>
                  <w:noWrap w:val="0"/>
                  <w:vAlign w:val="top"/>
                </w:tcPr>
                <w:p w14:paraId="23AAA47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参数</w:t>
                  </w:r>
                </w:p>
              </w:tc>
              <w:tc>
                <w:tcPr>
                  <w:tcW w:w="4261" w:type="dxa"/>
                  <w:shd w:val="clear" w:color="auto" w:fill="CCCCCC"/>
                  <w:noWrap w:val="0"/>
                  <w:vAlign w:val="top"/>
                </w:tcPr>
                <w:p w14:paraId="5BA9E17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指标</w:t>
                  </w:r>
                </w:p>
              </w:tc>
            </w:tr>
            <w:tr w14:paraId="3E33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5892D38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谐振频率</w:t>
                  </w:r>
                </w:p>
              </w:tc>
              <w:tc>
                <w:tcPr>
                  <w:tcW w:w="4261" w:type="dxa"/>
                  <w:noWrap w:val="0"/>
                  <w:vAlign w:val="top"/>
                </w:tcPr>
                <w:p w14:paraId="13E435F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xml:space="preserve"> 13.56MHz ± 25KHz</w:t>
                  </w:r>
                </w:p>
              </w:tc>
            </w:tr>
            <w:tr w14:paraId="7EB75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59D52B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非接触卡读写距离</w:t>
                  </w:r>
                </w:p>
              </w:tc>
              <w:tc>
                <w:tcPr>
                  <w:tcW w:w="4261" w:type="dxa"/>
                  <w:noWrap w:val="0"/>
                  <w:vAlign w:val="top"/>
                </w:tcPr>
                <w:p w14:paraId="7A52AA5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非接触Mifare卡   0 − 5 cm</w:t>
                  </w:r>
                </w:p>
                <w:p w14:paraId="7DD6FFE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非接触CPU卡     0 − 3 cm</w:t>
                  </w:r>
                </w:p>
              </w:tc>
            </w:tr>
            <w:tr w14:paraId="7CCE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1" w:type="dxa"/>
                  <w:noWrap w:val="0"/>
                  <w:vAlign w:val="top"/>
                </w:tcPr>
                <w:p w14:paraId="7A8D10B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天线</w:t>
                  </w:r>
                </w:p>
              </w:tc>
              <w:tc>
                <w:tcPr>
                  <w:tcW w:w="4261" w:type="dxa"/>
                  <w:noWrap w:val="0"/>
                  <w:vAlign w:val="top"/>
                </w:tcPr>
                <w:p w14:paraId="2A5A799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内置</w:t>
                  </w:r>
                </w:p>
              </w:tc>
            </w:tr>
            <w:tr w14:paraId="466E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5808C7C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取电方式</w:t>
                  </w:r>
                </w:p>
              </w:tc>
              <w:tc>
                <w:tcPr>
                  <w:tcW w:w="4261" w:type="dxa"/>
                  <w:noWrap w:val="0"/>
                  <w:vAlign w:val="top"/>
                </w:tcPr>
                <w:p w14:paraId="4224F5A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USB 自取电</w:t>
                  </w:r>
                </w:p>
              </w:tc>
            </w:tr>
            <w:tr w14:paraId="6A4F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0554397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支持全速USB接口</w:t>
                  </w:r>
                </w:p>
              </w:tc>
              <w:tc>
                <w:tcPr>
                  <w:tcW w:w="4261" w:type="dxa"/>
                  <w:noWrap w:val="0"/>
                  <w:vAlign w:val="top"/>
                </w:tcPr>
                <w:p w14:paraId="2B0436F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12Mbps</w:t>
                  </w:r>
                </w:p>
              </w:tc>
            </w:tr>
            <w:tr w14:paraId="1CCA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6E6937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支持协议</w:t>
                  </w:r>
                </w:p>
              </w:tc>
              <w:tc>
                <w:tcPr>
                  <w:tcW w:w="4261" w:type="dxa"/>
                  <w:noWrap w:val="0"/>
                  <w:vAlign w:val="top"/>
                </w:tcPr>
                <w:p w14:paraId="299E74B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CCID协议</w:t>
                  </w:r>
                </w:p>
              </w:tc>
            </w:tr>
            <w:tr w14:paraId="6316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8F3D6D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通讯速率</w:t>
                  </w:r>
                </w:p>
              </w:tc>
              <w:tc>
                <w:tcPr>
                  <w:tcW w:w="4261" w:type="dxa"/>
                  <w:noWrap w:val="0"/>
                  <w:vAlign w:val="top"/>
                </w:tcPr>
                <w:p w14:paraId="22C804F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106k</w:t>
                  </w:r>
                </w:p>
              </w:tc>
            </w:tr>
            <w:tr w14:paraId="2DE29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1AE4A2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无驱无软，支持热插拔</w:t>
                  </w:r>
                </w:p>
              </w:tc>
              <w:tc>
                <w:tcPr>
                  <w:tcW w:w="4261" w:type="dxa"/>
                  <w:noWrap w:val="0"/>
                  <w:vAlign w:val="top"/>
                </w:tcPr>
                <w:p w14:paraId="52C382E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即插即用</w:t>
                  </w:r>
                </w:p>
              </w:tc>
            </w:tr>
            <w:tr w14:paraId="190BE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67DBF24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支持操作系统</w:t>
                  </w:r>
                </w:p>
              </w:tc>
              <w:tc>
                <w:tcPr>
                  <w:tcW w:w="4261" w:type="dxa"/>
                  <w:noWrap w:val="0"/>
                  <w:vAlign w:val="top"/>
                </w:tcPr>
                <w:p w14:paraId="1E80999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XP/Vista/win 7/win 10/win 11</w:t>
                  </w:r>
                </w:p>
              </w:tc>
            </w:tr>
            <w:tr w14:paraId="030B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7C98469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工作电流</w:t>
                  </w:r>
                </w:p>
              </w:tc>
              <w:tc>
                <w:tcPr>
                  <w:tcW w:w="4261" w:type="dxa"/>
                  <w:noWrap w:val="0"/>
                  <w:vAlign w:val="top"/>
                </w:tcPr>
                <w:p w14:paraId="4F0EC0A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300mA</w:t>
                  </w:r>
                </w:p>
              </w:tc>
            </w:tr>
            <w:tr w14:paraId="58A32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7C04203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工作电压</w:t>
                  </w:r>
                </w:p>
              </w:tc>
              <w:tc>
                <w:tcPr>
                  <w:tcW w:w="4261" w:type="dxa"/>
                  <w:noWrap w:val="0"/>
                  <w:vAlign w:val="top"/>
                </w:tcPr>
                <w:p w14:paraId="240CCBA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DC 5V</w:t>
                  </w:r>
                </w:p>
              </w:tc>
            </w:tr>
            <w:tr w14:paraId="5A865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369CC6D">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外型尺寸（ H × W × D ）</w:t>
                  </w:r>
                </w:p>
              </w:tc>
              <w:tc>
                <w:tcPr>
                  <w:tcW w:w="4261" w:type="dxa"/>
                  <w:noWrap w:val="0"/>
                  <w:vAlign w:val="top"/>
                </w:tcPr>
                <w:p w14:paraId="740BD06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30* 124 * 78（mm）</w:t>
                  </w:r>
                </w:p>
              </w:tc>
            </w:tr>
            <w:tr w14:paraId="6F8E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FFCBEA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工作温度</w:t>
                  </w:r>
                </w:p>
              </w:tc>
              <w:tc>
                <w:tcPr>
                  <w:tcW w:w="4261" w:type="dxa"/>
                  <w:noWrap w:val="0"/>
                  <w:vAlign w:val="top"/>
                </w:tcPr>
                <w:p w14:paraId="33CF273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0℃ ～ 50℃</w:t>
                  </w:r>
                </w:p>
              </w:tc>
            </w:tr>
            <w:tr w14:paraId="5E785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64E1E40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工作湿度</w:t>
                  </w:r>
                </w:p>
              </w:tc>
              <w:tc>
                <w:tcPr>
                  <w:tcW w:w="4261" w:type="dxa"/>
                  <w:noWrap w:val="0"/>
                  <w:vAlign w:val="top"/>
                </w:tcPr>
                <w:p w14:paraId="0BDFAB6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20 % ～ 90%</w:t>
                  </w:r>
                </w:p>
              </w:tc>
            </w:tr>
            <w:tr w14:paraId="065D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7F9C9DD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平均无故障时间</w:t>
                  </w:r>
                </w:p>
              </w:tc>
              <w:tc>
                <w:tcPr>
                  <w:tcW w:w="4261" w:type="dxa"/>
                  <w:noWrap w:val="0"/>
                  <w:vAlign w:val="top"/>
                </w:tcPr>
                <w:p w14:paraId="216B27F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5000 小时</w:t>
                  </w:r>
                </w:p>
              </w:tc>
            </w:tr>
            <w:tr w14:paraId="2D47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0F72EB8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API 函数</w:t>
                  </w:r>
                </w:p>
              </w:tc>
              <w:tc>
                <w:tcPr>
                  <w:tcW w:w="4261" w:type="dxa"/>
                  <w:noWrap w:val="0"/>
                  <w:vAlign w:val="top"/>
                </w:tcPr>
                <w:p w14:paraId="6316903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PC/SC 规范</w:t>
                  </w:r>
                </w:p>
              </w:tc>
            </w:tr>
            <w:tr w14:paraId="26984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703D08A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LED 灯</w:t>
                  </w:r>
                </w:p>
              </w:tc>
              <w:tc>
                <w:tcPr>
                  <w:tcW w:w="4261" w:type="dxa"/>
                  <w:noWrap w:val="0"/>
                  <w:vAlign w:val="top"/>
                </w:tcPr>
                <w:p w14:paraId="7355921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3个指示灯，指示电源和操作状态</w:t>
                  </w:r>
                </w:p>
              </w:tc>
            </w:tr>
            <w:tr w14:paraId="5F63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49B036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蜂鸣器</w:t>
                  </w:r>
                </w:p>
              </w:tc>
              <w:tc>
                <w:tcPr>
                  <w:tcW w:w="4261" w:type="dxa"/>
                  <w:noWrap w:val="0"/>
                  <w:vAlign w:val="top"/>
                </w:tcPr>
                <w:p w14:paraId="488C5E0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1个，检测卡是否存在</w:t>
                  </w:r>
                </w:p>
              </w:tc>
            </w:tr>
          </w:tbl>
          <w:p w14:paraId="31A6580D">
            <w:pPr>
              <w:pStyle w:val="2"/>
              <w:widowControl w:val="0"/>
              <w:rPr>
                <w:rFonts w:hint="eastAsia" w:ascii="仿宋_GB2312" w:hAnsi="仿宋_GB2312" w:eastAsia="仿宋_GB2312" w:cs="仿宋_GB2312"/>
                <w:lang w:val="en-US" w:eastAsia="zh-CN"/>
              </w:rPr>
            </w:pPr>
          </w:p>
        </w:tc>
      </w:tr>
      <w:tr w14:paraId="0B8C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44B385B6">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w:t>
            </w:r>
          </w:p>
        </w:tc>
        <w:tc>
          <w:tcPr>
            <w:tcW w:w="1299" w:type="pct"/>
            <w:noWrap w:val="0"/>
            <w:vAlign w:val="center"/>
          </w:tcPr>
          <w:p w14:paraId="0C9C7E91">
            <w:pPr>
              <w:widowControl w:val="0"/>
              <w:spacing w:line="240" w:lineRule="atLeast"/>
              <w:jc w:val="both"/>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转接板</w:t>
            </w:r>
          </w:p>
        </w:tc>
        <w:tc>
          <w:tcPr>
            <w:tcW w:w="3002" w:type="pct"/>
            <w:noWrap w:val="0"/>
            <w:vAlign w:val="center"/>
          </w:tcPr>
          <w:p w14:paraId="3981FE99">
            <w:pPr>
              <w:pStyle w:val="2"/>
              <w:widowControl w:val="0"/>
              <w:rPr>
                <w:rFonts w:hint="eastAsia" w:ascii="仿宋_GB2312" w:hAnsi="仿宋_GB2312" w:eastAsia="仿宋_GB2312" w:cs="仿宋_GB2312"/>
                <w:lang w:val="en-US" w:eastAsia="zh-CN"/>
              </w:rPr>
            </w:pPr>
            <w:r>
              <w:rPr>
                <w:rFonts w:hint="eastAsia" w:ascii="仿宋_GB2312" w:hAnsi="仿宋_GB2312" w:eastAsia="仿宋_GB2312" w:cs="仿宋_GB2312"/>
                <w:snapToGrid w:val="0"/>
                <w:color w:val="auto"/>
                <w:kern w:val="0"/>
                <w:sz w:val="24"/>
                <w:szCs w:val="21"/>
                <w:highlight w:val="none"/>
                <w:lang w:val="en-US" w:eastAsia="zh-CN" w:bidi="ar-SA"/>
              </w:rPr>
              <w:t>支持终端套件芯片通过SPI接口连接读卡器</w:t>
            </w:r>
          </w:p>
        </w:tc>
      </w:tr>
      <w:tr w14:paraId="39CE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48B3254A">
            <w:pPr>
              <w:widowControl w:val="0"/>
              <w:spacing w:line="240" w:lineRule="atLeast"/>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4</w:t>
            </w:r>
          </w:p>
        </w:tc>
        <w:tc>
          <w:tcPr>
            <w:tcW w:w="1299" w:type="pct"/>
            <w:noWrap w:val="0"/>
            <w:vAlign w:val="center"/>
          </w:tcPr>
          <w:p w14:paraId="0BFAC332">
            <w:pPr>
              <w:widowControl w:val="0"/>
              <w:spacing w:line="240" w:lineRule="atLeast"/>
              <w:jc w:val="both"/>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配套接口库</w:t>
            </w:r>
          </w:p>
        </w:tc>
        <w:tc>
          <w:tcPr>
            <w:tcW w:w="3002" w:type="pct"/>
            <w:noWrap w:val="0"/>
            <w:vAlign w:val="center"/>
          </w:tcPr>
          <w:p w14:paraId="6687B6E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按照南方电网南方电网《计量自动化终端信息交换安全认证技术要求》，开发如下接口：</w:t>
            </w:r>
          </w:p>
          <w:p w14:paraId="456B6E9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1）获取终端会话协商数据</w:t>
            </w:r>
          </w:p>
          <w:p w14:paraId="7CD31B7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2）会话协商验证</w:t>
            </w:r>
            <w:r>
              <w:rPr>
                <w:rFonts w:hint="eastAsia" w:ascii="仿宋_GB2312" w:hAnsi="仿宋_GB2312" w:eastAsia="仿宋_GB2312" w:cs="仿宋_GB2312"/>
                <w:color w:val="auto"/>
                <w:sz w:val="24"/>
                <w:highlight w:val="none"/>
                <w:lang w:val="en-US" w:eastAsia="zh-CN"/>
              </w:rPr>
              <w:tab/>
            </w:r>
          </w:p>
          <w:p w14:paraId="5DDB0EF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3）获取终端任务数据</w:t>
            </w:r>
            <w:r>
              <w:rPr>
                <w:rFonts w:hint="eastAsia" w:ascii="仿宋_GB2312" w:hAnsi="仿宋_GB2312" w:eastAsia="仿宋_GB2312" w:cs="仿宋_GB2312"/>
                <w:color w:val="auto"/>
                <w:sz w:val="24"/>
                <w:highlight w:val="none"/>
                <w:lang w:val="en-US" w:eastAsia="zh-CN"/>
              </w:rPr>
              <w:tab/>
            </w:r>
          </w:p>
          <w:p w14:paraId="74C8BDA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4）终端返回数据验证</w:t>
            </w:r>
            <w:r>
              <w:rPr>
                <w:rFonts w:hint="eastAsia" w:ascii="仿宋_GB2312" w:hAnsi="仿宋_GB2312" w:eastAsia="仿宋_GB2312" w:cs="仿宋_GB2312"/>
                <w:color w:val="auto"/>
                <w:sz w:val="24"/>
                <w:highlight w:val="none"/>
                <w:lang w:val="en-US" w:eastAsia="zh-CN"/>
              </w:rPr>
              <w:tab/>
            </w:r>
          </w:p>
          <w:p w14:paraId="22BB1D5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5）获取终端置离线计数器数据</w:t>
            </w:r>
            <w:r>
              <w:rPr>
                <w:rFonts w:hint="eastAsia" w:ascii="仿宋_GB2312" w:hAnsi="仿宋_GB2312" w:eastAsia="仿宋_GB2312" w:cs="仿宋_GB2312"/>
                <w:color w:val="auto"/>
                <w:sz w:val="24"/>
                <w:highlight w:val="none"/>
                <w:lang w:val="en-US" w:eastAsia="zh-CN"/>
              </w:rPr>
              <w:tab/>
            </w:r>
          </w:p>
          <w:p w14:paraId="2158907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6）获取终端转加密授权数据</w:t>
            </w:r>
            <w:r>
              <w:rPr>
                <w:rFonts w:hint="eastAsia" w:ascii="仿宋_GB2312" w:hAnsi="仿宋_GB2312" w:eastAsia="仿宋_GB2312" w:cs="仿宋_GB2312"/>
                <w:color w:val="auto"/>
                <w:sz w:val="24"/>
                <w:highlight w:val="none"/>
                <w:lang w:val="en-US" w:eastAsia="zh-CN"/>
              </w:rPr>
              <w:tab/>
            </w:r>
          </w:p>
          <w:p w14:paraId="544EDA2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7）获取电表批量任务处理数据</w:t>
            </w:r>
            <w:r>
              <w:rPr>
                <w:rFonts w:hint="eastAsia" w:ascii="仿宋_GB2312" w:hAnsi="仿宋_GB2312" w:eastAsia="仿宋_GB2312" w:cs="仿宋_GB2312"/>
                <w:color w:val="auto"/>
                <w:sz w:val="24"/>
                <w:highlight w:val="none"/>
                <w:lang w:val="en-US" w:eastAsia="zh-CN"/>
              </w:rPr>
              <w:tab/>
            </w:r>
          </w:p>
          <w:p w14:paraId="510B3BE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8）转加密电表任务密钥</w:t>
            </w:r>
            <w:r>
              <w:rPr>
                <w:rFonts w:hint="eastAsia" w:ascii="仿宋_GB2312" w:hAnsi="仿宋_GB2312" w:eastAsia="仿宋_GB2312" w:cs="仿宋_GB2312"/>
                <w:color w:val="auto"/>
                <w:sz w:val="24"/>
                <w:highlight w:val="none"/>
                <w:lang w:val="en-US" w:eastAsia="zh-CN"/>
              </w:rPr>
              <w:tab/>
            </w:r>
          </w:p>
          <w:p w14:paraId="6B4AEAD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9）获取终端对称密钥更新数据</w:t>
            </w:r>
            <w:r>
              <w:rPr>
                <w:rFonts w:hint="eastAsia" w:ascii="仿宋_GB2312" w:hAnsi="仿宋_GB2312" w:eastAsia="仿宋_GB2312" w:cs="仿宋_GB2312"/>
                <w:color w:val="auto"/>
                <w:sz w:val="24"/>
                <w:highlight w:val="none"/>
                <w:lang w:val="en-US" w:eastAsia="zh-CN"/>
              </w:rPr>
              <w:tab/>
            </w:r>
          </w:p>
          <w:p w14:paraId="610F8B6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10）获取终端证书和私钥更新数据</w:t>
            </w:r>
            <w:r>
              <w:rPr>
                <w:rFonts w:hint="eastAsia" w:ascii="仿宋_GB2312" w:hAnsi="仿宋_GB2312" w:eastAsia="仿宋_GB2312" w:cs="仿宋_GB2312"/>
                <w:color w:val="auto"/>
                <w:sz w:val="24"/>
                <w:highlight w:val="none"/>
                <w:lang w:val="en-US" w:eastAsia="zh-CN"/>
              </w:rPr>
              <w:tab/>
            </w:r>
          </w:p>
          <w:p w14:paraId="6C8077C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11）获取主站证书更新数据</w:t>
            </w:r>
            <w:r>
              <w:rPr>
                <w:rFonts w:hint="eastAsia" w:ascii="仿宋_GB2312" w:hAnsi="仿宋_GB2312" w:eastAsia="仿宋_GB2312" w:cs="仿宋_GB2312"/>
                <w:color w:val="auto"/>
                <w:sz w:val="24"/>
                <w:highlight w:val="none"/>
                <w:lang w:val="en-US" w:eastAsia="zh-CN"/>
              </w:rPr>
              <w:tab/>
            </w:r>
          </w:p>
          <w:p w14:paraId="114E6BC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12）初始化电量</w:t>
            </w:r>
            <w:r>
              <w:rPr>
                <w:rFonts w:hint="eastAsia" w:ascii="仿宋_GB2312" w:hAnsi="仿宋_GB2312" w:eastAsia="仿宋_GB2312" w:cs="仿宋_GB2312"/>
                <w:color w:val="auto"/>
                <w:sz w:val="24"/>
                <w:highlight w:val="none"/>
                <w:lang w:val="en-US" w:eastAsia="zh-CN"/>
              </w:rPr>
              <w:tab/>
            </w:r>
          </w:p>
          <w:p w14:paraId="2FF2729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13）电量开户/充值</w:t>
            </w:r>
            <w:r>
              <w:rPr>
                <w:rFonts w:hint="eastAsia" w:ascii="仿宋_GB2312" w:hAnsi="仿宋_GB2312" w:eastAsia="仿宋_GB2312" w:cs="仿宋_GB2312"/>
                <w:color w:val="auto"/>
                <w:sz w:val="24"/>
                <w:highlight w:val="none"/>
                <w:lang w:val="en-US" w:eastAsia="zh-CN"/>
              </w:rPr>
              <w:tab/>
            </w:r>
          </w:p>
          <w:p w14:paraId="3343EAC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14）电量退费</w:t>
            </w:r>
            <w:r>
              <w:rPr>
                <w:rFonts w:hint="eastAsia" w:ascii="仿宋_GB2312" w:hAnsi="仿宋_GB2312" w:eastAsia="仿宋_GB2312" w:cs="仿宋_GB2312"/>
                <w:color w:val="auto"/>
                <w:sz w:val="24"/>
                <w:highlight w:val="none"/>
                <w:lang w:val="en-US" w:eastAsia="zh-CN"/>
              </w:rPr>
              <w:tab/>
            </w:r>
          </w:p>
          <w:p w14:paraId="7B20EC8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15）参数信息文件更新</w:t>
            </w:r>
            <w:r>
              <w:rPr>
                <w:rFonts w:hint="eastAsia" w:ascii="仿宋_GB2312" w:hAnsi="仿宋_GB2312" w:eastAsia="仿宋_GB2312" w:cs="仿宋_GB2312"/>
                <w:color w:val="auto"/>
                <w:sz w:val="24"/>
                <w:highlight w:val="none"/>
                <w:lang w:val="en-US" w:eastAsia="zh-CN"/>
              </w:rPr>
              <w:tab/>
            </w:r>
          </w:p>
          <w:p w14:paraId="07892B5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16）获取主站随机数</w:t>
            </w:r>
            <w:r>
              <w:rPr>
                <w:rFonts w:hint="eastAsia" w:ascii="仿宋_GB2312" w:hAnsi="仿宋_GB2312" w:eastAsia="仿宋_GB2312" w:cs="仿宋_GB2312"/>
                <w:color w:val="auto"/>
                <w:sz w:val="24"/>
                <w:highlight w:val="none"/>
                <w:lang w:val="en-US" w:eastAsia="zh-CN"/>
              </w:rPr>
              <w:tab/>
            </w:r>
          </w:p>
          <w:p w14:paraId="6FF29FF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17）抄读数据验证</w:t>
            </w:r>
            <w:r>
              <w:rPr>
                <w:rFonts w:hint="eastAsia" w:ascii="仿宋_GB2312" w:hAnsi="仿宋_GB2312" w:eastAsia="仿宋_GB2312" w:cs="仿宋_GB2312"/>
                <w:color w:val="auto"/>
                <w:sz w:val="24"/>
                <w:highlight w:val="none"/>
                <w:lang w:val="en-US" w:eastAsia="zh-CN"/>
              </w:rPr>
              <w:tab/>
            </w:r>
          </w:p>
          <w:p w14:paraId="04ECE12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18）终端上报数据验证</w:t>
            </w:r>
            <w:r>
              <w:rPr>
                <w:rFonts w:hint="eastAsia" w:ascii="仿宋_GB2312" w:hAnsi="仿宋_GB2312" w:eastAsia="仿宋_GB2312" w:cs="仿宋_GB2312"/>
                <w:color w:val="auto"/>
                <w:sz w:val="24"/>
                <w:highlight w:val="none"/>
                <w:lang w:val="en-US" w:eastAsia="zh-CN"/>
              </w:rPr>
              <w:tab/>
            </w:r>
          </w:p>
          <w:p w14:paraId="316A9276">
            <w:pPr>
              <w:widowControl w:val="0"/>
              <w:spacing w:line="240" w:lineRule="atLeast"/>
              <w:jc w:val="left"/>
              <w:rPr>
                <w:rFonts w:hint="eastAsia" w:ascii="仿宋_GB2312" w:hAnsi="仿宋_GB2312" w:eastAsia="仿宋_GB2312" w:cs="仿宋_GB2312"/>
                <w:lang w:val="en-US" w:eastAsia="zh-CN"/>
              </w:rPr>
            </w:pPr>
            <w:r>
              <w:rPr>
                <w:rFonts w:hint="eastAsia" w:ascii="仿宋_GB2312" w:hAnsi="仿宋_GB2312" w:eastAsia="仿宋_GB2312" w:cs="仿宋_GB2312"/>
                <w:color w:val="auto"/>
                <w:sz w:val="24"/>
                <w:highlight w:val="none"/>
                <w:lang w:val="en-US" w:eastAsia="zh-CN"/>
              </w:rPr>
              <w:t>19）获取终端上报返回数据</w:t>
            </w:r>
          </w:p>
        </w:tc>
      </w:tr>
    </w:tbl>
    <w:p w14:paraId="43AE93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highlight w:val="none"/>
          <w:lang w:val="en-US" w:eastAsia="zh-CN"/>
        </w:rPr>
        <w:t>新型电鸿智能网关电能表安全芯片开发套件技术规范</w:t>
      </w:r>
    </w:p>
    <w:tbl>
      <w:tblPr>
        <w:tblStyle w:val="9"/>
        <w:tblW w:w="4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1995"/>
        <w:gridCol w:w="4610"/>
      </w:tblGrid>
      <w:tr w14:paraId="674F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287D3AFC">
            <w:pPr>
              <w:widowControl w:val="0"/>
              <w:spacing w:line="240" w:lineRule="atLeas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299" w:type="pct"/>
            <w:noWrap w:val="0"/>
            <w:vAlign w:val="center"/>
          </w:tcPr>
          <w:p w14:paraId="6E48F92D">
            <w:pPr>
              <w:widowControl w:val="0"/>
              <w:spacing w:line="240" w:lineRule="atLeas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指标名称</w:t>
            </w:r>
          </w:p>
        </w:tc>
        <w:tc>
          <w:tcPr>
            <w:tcW w:w="3002" w:type="pct"/>
            <w:noWrap w:val="0"/>
            <w:vAlign w:val="center"/>
          </w:tcPr>
          <w:p w14:paraId="302EBE3B">
            <w:pPr>
              <w:widowControl w:val="0"/>
              <w:spacing w:line="240" w:lineRule="atLeas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参数要求</w:t>
            </w:r>
          </w:p>
        </w:tc>
      </w:tr>
      <w:tr w14:paraId="4C29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0FDF38A1">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1</w:t>
            </w:r>
          </w:p>
        </w:tc>
        <w:tc>
          <w:tcPr>
            <w:tcW w:w="1299" w:type="pct"/>
            <w:noWrap w:val="0"/>
            <w:vAlign w:val="center"/>
          </w:tcPr>
          <w:p w14:paraId="3E4560D4">
            <w:pPr>
              <w:widowControl w:val="0"/>
              <w:spacing w:line="240" w:lineRule="atLeast"/>
              <w:jc w:val="both"/>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新型电鸿智能网关电能表计量单元安全芯片</w:t>
            </w:r>
          </w:p>
        </w:tc>
        <w:tc>
          <w:tcPr>
            <w:tcW w:w="3002" w:type="pct"/>
            <w:noWrap w:val="0"/>
            <w:vAlign w:val="center"/>
          </w:tcPr>
          <w:p w14:paraId="265046BB">
            <w:pPr>
              <w:widowControl w:val="0"/>
              <w:numPr>
                <w:ilvl w:val="0"/>
                <w:numId w:val="2"/>
              </w:numPr>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通信接口：7816</w:t>
            </w:r>
          </w:p>
          <w:p w14:paraId="7F82ADBB">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b）</w:t>
            </w:r>
            <w:r>
              <w:rPr>
                <w:rFonts w:hint="eastAsia" w:ascii="仿宋_GB2312" w:hAnsi="仿宋_GB2312" w:eastAsia="仿宋_GB2312" w:cs="仿宋_GB2312"/>
                <w:color w:val="auto"/>
                <w:sz w:val="24"/>
                <w:highlight w:val="none"/>
                <w:lang w:val="en-US" w:eastAsia="zh-CN"/>
              </w:rPr>
              <w:t>存储空间：16K</w:t>
            </w:r>
          </w:p>
          <w:p w14:paraId="714AEF6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c）</w:t>
            </w:r>
            <w:r>
              <w:rPr>
                <w:rFonts w:hint="eastAsia" w:ascii="仿宋_GB2312" w:hAnsi="仿宋_GB2312" w:eastAsia="仿宋_GB2312" w:cs="仿宋_GB2312"/>
                <w:color w:val="auto"/>
                <w:sz w:val="24"/>
                <w:highlight w:val="none"/>
                <w:lang w:val="en-US" w:eastAsia="zh-CN"/>
              </w:rPr>
              <w:t>工作电压：2.7-5.5V</w:t>
            </w:r>
          </w:p>
          <w:p w14:paraId="5B7D5453">
            <w:pPr>
              <w:widowControl w:val="0"/>
              <w:spacing w:line="240" w:lineRule="atLeast"/>
              <w:jc w:val="left"/>
              <w:rPr>
                <w:rFonts w:hint="default"/>
                <w:lang w:val="en-US"/>
              </w:rPr>
            </w:pPr>
            <w:r>
              <w:rPr>
                <w:rFonts w:hint="eastAsia" w:ascii="仿宋_GB2312" w:hAnsi="仿宋_GB2312" w:eastAsia="仿宋_GB2312" w:cs="仿宋_GB2312"/>
                <w:color w:val="auto"/>
                <w:sz w:val="24"/>
                <w:highlight w:val="none"/>
                <w:lang w:val="en-US" w:eastAsia="zh-CN"/>
              </w:rPr>
              <w:t>d</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工作电压：2.7-5.5V</w:t>
            </w:r>
          </w:p>
          <w:p w14:paraId="70B40B62">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lang w:val="en-US" w:eastAsia="zh-CN"/>
              </w:rPr>
              <w:t>e</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支持的算法：SM1</w:t>
            </w:r>
          </w:p>
          <w:p w14:paraId="27E837F6">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lang w:val="en-US" w:eastAsia="zh-CN"/>
              </w:rPr>
              <w:t>f</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封装：SOP14</w:t>
            </w:r>
          </w:p>
          <w:p w14:paraId="2BB8483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g</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支持的协议：南方电网网关电能表</w:t>
            </w:r>
            <w:r>
              <w:rPr>
                <w:rFonts w:hint="eastAsia" w:ascii="仿宋_GB2312" w:hAnsi="仿宋_GB2312" w:eastAsia="仿宋_GB2312" w:cs="仿宋_GB2312"/>
                <w:color w:val="auto"/>
                <w:sz w:val="24"/>
                <w:highlight w:val="none"/>
              </w:rPr>
              <w:t>《费控电能表信息交换安全认证技术要求》</w:t>
            </w:r>
          </w:p>
          <w:p w14:paraId="7E1032B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h</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管脚定义：</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836"/>
              <w:gridCol w:w="760"/>
              <w:gridCol w:w="681"/>
              <w:gridCol w:w="778"/>
              <w:gridCol w:w="705"/>
            </w:tblGrid>
            <w:tr w14:paraId="354FB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345E1FC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引脚号</w:t>
                  </w:r>
                </w:p>
              </w:tc>
              <w:tc>
                <w:tcPr>
                  <w:tcW w:w="1261" w:type="dxa"/>
                  <w:noWrap w:val="0"/>
                  <w:vAlign w:val="top"/>
                </w:tcPr>
                <w:p w14:paraId="7C730C4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引脚定义</w:t>
                  </w:r>
                </w:p>
              </w:tc>
              <w:tc>
                <w:tcPr>
                  <w:tcW w:w="1259" w:type="dxa"/>
                  <w:noWrap w:val="0"/>
                  <w:vAlign w:val="top"/>
                </w:tcPr>
                <w:p w14:paraId="72BC658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引脚说明</w:t>
                  </w:r>
                </w:p>
              </w:tc>
              <w:tc>
                <w:tcPr>
                  <w:tcW w:w="1051" w:type="dxa"/>
                  <w:noWrap w:val="0"/>
                  <w:vAlign w:val="top"/>
                </w:tcPr>
                <w:p w14:paraId="12668DA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引脚号</w:t>
                  </w:r>
                </w:p>
              </w:tc>
              <w:tc>
                <w:tcPr>
                  <w:tcW w:w="1109" w:type="dxa"/>
                  <w:noWrap w:val="0"/>
                  <w:vAlign w:val="top"/>
                </w:tcPr>
                <w:p w14:paraId="6560139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引脚定义</w:t>
                  </w:r>
                </w:p>
              </w:tc>
              <w:tc>
                <w:tcPr>
                  <w:tcW w:w="1112" w:type="dxa"/>
                  <w:noWrap w:val="0"/>
                  <w:vAlign w:val="top"/>
                </w:tcPr>
                <w:p w14:paraId="71FC827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引脚说明</w:t>
                  </w:r>
                </w:p>
              </w:tc>
            </w:tr>
            <w:tr w14:paraId="0C87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2D9B133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w:t>
                  </w:r>
                </w:p>
              </w:tc>
              <w:tc>
                <w:tcPr>
                  <w:tcW w:w="1261" w:type="dxa"/>
                  <w:noWrap w:val="0"/>
                  <w:vAlign w:val="top"/>
                </w:tcPr>
                <w:p w14:paraId="388B1E1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GND</w:t>
                  </w:r>
                </w:p>
              </w:tc>
              <w:tc>
                <w:tcPr>
                  <w:tcW w:w="1259" w:type="dxa"/>
                  <w:noWrap w:val="0"/>
                  <w:vAlign w:val="top"/>
                </w:tcPr>
                <w:p w14:paraId="16D75D2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地</w:t>
                  </w:r>
                </w:p>
              </w:tc>
              <w:tc>
                <w:tcPr>
                  <w:tcW w:w="1051" w:type="dxa"/>
                  <w:noWrap w:val="0"/>
                  <w:vAlign w:val="top"/>
                </w:tcPr>
                <w:p w14:paraId="6869845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14</w:t>
                  </w:r>
                </w:p>
              </w:tc>
              <w:tc>
                <w:tcPr>
                  <w:tcW w:w="1109" w:type="dxa"/>
                  <w:noWrap w:val="0"/>
                  <w:vAlign w:val="top"/>
                </w:tcPr>
                <w:p w14:paraId="5E037AC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VCC</w:t>
                  </w:r>
                </w:p>
              </w:tc>
              <w:tc>
                <w:tcPr>
                  <w:tcW w:w="1112" w:type="dxa"/>
                  <w:noWrap w:val="0"/>
                  <w:vAlign w:val="top"/>
                </w:tcPr>
                <w:p w14:paraId="761B5C6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电源</w:t>
                  </w:r>
                </w:p>
              </w:tc>
            </w:tr>
            <w:tr w14:paraId="035E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6277AE2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w:t>
                  </w:r>
                </w:p>
              </w:tc>
              <w:tc>
                <w:tcPr>
                  <w:tcW w:w="1261" w:type="dxa"/>
                  <w:noWrap w:val="0"/>
                  <w:vAlign w:val="top"/>
                </w:tcPr>
                <w:p w14:paraId="7CA6F0F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259" w:type="dxa"/>
                  <w:noWrap w:val="0"/>
                  <w:vAlign w:val="top"/>
                </w:tcPr>
                <w:p w14:paraId="099A3F5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c>
                <w:tcPr>
                  <w:tcW w:w="1051" w:type="dxa"/>
                  <w:noWrap w:val="0"/>
                  <w:vAlign w:val="top"/>
                </w:tcPr>
                <w:p w14:paraId="1DA1D13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13</w:t>
                  </w:r>
                </w:p>
              </w:tc>
              <w:tc>
                <w:tcPr>
                  <w:tcW w:w="1109" w:type="dxa"/>
                  <w:noWrap w:val="0"/>
                  <w:vAlign w:val="top"/>
                </w:tcPr>
                <w:p w14:paraId="7C6894E0">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RST</w:t>
                  </w:r>
                </w:p>
              </w:tc>
              <w:tc>
                <w:tcPr>
                  <w:tcW w:w="1112" w:type="dxa"/>
                  <w:noWrap w:val="0"/>
                  <w:vAlign w:val="top"/>
                </w:tcPr>
                <w:p w14:paraId="79A0359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复位</w:t>
                  </w:r>
                </w:p>
              </w:tc>
            </w:tr>
            <w:tr w14:paraId="3AD1A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25DA171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w:t>
                  </w:r>
                </w:p>
              </w:tc>
              <w:tc>
                <w:tcPr>
                  <w:tcW w:w="1261" w:type="dxa"/>
                  <w:noWrap w:val="0"/>
                  <w:vAlign w:val="top"/>
                </w:tcPr>
                <w:p w14:paraId="3561D5D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I/O</w:t>
                  </w:r>
                </w:p>
              </w:tc>
              <w:tc>
                <w:tcPr>
                  <w:tcW w:w="1259" w:type="dxa"/>
                  <w:noWrap w:val="0"/>
                  <w:vAlign w:val="top"/>
                </w:tcPr>
                <w:p w14:paraId="71AC44B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输入/输出</w:t>
                  </w:r>
                </w:p>
              </w:tc>
              <w:tc>
                <w:tcPr>
                  <w:tcW w:w="1051" w:type="dxa"/>
                  <w:noWrap w:val="0"/>
                  <w:vAlign w:val="top"/>
                </w:tcPr>
                <w:p w14:paraId="7FF1C0F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12</w:t>
                  </w:r>
                </w:p>
              </w:tc>
              <w:tc>
                <w:tcPr>
                  <w:tcW w:w="1109" w:type="dxa"/>
                  <w:noWrap w:val="0"/>
                  <w:vAlign w:val="top"/>
                </w:tcPr>
                <w:p w14:paraId="0FE52D4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CLK</w:t>
                  </w:r>
                </w:p>
              </w:tc>
              <w:tc>
                <w:tcPr>
                  <w:tcW w:w="1112" w:type="dxa"/>
                  <w:noWrap w:val="0"/>
                  <w:vAlign w:val="top"/>
                </w:tcPr>
                <w:p w14:paraId="76BE419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时钟</w:t>
                  </w:r>
                </w:p>
              </w:tc>
            </w:tr>
            <w:tr w14:paraId="36C7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0FD98EC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4</w:t>
                  </w:r>
                </w:p>
              </w:tc>
              <w:tc>
                <w:tcPr>
                  <w:tcW w:w="1261" w:type="dxa"/>
                  <w:noWrap w:val="0"/>
                  <w:vAlign w:val="top"/>
                </w:tcPr>
                <w:p w14:paraId="3222AC2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259" w:type="dxa"/>
                  <w:noWrap w:val="0"/>
                  <w:vAlign w:val="top"/>
                </w:tcPr>
                <w:p w14:paraId="7419FDB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c>
                <w:tcPr>
                  <w:tcW w:w="1051" w:type="dxa"/>
                  <w:noWrap w:val="0"/>
                  <w:vAlign w:val="top"/>
                </w:tcPr>
                <w:p w14:paraId="26E8667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11</w:t>
                  </w:r>
                </w:p>
              </w:tc>
              <w:tc>
                <w:tcPr>
                  <w:tcW w:w="1109" w:type="dxa"/>
                  <w:noWrap w:val="0"/>
                  <w:vAlign w:val="top"/>
                </w:tcPr>
                <w:p w14:paraId="1F7DD14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112" w:type="dxa"/>
                  <w:noWrap w:val="0"/>
                  <w:vAlign w:val="top"/>
                </w:tcPr>
                <w:p w14:paraId="1692BD3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r>
            <w:tr w14:paraId="3FD9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69D2EFA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5</w:t>
                  </w:r>
                </w:p>
              </w:tc>
              <w:tc>
                <w:tcPr>
                  <w:tcW w:w="1261" w:type="dxa"/>
                  <w:noWrap w:val="0"/>
                  <w:vAlign w:val="top"/>
                </w:tcPr>
                <w:p w14:paraId="1830155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259" w:type="dxa"/>
                  <w:noWrap w:val="0"/>
                  <w:vAlign w:val="top"/>
                </w:tcPr>
                <w:p w14:paraId="5E45014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c>
                <w:tcPr>
                  <w:tcW w:w="1051" w:type="dxa"/>
                  <w:noWrap w:val="0"/>
                  <w:vAlign w:val="top"/>
                </w:tcPr>
                <w:p w14:paraId="7A2A44A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10</w:t>
                  </w:r>
                </w:p>
              </w:tc>
              <w:tc>
                <w:tcPr>
                  <w:tcW w:w="1109" w:type="dxa"/>
                  <w:noWrap w:val="0"/>
                  <w:vAlign w:val="top"/>
                </w:tcPr>
                <w:p w14:paraId="16B7BCC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112" w:type="dxa"/>
                  <w:noWrap w:val="0"/>
                  <w:vAlign w:val="top"/>
                </w:tcPr>
                <w:p w14:paraId="2C51076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r>
            <w:tr w14:paraId="56F09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2337603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w:t>
                  </w:r>
                </w:p>
              </w:tc>
              <w:tc>
                <w:tcPr>
                  <w:tcW w:w="1261" w:type="dxa"/>
                  <w:noWrap w:val="0"/>
                  <w:vAlign w:val="top"/>
                </w:tcPr>
                <w:p w14:paraId="52BB8C9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259" w:type="dxa"/>
                  <w:noWrap w:val="0"/>
                  <w:vAlign w:val="top"/>
                </w:tcPr>
                <w:p w14:paraId="57FE3DF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c>
                <w:tcPr>
                  <w:tcW w:w="1051" w:type="dxa"/>
                  <w:noWrap w:val="0"/>
                  <w:vAlign w:val="top"/>
                </w:tcPr>
                <w:p w14:paraId="269186A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9</w:t>
                  </w:r>
                </w:p>
              </w:tc>
              <w:tc>
                <w:tcPr>
                  <w:tcW w:w="1109" w:type="dxa"/>
                  <w:noWrap w:val="0"/>
                  <w:vAlign w:val="top"/>
                </w:tcPr>
                <w:p w14:paraId="244EB8C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112" w:type="dxa"/>
                  <w:noWrap w:val="0"/>
                  <w:vAlign w:val="top"/>
                </w:tcPr>
                <w:p w14:paraId="6B98BD4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r>
            <w:tr w14:paraId="7CF57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top"/>
                </w:tcPr>
                <w:p w14:paraId="739AD23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w:t>
                  </w:r>
                </w:p>
              </w:tc>
              <w:tc>
                <w:tcPr>
                  <w:tcW w:w="1261" w:type="dxa"/>
                  <w:noWrap w:val="0"/>
                  <w:vAlign w:val="top"/>
                </w:tcPr>
                <w:p w14:paraId="3671A41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259" w:type="dxa"/>
                  <w:noWrap w:val="0"/>
                  <w:vAlign w:val="top"/>
                </w:tcPr>
                <w:p w14:paraId="78E226E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c>
                <w:tcPr>
                  <w:tcW w:w="1051" w:type="dxa"/>
                  <w:noWrap w:val="0"/>
                  <w:vAlign w:val="top"/>
                </w:tcPr>
                <w:p w14:paraId="6AE2D74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8</w:t>
                  </w:r>
                </w:p>
              </w:tc>
              <w:tc>
                <w:tcPr>
                  <w:tcW w:w="1109" w:type="dxa"/>
                  <w:noWrap w:val="0"/>
                  <w:vAlign w:val="top"/>
                </w:tcPr>
                <w:p w14:paraId="4440CF9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NC</w:t>
                  </w:r>
                </w:p>
              </w:tc>
              <w:tc>
                <w:tcPr>
                  <w:tcW w:w="1112" w:type="dxa"/>
                  <w:noWrap w:val="0"/>
                  <w:vAlign w:val="top"/>
                </w:tcPr>
                <w:p w14:paraId="790D7CA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空</w:t>
                  </w:r>
                </w:p>
              </w:tc>
            </w:tr>
          </w:tbl>
          <w:p w14:paraId="40F78317">
            <w:pPr>
              <w:widowControl w:val="0"/>
              <w:spacing w:line="240" w:lineRule="atLeast"/>
              <w:jc w:val="left"/>
              <w:rPr>
                <w:rFonts w:hint="eastAsia" w:ascii="仿宋_GB2312" w:hAnsi="仿宋_GB2312" w:eastAsia="仿宋_GB2312" w:cs="仿宋_GB2312"/>
                <w:color w:val="auto"/>
                <w:sz w:val="24"/>
                <w:highlight w:val="none"/>
              </w:rPr>
            </w:pPr>
          </w:p>
        </w:tc>
      </w:tr>
      <w:tr w14:paraId="2933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1A1B2443">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2</w:t>
            </w:r>
          </w:p>
        </w:tc>
        <w:tc>
          <w:tcPr>
            <w:tcW w:w="1299" w:type="pct"/>
            <w:noWrap w:val="0"/>
            <w:vAlign w:val="center"/>
          </w:tcPr>
          <w:p w14:paraId="0731784C">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新型电鸿智能网关电能表管理单元安全芯片</w:t>
            </w:r>
          </w:p>
        </w:tc>
        <w:tc>
          <w:tcPr>
            <w:tcW w:w="3002" w:type="pct"/>
            <w:noWrap w:val="0"/>
            <w:vAlign w:val="center"/>
          </w:tcPr>
          <w:p w14:paraId="7B4FDDB9">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lang w:val="en-US" w:eastAsia="zh-CN"/>
              </w:rPr>
              <w:t>a)通信接口：SPI</w:t>
            </w:r>
          </w:p>
          <w:p w14:paraId="73A302A9">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b）</w:t>
            </w:r>
            <w:r>
              <w:rPr>
                <w:rFonts w:hint="eastAsia" w:ascii="仿宋_GB2312" w:hAnsi="仿宋_GB2312" w:eastAsia="仿宋_GB2312" w:cs="仿宋_GB2312"/>
                <w:color w:val="auto"/>
                <w:sz w:val="24"/>
                <w:highlight w:val="none"/>
                <w:lang w:val="en-US" w:eastAsia="zh-CN"/>
              </w:rPr>
              <w:t>存储空间：32K</w:t>
            </w:r>
          </w:p>
          <w:p w14:paraId="52F548F1">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c）</w:t>
            </w:r>
            <w:r>
              <w:rPr>
                <w:rFonts w:hint="eastAsia" w:ascii="仿宋_GB2312" w:hAnsi="仿宋_GB2312" w:eastAsia="仿宋_GB2312" w:cs="仿宋_GB2312"/>
                <w:color w:val="auto"/>
                <w:sz w:val="24"/>
                <w:highlight w:val="none"/>
                <w:lang w:val="en-US" w:eastAsia="zh-CN"/>
              </w:rPr>
              <w:t>工作电压：2.7-5.5V</w:t>
            </w:r>
          </w:p>
          <w:p w14:paraId="5D23015A">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d）</w:t>
            </w:r>
            <w:r>
              <w:rPr>
                <w:rFonts w:hint="eastAsia" w:ascii="仿宋_GB2312" w:hAnsi="仿宋_GB2312" w:eastAsia="仿宋_GB2312" w:cs="仿宋_GB2312"/>
                <w:color w:val="auto"/>
                <w:sz w:val="24"/>
                <w:highlight w:val="none"/>
                <w:lang w:val="en-US" w:eastAsia="zh-CN"/>
              </w:rPr>
              <w:t>支持的算法：SM1\2\3\4</w:t>
            </w:r>
          </w:p>
          <w:p w14:paraId="03493141">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e）</w:t>
            </w:r>
            <w:r>
              <w:rPr>
                <w:rFonts w:hint="eastAsia" w:ascii="仿宋_GB2312" w:hAnsi="仿宋_GB2312" w:eastAsia="仿宋_GB2312" w:cs="仿宋_GB2312"/>
                <w:color w:val="auto"/>
                <w:sz w:val="24"/>
                <w:highlight w:val="none"/>
                <w:lang w:val="en-US" w:eastAsia="zh-CN"/>
              </w:rPr>
              <w:t>封装：SOIC8</w:t>
            </w:r>
          </w:p>
          <w:p w14:paraId="05BFAB59">
            <w:pPr>
              <w:widowControl w:val="0"/>
              <w:spacing w:line="240" w:lineRule="atLeast"/>
              <w:jc w:val="left"/>
              <w:rPr>
                <w:rFonts w:hint="default" w:ascii="仿宋_GB2312" w:hAnsi="仿宋_GB2312" w:eastAsia="仿宋_GB2312" w:cs="仿宋_GB2312"/>
                <w:color w:val="auto"/>
                <w:sz w:val="24"/>
                <w:highlight w:val="none"/>
                <w:lang w:val="en-US"/>
              </w:rPr>
            </w:pPr>
            <w:r>
              <w:rPr>
                <w:rFonts w:hint="eastAsia" w:ascii="仿宋_GB2312" w:hAnsi="仿宋_GB2312" w:eastAsia="仿宋_GB2312" w:cs="仿宋_GB2312"/>
                <w:color w:val="auto"/>
                <w:sz w:val="24"/>
                <w:highlight w:val="none"/>
              </w:rPr>
              <w:t>f）</w:t>
            </w:r>
            <w:r>
              <w:rPr>
                <w:rFonts w:hint="eastAsia" w:ascii="仿宋_GB2312" w:hAnsi="仿宋_GB2312" w:eastAsia="仿宋_GB2312" w:cs="仿宋_GB2312"/>
                <w:color w:val="auto"/>
                <w:sz w:val="24"/>
                <w:highlight w:val="none"/>
                <w:lang w:val="en-US" w:eastAsia="zh-CN"/>
              </w:rPr>
              <w:t>支持的协议：南方电网网关电能表</w:t>
            </w:r>
            <w:r>
              <w:rPr>
                <w:rFonts w:hint="eastAsia" w:ascii="仿宋_GB2312" w:hAnsi="仿宋_GB2312" w:eastAsia="仿宋_GB2312" w:cs="仿宋_GB2312"/>
                <w:color w:val="auto"/>
                <w:sz w:val="24"/>
                <w:highlight w:val="none"/>
              </w:rPr>
              <w:t>《费控电能表信息交换安全认证技术要求》</w:t>
            </w:r>
          </w:p>
          <w:p w14:paraId="0FE0EE2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g）管脚定义</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343"/>
              <w:gridCol w:w="2339"/>
            </w:tblGrid>
            <w:tr w14:paraId="4BB2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shd w:val="clear" w:color="auto" w:fill="CCCCCC"/>
                  <w:noWrap w:val="0"/>
                  <w:vAlign w:val="top"/>
                </w:tcPr>
                <w:p w14:paraId="2B16A500">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引脚号</w:t>
                  </w:r>
                </w:p>
              </w:tc>
              <w:tc>
                <w:tcPr>
                  <w:tcW w:w="1909" w:type="dxa"/>
                  <w:tcBorders>
                    <w:top w:val="single" w:color="auto" w:sz="4" w:space="0"/>
                    <w:left w:val="single" w:color="auto" w:sz="4" w:space="0"/>
                    <w:bottom w:val="single" w:color="auto" w:sz="4" w:space="0"/>
                    <w:right w:val="single" w:color="auto" w:sz="4" w:space="0"/>
                  </w:tcBorders>
                  <w:shd w:val="clear" w:color="auto" w:fill="CCCCCC"/>
                  <w:noWrap w:val="0"/>
                  <w:vAlign w:val="top"/>
                </w:tcPr>
                <w:p w14:paraId="7C51FE97">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引脚名</w:t>
                  </w:r>
                </w:p>
              </w:tc>
              <w:tc>
                <w:tcPr>
                  <w:tcW w:w="3778" w:type="dxa"/>
                  <w:tcBorders>
                    <w:top w:val="single" w:color="auto" w:sz="4" w:space="0"/>
                    <w:left w:val="single" w:color="auto" w:sz="4" w:space="0"/>
                    <w:bottom w:val="single" w:color="auto" w:sz="4" w:space="0"/>
                    <w:right w:val="single" w:color="auto" w:sz="4" w:space="0"/>
                  </w:tcBorders>
                  <w:shd w:val="clear" w:color="auto" w:fill="CCCCCC"/>
                  <w:noWrap w:val="0"/>
                  <w:vAlign w:val="top"/>
                </w:tcPr>
                <w:p w14:paraId="5316CA71">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功能描述</w:t>
                  </w:r>
                </w:p>
              </w:tc>
            </w:tr>
            <w:tr w14:paraId="60AD9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7DDCF42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44600D03">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GND</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1DD1FAB6">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w:t>
                  </w:r>
                </w:p>
              </w:tc>
            </w:tr>
            <w:tr w14:paraId="1438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1A47E28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2、7</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385A6EA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MOSI</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3B22FBA0">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主出从入，引脚2与7需外部短接</w:t>
                  </w:r>
                </w:p>
              </w:tc>
            </w:tr>
            <w:tr w14:paraId="4996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648F419E">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3、6</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49CF7188">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MISO</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626C9857">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主入从出，引脚3与6需外部短接</w:t>
                  </w:r>
                </w:p>
              </w:tc>
            </w:tr>
            <w:tr w14:paraId="7F84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4F127A4C">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4F9F794A">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SSN</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5C8D7B26">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片选</w:t>
                  </w:r>
                </w:p>
              </w:tc>
            </w:tr>
            <w:tr w14:paraId="161E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456C7D46">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257B7DA9">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SCK</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2A7206AE">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时钟</w:t>
                  </w:r>
                </w:p>
              </w:tc>
            </w:tr>
            <w:tr w14:paraId="368E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noWrap w:val="0"/>
                  <w:vAlign w:val="top"/>
                </w:tcPr>
                <w:p w14:paraId="6FBA7252">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w:t>
                  </w:r>
                </w:p>
              </w:tc>
              <w:tc>
                <w:tcPr>
                  <w:tcW w:w="1909" w:type="dxa"/>
                  <w:tcBorders>
                    <w:top w:val="single" w:color="auto" w:sz="4" w:space="0"/>
                    <w:left w:val="single" w:color="auto" w:sz="4" w:space="0"/>
                    <w:bottom w:val="single" w:color="auto" w:sz="4" w:space="0"/>
                    <w:right w:val="single" w:color="auto" w:sz="4" w:space="0"/>
                  </w:tcBorders>
                  <w:noWrap w:val="0"/>
                  <w:vAlign w:val="top"/>
                </w:tcPr>
                <w:p w14:paraId="192FA9D4">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VCC</w:t>
                  </w:r>
                </w:p>
              </w:tc>
              <w:tc>
                <w:tcPr>
                  <w:tcW w:w="3778" w:type="dxa"/>
                  <w:tcBorders>
                    <w:top w:val="single" w:color="auto" w:sz="4" w:space="0"/>
                    <w:left w:val="single" w:color="auto" w:sz="4" w:space="0"/>
                    <w:bottom w:val="single" w:color="auto" w:sz="4" w:space="0"/>
                    <w:right w:val="single" w:color="auto" w:sz="4" w:space="0"/>
                  </w:tcBorders>
                  <w:noWrap w:val="0"/>
                  <w:vAlign w:val="top"/>
                </w:tcPr>
                <w:p w14:paraId="7639281E">
                  <w:pPr>
                    <w:widowControl w:val="0"/>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电源</w:t>
                  </w:r>
                </w:p>
              </w:tc>
            </w:tr>
          </w:tbl>
          <w:p w14:paraId="4E0FB859">
            <w:pPr>
              <w:pStyle w:val="2"/>
              <w:widowControl w:val="0"/>
              <w:rPr>
                <w:rFonts w:hint="default"/>
                <w:lang w:val="en-US" w:eastAsia="zh-CN"/>
              </w:rPr>
            </w:pPr>
          </w:p>
        </w:tc>
      </w:tr>
      <w:tr w14:paraId="2F79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5CA2C008">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3</w:t>
            </w:r>
          </w:p>
        </w:tc>
        <w:tc>
          <w:tcPr>
            <w:tcW w:w="1299" w:type="pct"/>
            <w:noWrap w:val="0"/>
            <w:vAlign w:val="center"/>
          </w:tcPr>
          <w:p w14:paraId="3C431CE3">
            <w:pPr>
              <w:widowControl w:val="0"/>
              <w:spacing w:line="240" w:lineRule="atLeast"/>
              <w:jc w:val="both"/>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读卡器</w:t>
            </w:r>
          </w:p>
        </w:tc>
        <w:tc>
          <w:tcPr>
            <w:tcW w:w="3002" w:type="pct"/>
            <w:noWrap w:val="0"/>
            <w:vAlign w:val="center"/>
          </w:tcPr>
          <w:p w14:paraId="03E4B0B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a)符合PC/SC标准的接触式、非接触式和SAM卡界面</w:t>
            </w:r>
          </w:p>
          <w:p w14:paraId="448BE4E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b)支持CCID标准</w:t>
            </w:r>
          </w:p>
          <w:p w14:paraId="40BB8CF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c）支持Mifare 1K/4K卡的T=CL模拟功能</w:t>
            </w:r>
          </w:p>
          <w:p w14:paraId="50E9A5A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d）拥有内置的防撞功能（出现多张卡时，至少能检测到一张卡）</w:t>
            </w:r>
          </w:p>
          <w:p w14:paraId="5C7073B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e）支持符合ISO7816 T0标准的接触式智能卡</w:t>
            </w:r>
          </w:p>
          <w:p w14:paraId="1642F31A">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f)支持SPI协议的智能ESAM</w:t>
            </w:r>
          </w:p>
          <w:p w14:paraId="4B0AA17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g)ICC支持A类和B类卡，SAM仅支持B类卡。</w:t>
            </w:r>
          </w:p>
          <w:p w14:paraId="769A1B67">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h)性能参数</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0"/>
              <w:gridCol w:w="2514"/>
            </w:tblGrid>
            <w:tr w14:paraId="469E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shd w:val="clear" w:color="auto" w:fill="CCCCCC"/>
                  <w:noWrap w:val="0"/>
                  <w:vAlign w:val="top"/>
                </w:tcPr>
                <w:p w14:paraId="009CFA9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参数</w:t>
                  </w:r>
                </w:p>
              </w:tc>
              <w:tc>
                <w:tcPr>
                  <w:tcW w:w="4261" w:type="dxa"/>
                  <w:shd w:val="clear" w:color="auto" w:fill="CCCCCC"/>
                  <w:noWrap w:val="0"/>
                  <w:vAlign w:val="top"/>
                </w:tcPr>
                <w:p w14:paraId="077C728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指标</w:t>
                  </w:r>
                </w:p>
              </w:tc>
            </w:tr>
            <w:tr w14:paraId="05EA2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16079B1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谐振频率</w:t>
                  </w:r>
                </w:p>
              </w:tc>
              <w:tc>
                <w:tcPr>
                  <w:tcW w:w="4261" w:type="dxa"/>
                  <w:noWrap w:val="0"/>
                  <w:vAlign w:val="top"/>
                </w:tcPr>
                <w:p w14:paraId="25AE0E4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xml:space="preserve"> 13.56MHz ± 25KHz</w:t>
                  </w:r>
                </w:p>
              </w:tc>
            </w:tr>
            <w:tr w14:paraId="28F1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274406F">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非接触卡读写距离</w:t>
                  </w:r>
                </w:p>
              </w:tc>
              <w:tc>
                <w:tcPr>
                  <w:tcW w:w="4261" w:type="dxa"/>
                  <w:noWrap w:val="0"/>
                  <w:vAlign w:val="top"/>
                </w:tcPr>
                <w:p w14:paraId="3E744D08">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非接触Mifare卡   0 − 5 cm</w:t>
                  </w:r>
                </w:p>
                <w:p w14:paraId="462CE52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非接触CPU卡     0 − 3 cm</w:t>
                  </w:r>
                </w:p>
              </w:tc>
            </w:tr>
            <w:tr w14:paraId="0494E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1" w:type="dxa"/>
                  <w:noWrap w:val="0"/>
                  <w:vAlign w:val="top"/>
                </w:tcPr>
                <w:p w14:paraId="6A24BE2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天线</w:t>
                  </w:r>
                </w:p>
              </w:tc>
              <w:tc>
                <w:tcPr>
                  <w:tcW w:w="4261" w:type="dxa"/>
                  <w:noWrap w:val="0"/>
                  <w:vAlign w:val="top"/>
                </w:tcPr>
                <w:p w14:paraId="5A59A68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内置</w:t>
                  </w:r>
                </w:p>
              </w:tc>
            </w:tr>
            <w:tr w14:paraId="5B147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6B01509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取电方式</w:t>
                  </w:r>
                </w:p>
              </w:tc>
              <w:tc>
                <w:tcPr>
                  <w:tcW w:w="4261" w:type="dxa"/>
                  <w:noWrap w:val="0"/>
                  <w:vAlign w:val="top"/>
                </w:tcPr>
                <w:p w14:paraId="5BA35FCB">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USB 自取电</w:t>
                  </w:r>
                </w:p>
              </w:tc>
            </w:tr>
            <w:tr w14:paraId="4EF7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9CA37B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支持全速USB接口</w:t>
                  </w:r>
                </w:p>
              </w:tc>
              <w:tc>
                <w:tcPr>
                  <w:tcW w:w="4261" w:type="dxa"/>
                  <w:noWrap w:val="0"/>
                  <w:vAlign w:val="top"/>
                </w:tcPr>
                <w:p w14:paraId="2F73F13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12Mbps</w:t>
                  </w:r>
                </w:p>
              </w:tc>
            </w:tr>
            <w:tr w14:paraId="3E96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7333BE0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支持协议</w:t>
                  </w:r>
                </w:p>
              </w:tc>
              <w:tc>
                <w:tcPr>
                  <w:tcW w:w="4261" w:type="dxa"/>
                  <w:noWrap w:val="0"/>
                  <w:vAlign w:val="top"/>
                </w:tcPr>
                <w:p w14:paraId="5F26662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CCID协议</w:t>
                  </w:r>
                </w:p>
              </w:tc>
            </w:tr>
            <w:tr w14:paraId="660ED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4F2E249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通讯速率</w:t>
                  </w:r>
                </w:p>
              </w:tc>
              <w:tc>
                <w:tcPr>
                  <w:tcW w:w="4261" w:type="dxa"/>
                  <w:noWrap w:val="0"/>
                  <w:vAlign w:val="top"/>
                </w:tcPr>
                <w:p w14:paraId="4DBCB13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106k</w:t>
                  </w:r>
                </w:p>
              </w:tc>
            </w:tr>
            <w:tr w14:paraId="65D1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4D4BC79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无驱无软，支持热插拔</w:t>
                  </w:r>
                </w:p>
              </w:tc>
              <w:tc>
                <w:tcPr>
                  <w:tcW w:w="4261" w:type="dxa"/>
                  <w:noWrap w:val="0"/>
                  <w:vAlign w:val="top"/>
                </w:tcPr>
                <w:p w14:paraId="065C5C1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即插即用</w:t>
                  </w:r>
                </w:p>
              </w:tc>
            </w:tr>
            <w:tr w14:paraId="0103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690DD49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支持操作系统</w:t>
                  </w:r>
                </w:p>
              </w:tc>
              <w:tc>
                <w:tcPr>
                  <w:tcW w:w="4261" w:type="dxa"/>
                  <w:noWrap w:val="0"/>
                  <w:vAlign w:val="top"/>
                </w:tcPr>
                <w:p w14:paraId="608C6905">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XP/Vista/win 7/win 10/win 11</w:t>
                  </w:r>
                </w:p>
              </w:tc>
            </w:tr>
            <w:tr w14:paraId="4D019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4A3367D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工作电流</w:t>
                  </w:r>
                </w:p>
              </w:tc>
              <w:tc>
                <w:tcPr>
                  <w:tcW w:w="4261" w:type="dxa"/>
                  <w:noWrap w:val="0"/>
                  <w:vAlign w:val="top"/>
                </w:tcPr>
                <w:p w14:paraId="2549CA0C">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300mA</w:t>
                  </w:r>
                </w:p>
              </w:tc>
            </w:tr>
            <w:tr w14:paraId="5BAA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17E7A163">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工作电压</w:t>
                  </w:r>
                </w:p>
              </w:tc>
              <w:tc>
                <w:tcPr>
                  <w:tcW w:w="4261" w:type="dxa"/>
                  <w:noWrap w:val="0"/>
                  <w:vAlign w:val="top"/>
                </w:tcPr>
                <w:p w14:paraId="4F2C89E2">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DC 5V</w:t>
                  </w:r>
                </w:p>
              </w:tc>
            </w:tr>
            <w:tr w14:paraId="00407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CF87BE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外型尺寸（ H × W × D ）</w:t>
                  </w:r>
                </w:p>
              </w:tc>
              <w:tc>
                <w:tcPr>
                  <w:tcW w:w="4261" w:type="dxa"/>
                  <w:noWrap w:val="0"/>
                  <w:vAlign w:val="top"/>
                </w:tcPr>
                <w:p w14:paraId="3737B2A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30* 124 * 78（mm）</w:t>
                  </w:r>
                </w:p>
              </w:tc>
            </w:tr>
            <w:tr w14:paraId="54AA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C52A97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工作温度</w:t>
                  </w:r>
                </w:p>
              </w:tc>
              <w:tc>
                <w:tcPr>
                  <w:tcW w:w="4261" w:type="dxa"/>
                  <w:noWrap w:val="0"/>
                  <w:vAlign w:val="top"/>
                </w:tcPr>
                <w:p w14:paraId="132B6D7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0℃ ～ 50℃</w:t>
                  </w:r>
                </w:p>
              </w:tc>
            </w:tr>
            <w:tr w14:paraId="76EF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6BF32A2D">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工作湿度</w:t>
                  </w:r>
                </w:p>
              </w:tc>
              <w:tc>
                <w:tcPr>
                  <w:tcW w:w="4261" w:type="dxa"/>
                  <w:noWrap w:val="0"/>
                  <w:vAlign w:val="top"/>
                </w:tcPr>
                <w:p w14:paraId="5BFCF82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20 % ～ 90%</w:t>
                  </w:r>
                </w:p>
              </w:tc>
            </w:tr>
            <w:tr w14:paraId="4D01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4E4A03E">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平均无故障时间</w:t>
                  </w:r>
                </w:p>
              </w:tc>
              <w:tc>
                <w:tcPr>
                  <w:tcW w:w="4261" w:type="dxa"/>
                  <w:noWrap w:val="0"/>
                  <w:vAlign w:val="top"/>
                </w:tcPr>
                <w:p w14:paraId="122F2D9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5000 小时</w:t>
                  </w:r>
                </w:p>
              </w:tc>
            </w:tr>
            <w:tr w14:paraId="2758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1C96AEC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API 函数</w:t>
                  </w:r>
                </w:p>
              </w:tc>
              <w:tc>
                <w:tcPr>
                  <w:tcW w:w="4261" w:type="dxa"/>
                  <w:noWrap w:val="0"/>
                  <w:vAlign w:val="top"/>
                </w:tcPr>
                <w:p w14:paraId="1E76CDD9">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PC/SC 规范</w:t>
                  </w:r>
                </w:p>
              </w:tc>
            </w:tr>
            <w:tr w14:paraId="1B3DF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7C10038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LED 灯</w:t>
                  </w:r>
                </w:p>
              </w:tc>
              <w:tc>
                <w:tcPr>
                  <w:tcW w:w="4261" w:type="dxa"/>
                  <w:noWrap w:val="0"/>
                  <w:vAlign w:val="top"/>
                </w:tcPr>
                <w:p w14:paraId="4723DC74">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3个指示灯，指示电源和操作状态</w:t>
                  </w:r>
                </w:p>
              </w:tc>
            </w:tr>
            <w:tr w14:paraId="7AC2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05E98146">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蜂鸣器</w:t>
                  </w:r>
                </w:p>
              </w:tc>
              <w:tc>
                <w:tcPr>
                  <w:tcW w:w="4261" w:type="dxa"/>
                  <w:noWrap w:val="0"/>
                  <w:vAlign w:val="top"/>
                </w:tcPr>
                <w:p w14:paraId="2C021681">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1个，检测卡是否存在</w:t>
                  </w:r>
                </w:p>
              </w:tc>
            </w:tr>
          </w:tbl>
          <w:p w14:paraId="578B83E6">
            <w:pPr>
              <w:pStyle w:val="2"/>
              <w:widowControl w:val="0"/>
              <w:rPr>
                <w:rFonts w:hint="default"/>
                <w:lang w:val="en-US" w:eastAsia="zh-CN"/>
              </w:rPr>
            </w:pPr>
          </w:p>
        </w:tc>
      </w:tr>
      <w:tr w14:paraId="7064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pct"/>
            <w:noWrap w:val="0"/>
            <w:vAlign w:val="center"/>
          </w:tcPr>
          <w:p w14:paraId="5364629E">
            <w:pPr>
              <w:widowControl w:val="0"/>
              <w:spacing w:line="240" w:lineRule="atLeast"/>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4</w:t>
            </w:r>
          </w:p>
        </w:tc>
        <w:tc>
          <w:tcPr>
            <w:tcW w:w="1299" w:type="pct"/>
            <w:noWrap w:val="0"/>
            <w:vAlign w:val="center"/>
          </w:tcPr>
          <w:p w14:paraId="793F3BDF">
            <w:pPr>
              <w:widowControl w:val="0"/>
              <w:spacing w:line="240" w:lineRule="atLeast"/>
              <w:jc w:val="both"/>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配套接口库</w:t>
            </w:r>
          </w:p>
        </w:tc>
        <w:tc>
          <w:tcPr>
            <w:tcW w:w="3002" w:type="pct"/>
            <w:noWrap w:val="0"/>
            <w:vAlign w:val="center"/>
          </w:tcPr>
          <w:p w14:paraId="04D30EE5">
            <w:pPr>
              <w:widowControl w:val="0"/>
              <w:spacing w:line="240" w:lineRule="atLeast"/>
              <w:jc w:val="lef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按照南方电网网关电能表《费控电能表信息交换安全认证技术要求》开发对应的加密动态库，包含如下：</w:t>
            </w:r>
          </w:p>
          <w:p w14:paraId="4B919A6E">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w:t>
            </w:r>
            <w:r>
              <w:rPr>
                <w:rFonts w:hint="default" w:ascii="仿宋_GB2312" w:hAnsi="仿宋_GB2312" w:eastAsia="仿宋_GB2312" w:cs="仿宋_GB2312"/>
                <w:color w:val="auto"/>
                <w:sz w:val="24"/>
                <w:highlight w:val="none"/>
                <w:lang w:val="en-US" w:eastAsia="zh-CN"/>
              </w:rPr>
              <w:t>连接设备</w:t>
            </w:r>
          </w:p>
          <w:p w14:paraId="07EADB56">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w:t>
            </w:r>
            <w:r>
              <w:rPr>
                <w:rFonts w:hint="default" w:ascii="仿宋_GB2312" w:hAnsi="仿宋_GB2312" w:eastAsia="仿宋_GB2312" w:cs="仿宋_GB2312"/>
                <w:color w:val="auto"/>
                <w:sz w:val="24"/>
                <w:highlight w:val="none"/>
                <w:lang w:val="en-US" w:eastAsia="zh-CN"/>
              </w:rPr>
              <w:t>关闭连接设备</w:t>
            </w:r>
          </w:p>
          <w:p w14:paraId="0671A549">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w:t>
            </w:r>
            <w:r>
              <w:rPr>
                <w:rFonts w:hint="default" w:ascii="仿宋_GB2312" w:hAnsi="仿宋_GB2312" w:eastAsia="仿宋_GB2312" w:cs="仿宋_GB2312"/>
                <w:color w:val="auto"/>
                <w:sz w:val="24"/>
                <w:highlight w:val="none"/>
                <w:lang w:val="en-US" w:eastAsia="zh-CN"/>
              </w:rPr>
              <w:t>身份认证</w:t>
            </w:r>
          </w:p>
          <w:p w14:paraId="3F9D8DBC">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4）</w:t>
            </w:r>
            <w:r>
              <w:rPr>
                <w:rFonts w:hint="default" w:ascii="仿宋_GB2312" w:hAnsi="仿宋_GB2312" w:eastAsia="仿宋_GB2312" w:cs="仿宋_GB2312"/>
                <w:color w:val="auto"/>
                <w:sz w:val="24"/>
                <w:highlight w:val="none"/>
                <w:lang w:val="en-US" w:eastAsia="zh-CN"/>
              </w:rPr>
              <w:t>远程控制</w:t>
            </w:r>
          </w:p>
          <w:p w14:paraId="2E8E40D1">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5）</w:t>
            </w:r>
            <w:r>
              <w:rPr>
                <w:rFonts w:hint="default" w:ascii="仿宋_GB2312" w:hAnsi="仿宋_GB2312" w:eastAsia="仿宋_GB2312" w:cs="仿宋_GB2312"/>
                <w:color w:val="auto"/>
                <w:sz w:val="24"/>
                <w:highlight w:val="none"/>
                <w:lang w:val="en-US" w:eastAsia="zh-CN"/>
              </w:rPr>
              <w:t>参数信息更新</w:t>
            </w:r>
          </w:p>
          <w:p w14:paraId="371C32E1">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w:t>
            </w:r>
            <w:r>
              <w:rPr>
                <w:rFonts w:hint="default" w:ascii="仿宋_GB2312" w:hAnsi="仿宋_GB2312" w:eastAsia="仿宋_GB2312" w:cs="仿宋_GB2312"/>
                <w:color w:val="auto"/>
                <w:sz w:val="24"/>
                <w:highlight w:val="none"/>
                <w:lang w:val="en-US" w:eastAsia="zh-CN"/>
              </w:rPr>
              <w:t>二类参数更新</w:t>
            </w:r>
          </w:p>
          <w:p w14:paraId="2BEEF4CC">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7）</w:t>
            </w:r>
            <w:r>
              <w:rPr>
                <w:rFonts w:hint="default" w:ascii="仿宋_GB2312" w:hAnsi="仿宋_GB2312" w:eastAsia="仿宋_GB2312" w:cs="仿宋_GB2312"/>
                <w:color w:val="auto"/>
                <w:sz w:val="24"/>
                <w:highlight w:val="none"/>
                <w:lang w:val="en-US" w:eastAsia="zh-CN"/>
              </w:rPr>
              <w:t>密钥更新</w:t>
            </w:r>
          </w:p>
          <w:p w14:paraId="27CDFD57">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8）</w:t>
            </w:r>
            <w:r>
              <w:rPr>
                <w:rFonts w:hint="default" w:ascii="仿宋_GB2312" w:hAnsi="仿宋_GB2312" w:eastAsia="仿宋_GB2312" w:cs="仿宋_GB2312"/>
                <w:color w:val="auto"/>
                <w:sz w:val="24"/>
                <w:highlight w:val="none"/>
                <w:lang w:val="en-US" w:eastAsia="zh-CN"/>
              </w:rPr>
              <w:t>清零</w:t>
            </w:r>
          </w:p>
          <w:p w14:paraId="691ABCF3">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9）</w:t>
            </w:r>
            <w:r>
              <w:rPr>
                <w:rFonts w:hint="default" w:ascii="仿宋_GB2312" w:hAnsi="仿宋_GB2312" w:eastAsia="仿宋_GB2312" w:cs="仿宋_GB2312"/>
                <w:color w:val="auto"/>
                <w:sz w:val="24"/>
                <w:highlight w:val="none"/>
                <w:lang w:val="en-US" w:eastAsia="zh-CN"/>
              </w:rPr>
              <w:t>红外认证查询</w:t>
            </w:r>
          </w:p>
          <w:p w14:paraId="475FD41C">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10）</w:t>
            </w:r>
            <w:r>
              <w:rPr>
                <w:rFonts w:hint="default" w:ascii="仿宋_GB2312" w:hAnsi="仿宋_GB2312" w:eastAsia="仿宋_GB2312" w:cs="仿宋_GB2312"/>
                <w:color w:val="auto"/>
                <w:sz w:val="24"/>
                <w:highlight w:val="none"/>
                <w:lang w:val="en-US" w:eastAsia="zh-CN"/>
              </w:rPr>
              <w:t>红外认证</w:t>
            </w:r>
          </w:p>
          <w:p w14:paraId="117AD7B1">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11）</w:t>
            </w:r>
            <w:r>
              <w:rPr>
                <w:rFonts w:hint="default" w:ascii="仿宋_GB2312" w:hAnsi="仿宋_GB2312" w:eastAsia="仿宋_GB2312" w:cs="仿宋_GB2312"/>
                <w:color w:val="auto"/>
                <w:sz w:val="24"/>
                <w:highlight w:val="none"/>
                <w:lang w:val="en-US" w:eastAsia="zh-CN"/>
              </w:rPr>
              <w:t>数据回抄</w:t>
            </w:r>
          </w:p>
          <w:p w14:paraId="318F028E">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12）</w:t>
            </w:r>
            <w:r>
              <w:rPr>
                <w:rFonts w:hint="default" w:ascii="仿宋_GB2312" w:hAnsi="仿宋_GB2312" w:eastAsia="仿宋_GB2312" w:cs="仿宋_GB2312"/>
                <w:color w:val="auto"/>
                <w:sz w:val="24"/>
                <w:highlight w:val="none"/>
                <w:lang w:val="en-US" w:eastAsia="zh-CN"/>
              </w:rPr>
              <w:t>记录信息文件1更新</w:t>
            </w:r>
          </w:p>
          <w:p w14:paraId="4DFB3EDD">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13）</w:t>
            </w:r>
            <w:r>
              <w:rPr>
                <w:rFonts w:hint="default" w:ascii="仿宋_GB2312" w:hAnsi="仿宋_GB2312" w:eastAsia="仿宋_GB2312" w:cs="仿宋_GB2312"/>
                <w:color w:val="auto"/>
                <w:sz w:val="24"/>
                <w:highlight w:val="none"/>
                <w:lang w:val="en-US" w:eastAsia="zh-CN"/>
              </w:rPr>
              <w:t>记录信息文件2更新</w:t>
            </w:r>
          </w:p>
          <w:p w14:paraId="11F3AC58">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14）</w:t>
            </w:r>
            <w:r>
              <w:rPr>
                <w:rFonts w:hint="default" w:ascii="仿宋_GB2312" w:hAnsi="仿宋_GB2312" w:eastAsia="仿宋_GB2312" w:cs="仿宋_GB2312"/>
                <w:color w:val="auto"/>
                <w:sz w:val="24"/>
                <w:highlight w:val="none"/>
                <w:lang w:val="en-US" w:eastAsia="zh-CN"/>
              </w:rPr>
              <w:t>软件比对</w:t>
            </w:r>
          </w:p>
          <w:p w14:paraId="163475DD">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15）</w:t>
            </w:r>
            <w:r>
              <w:rPr>
                <w:rFonts w:hint="default" w:ascii="仿宋_GB2312" w:hAnsi="仿宋_GB2312" w:eastAsia="仿宋_GB2312" w:cs="仿宋_GB2312"/>
                <w:color w:val="auto"/>
                <w:sz w:val="24"/>
                <w:highlight w:val="none"/>
                <w:lang w:val="en-US" w:eastAsia="zh-CN"/>
              </w:rPr>
              <w:t>主站广播</w:t>
            </w:r>
          </w:p>
          <w:p w14:paraId="428902EB">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16）</w:t>
            </w:r>
            <w:r>
              <w:rPr>
                <w:rFonts w:hint="default" w:ascii="仿宋_GB2312" w:hAnsi="仿宋_GB2312" w:eastAsia="仿宋_GB2312" w:cs="仿宋_GB2312"/>
                <w:color w:val="auto"/>
                <w:sz w:val="24"/>
                <w:highlight w:val="none"/>
                <w:lang w:val="en-US" w:eastAsia="zh-CN"/>
              </w:rPr>
              <w:t>上报数据验证</w:t>
            </w:r>
          </w:p>
          <w:p w14:paraId="657A9E16">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17）</w:t>
            </w:r>
            <w:r>
              <w:rPr>
                <w:rFonts w:hint="default" w:ascii="仿宋_GB2312" w:hAnsi="仿宋_GB2312" w:eastAsia="仿宋_GB2312" w:cs="仿宋_GB2312"/>
                <w:color w:val="auto"/>
                <w:sz w:val="24"/>
                <w:highlight w:val="none"/>
                <w:lang w:val="en-US" w:eastAsia="zh-CN"/>
              </w:rPr>
              <w:t>上报返回数据计算</w:t>
            </w:r>
          </w:p>
          <w:p w14:paraId="1C10FFF5">
            <w:pPr>
              <w:widowControl w:val="0"/>
              <w:spacing w:line="240" w:lineRule="atLeast"/>
              <w:jc w:val="left"/>
              <w:rPr>
                <w:rFonts w:hint="default"/>
                <w:lang w:val="en-US" w:eastAsia="zh-CN"/>
              </w:rPr>
            </w:pPr>
            <w:r>
              <w:rPr>
                <w:rFonts w:hint="eastAsia" w:ascii="仿宋_GB2312" w:hAnsi="仿宋_GB2312" w:eastAsia="仿宋_GB2312" w:cs="仿宋_GB2312"/>
                <w:color w:val="auto"/>
                <w:sz w:val="24"/>
                <w:highlight w:val="none"/>
                <w:lang w:val="en-US" w:eastAsia="zh-CN"/>
              </w:rPr>
              <w:t>18）</w:t>
            </w:r>
            <w:r>
              <w:rPr>
                <w:rFonts w:hint="default" w:ascii="仿宋_GB2312" w:hAnsi="仿宋_GB2312" w:eastAsia="仿宋_GB2312" w:cs="仿宋_GB2312"/>
                <w:color w:val="auto"/>
                <w:sz w:val="24"/>
                <w:highlight w:val="none"/>
                <w:lang w:val="en-US" w:eastAsia="zh-CN"/>
              </w:rPr>
              <w:t>模拟终端广播</w:t>
            </w:r>
          </w:p>
        </w:tc>
      </w:tr>
    </w:tbl>
    <w:p w14:paraId="4A8F72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napToGrid/>
          <w:color w:val="auto"/>
          <w:kern w:val="2"/>
          <w:sz w:val="24"/>
          <w:szCs w:val="32"/>
          <w:highlight w:val="none"/>
          <w:lang w:val="en-US" w:eastAsia="zh-CN"/>
        </w:rPr>
      </w:pPr>
      <w:r>
        <w:rPr>
          <w:rFonts w:hint="eastAsia" w:ascii="仿宋_GB2312" w:hAnsi="仿宋_GB2312" w:eastAsia="仿宋_GB2312" w:cs="仿宋_GB2312"/>
          <w:snapToGrid/>
          <w:color w:val="auto"/>
          <w:kern w:val="2"/>
          <w:sz w:val="24"/>
          <w:szCs w:val="32"/>
          <w:lang w:val="en-US" w:eastAsia="zh-CN"/>
        </w:rPr>
        <w:br w:type="textWrapping"/>
      </w:r>
      <w:r>
        <w:rPr>
          <w:rFonts w:hint="eastAsia" w:ascii="仿宋_GB2312" w:hAnsi="仿宋_GB2312" w:eastAsia="仿宋_GB2312" w:cs="仿宋_GB2312"/>
          <w:snapToGrid/>
          <w:color w:val="auto"/>
          <w:kern w:val="2"/>
          <w:sz w:val="24"/>
          <w:szCs w:val="32"/>
          <w:highlight w:val="none"/>
          <w:lang w:val="en-US" w:eastAsia="zh-CN"/>
        </w:rPr>
        <w:tab/>
      </w:r>
      <w:r>
        <w:rPr>
          <w:rFonts w:hint="eastAsia" w:ascii="仿宋_GB2312" w:hAnsi="仿宋_GB2312" w:eastAsia="仿宋_GB2312" w:cs="仿宋_GB2312"/>
          <w:snapToGrid/>
          <w:color w:val="auto"/>
          <w:kern w:val="2"/>
          <w:sz w:val="24"/>
          <w:szCs w:val="32"/>
          <w:highlight w:val="none"/>
          <w:lang w:val="en-US" w:eastAsia="zh-CN"/>
        </w:rPr>
        <w:t>本项目为零星采购，有效期为自合同签订之日起六个月，项目概算金额4.2万元，按照《计量自动化终端安全芯片开发套件技术规范》代工2组套件、按照《新型电鸿智能网关电能表安全芯片开发套件技术规范》代工12组套件，安全芯片开发套件质保期为自验收合格之日起1年。</w:t>
      </w:r>
      <w:bookmarkStart w:id="0" w:name="_GoBack"/>
      <w:bookmarkEnd w:id="0"/>
    </w:p>
    <w:p w14:paraId="38178279">
      <w:pPr>
        <w:pStyle w:val="11"/>
        <w:rPr>
          <w:rFonts w:hint="eastAsia"/>
          <w:color w:val="auto"/>
          <w:highlight w:val="yellow"/>
        </w:rPr>
      </w:pPr>
    </w:p>
    <w:p w14:paraId="240F6A71">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auto"/>
          <w:sz w:val="28"/>
          <w:szCs w:val="36"/>
        </w:rPr>
      </w:pPr>
      <w:r>
        <w:rPr>
          <w:rFonts w:hint="eastAsia" w:ascii="宋体" w:hAnsi="宋体" w:eastAsia="宋体"/>
          <w:b/>
          <w:bCs/>
          <w:color w:val="auto"/>
          <w:sz w:val="28"/>
          <w:szCs w:val="36"/>
          <w:lang w:val="en-US" w:eastAsia="zh-CN"/>
        </w:rPr>
        <w:t>二、</w:t>
      </w:r>
      <w:r>
        <w:rPr>
          <w:rFonts w:hint="eastAsia" w:ascii="宋体" w:hAnsi="宋体" w:eastAsia="宋体"/>
          <w:b/>
          <w:bCs/>
          <w:color w:val="auto"/>
          <w:sz w:val="28"/>
          <w:szCs w:val="36"/>
        </w:rPr>
        <w:t>资格条件</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810"/>
      </w:tblGrid>
      <w:tr w14:paraId="4EE7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1EEF2F41">
            <w:pPr>
              <w:widowControl w:val="0"/>
              <w:numPr>
                <w:ilvl w:val="0"/>
                <w:numId w:val="0"/>
              </w:num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序号</w:t>
            </w:r>
          </w:p>
        </w:tc>
        <w:tc>
          <w:tcPr>
            <w:tcW w:w="4583" w:type="pct"/>
            <w:noWrap w:val="0"/>
            <w:vAlign w:val="top"/>
          </w:tcPr>
          <w:p w14:paraId="7EA4FE60">
            <w:pPr>
              <w:widowControl w:val="0"/>
              <w:numPr>
                <w:ilvl w:val="0"/>
                <w:numId w:val="0"/>
              </w:num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内容</w:t>
            </w:r>
          </w:p>
        </w:tc>
      </w:tr>
      <w:tr w14:paraId="0911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20ECFC99">
            <w:pPr>
              <w:widowControl w:val="0"/>
              <w:numPr>
                <w:ilvl w:val="0"/>
                <w:numId w:val="0"/>
              </w:numPr>
              <w:jc w:val="center"/>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1</w:t>
            </w:r>
          </w:p>
        </w:tc>
        <w:tc>
          <w:tcPr>
            <w:tcW w:w="4583" w:type="pct"/>
            <w:noWrap w:val="0"/>
            <w:vAlign w:val="top"/>
          </w:tcPr>
          <w:p w14:paraId="4B75EE45">
            <w:pPr>
              <w:widowControl w:val="0"/>
              <w:numPr>
                <w:ilvl w:val="0"/>
                <w:numId w:val="0"/>
              </w:numPr>
              <w:rPr>
                <w:rFonts w:hint="eastAsia" w:ascii="仿宋_GB2312" w:hAnsi="仿宋_GB2312" w:eastAsia="仿宋_GB2312" w:cs="仿宋_GB2312"/>
                <w:b w:val="0"/>
                <w:bCs w:val="0"/>
                <w:color w:val="auto"/>
                <w:sz w:val="24"/>
                <w:szCs w:val="32"/>
                <w:vertAlign w:val="baseline"/>
              </w:rPr>
            </w:pPr>
            <w:r>
              <w:rPr>
                <w:rFonts w:hint="eastAsia" w:ascii="仿宋_GB2312" w:hAnsi="仿宋_GB2312" w:eastAsia="仿宋_GB2312" w:cs="仿宋_GB2312"/>
                <w:b w:val="0"/>
                <w:bCs w:val="0"/>
                <w:color w:val="auto"/>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14:paraId="6EA8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22857C19">
            <w:pPr>
              <w:widowControl w:val="0"/>
              <w:numPr>
                <w:ilvl w:val="0"/>
                <w:numId w:val="0"/>
              </w:numPr>
              <w:jc w:val="center"/>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2</w:t>
            </w:r>
          </w:p>
        </w:tc>
        <w:tc>
          <w:tcPr>
            <w:tcW w:w="4583" w:type="pct"/>
            <w:noWrap w:val="0"/>
            <w:vAlign w:val="top"/>
          </w:tcPr>
          <w:p w14:paraId="1065D6E3">
            <w:pPr>
              <w:widowControl w:val="0"/>
              <w:numPr>
                <w:ilvl w:val="0"/>
                <w:numId w:val="0"/>
              </w:numPr>
              <w:rPr>
                <w:rFonts w:hint="eastAsia" w:ascii="仿宋_GB2312" w:hAnsi="仿宋_GB2312" w:eastAsia="仿宋_GB2312" w:cs="仿宋_GB2312"/>
                <w:b w:val="0"/>
                <w:bCs w:val="0"/>
                <w:color w:val="auto"/>
                <w:sz w:val="24"/>
                <w:szCs w:val="32"/>
                <w:vertAlign w:val="baseline"/>
              </w:rPr>
            </w:pPr>
            <w:r>
              <w:rPr>
                <w:rFonts w:hint="eastAsia" w:ascii="仿宋_GB2312" w:hAnsi="仿宋_GB2312" w:eastAsia="仿宋_GB2312" w:cs="仿宋_GB2312"/>
                <w:b w:val="0"/>
                <w:bCs w:val="0"/>
                <w:color w:val="auto"/>
                <w:sz w:val="24"/>
                <w:szCs w:val="32"/>
                <w:vertAlign w:val="baseline"/>
              </w:rPr>
              <w:t>单位负责人为同一人或者存在控股、管理关系的不同单位，不得同时参加报价；</w:t>
            </w:r>
          </w:p>
        </w:tc>
      </w:tr>
      <w:tr w14:paraId="50F8D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697FD071">
            <w:pPr>
              <w:widowControl w:val="0"/>
              <w:numPr>
                <w:ilvl w:val="0"/>
                <w:numId w:val="0"/>
              </w:numPr>
              <w:jc w:val="center"/>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3</w:t>
            </w:r>
          </w:p>
        </w:tc>
        <w:tc>
          <w:tcPr>
            <w:tcW w:w="4583" w:type="pct"/>
            <w:noWrap w:val="0"/>
            <w:vAlign w:val="top"/>
          </w:tcPr>
          <w:p w14:paraId="797CD832">
            <w:pPr>
              <w:widowControl w:val="0"/>
              <w:numPr>
                <w:ilvl w:val="0"/>
                <w:numId w:val="0"/>
              </w:numPr>
              <w:rPr>
                <w:rFonts w:hint="eastAsia" w:ascii="仿宋_GB2312" w:hAnsi="仿宋_GB2312" w:eastAsia="仿宋_GB2312" w:cs="仿宋_GB2312"/>
                <w:b w:val="0"/>
                <w:bCs w:val="0"/>
                <w:color w:val="auto"/>
                <w:sz w:val="24"/>
                <w:szCs w:val="32"/>
                <w:vertAlign w:val="baseline"/>
              </w:rPr>
            </w:pPr>
            <w:r>
              <w:rPr>
                <w:rFonts w:hint="eastAsia" w:ascii="仿宋_GB2312" w:hAnsi="仿宋_GB2312" w:eastAsia="仿宋_GB2312" w:cs="仿宋_GB2312"/>
                <w:b w:val="0"/>
                <w:bCs w:val="0"/>
                <w:color w:val="auto"/>
                <w:sz w:val="24"/>
                <w:szCs w:val="32"/>
                <w:vertAlign w:val="baseline"/>
              </w:rPr>
              <w:t>报价单位没有被中国南方电网有限责任公司暂停或取消其投标资格的。</w:t>
            </w:r>
          </w:p>
        </w:tc>
      </w:tr>
    </w:tbl>
    <w:p w14:paraId="320C9C9A">
      <w:pPr>
        <w:numPr>
          <w:ilvl w:val="0"/>
          <w:numId w:val="0"/>
        </w:numPr>
        <w:rPr>
          <w:rFonts w:hint="default" w:ascii="宋体" w:hAnsi="宋体" w:eastAsia="宋体"/>
          <w:b/>
          <w:bCs/>
          <w:color w:val="auto"/>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4"/>
      <w:suff w:val="space"/>
      <w:lvlText w:val="%1.%2"/>
      <w:lvlJc w:val="left"/>
      <w:pPr>
        <w:ind w:left="0" w:firstLine="0"/>
      </w:pPr>
      <w:rPr>
        <w:rFonts w:hint="default" w:ascii="Times New Roman" w:hAnsi="Times New Roman" w:eastAsia="宋体"/>
        <w:b w:val="0"/>
        <w:i w:val="0"/>
        <w:sz w:val="21"/>
      </w:rPr>
    </w:lvl>
    <w:lvl w:ilvl="2" w:tentative="0">
      <w:start w:val="12"/>
      <w:numFmt w:val="decimal"/>
      <w:pStyle w:val="5"/>
      <w:suff w:val="space"/>
      <w:lvlText w:val="%1.%2.%3 "/>
      <w:lvlJc w:val="left"/>
      <w:pPr>
        <w:ind w:left="284"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39D661BA"/>
    <w:multiLevelType w:val="singleLevel"/>
    <w:tmpl w:val="39D661BA"/>
    <w:lvl w:ilvl="0" w:tentative="0">
      <w:start w:val="1"/>
      <w:numFmt w:val="lowerLetter"/>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C2D44"/>
    <w:rsid w:val="00E83326"/>
    <w:rsid w:val="00E91852"/>
    <w:rsid w:val="01C81549"/>
    <w:rsid w:val="02554FB2"/>
    <w:rsid w:val="03B46ED9"/>
    <w:rsid w:val="055B3B66"/>
    <w:rsid w:val="058E4EA5"/>
    <w:rsid w:val="064A1761"/>
    <w:rsid w:val="06780FAB"/>
    <w:rsid w:val="06D41534"/>
    <w:rsid w:val="071C7E5F"/>
    <w:rsid w:val="07905320"/>
    <w:rsid w:val="088074B9"/>
    <w:rsid w:val="08890B54"/>
    <w:rsid w:val="08A46B7E"/>
    <w:rsid w:val="09012BD3"/>
    <w:rsid w:val="0955751E"/>
    <w:rsid w:val="095E1B17"/>
    <w:rsid w:val="09BA4874"/>
    <w:rsid w:val="09CD4F7A"/>
    <w:rsid w:val="0A247833"/>
    <w:rsid w:val="0AC53E0F"/>
    <w:rsid w:val="0B3E28FE"/>
    <w:rsid w:val="0C8B7A9C"/>
    <w:rsid w:val="0DC66D88"/>
    <w:rsid w:val="0DEE5871"/>
    <w:rsid w:val="0DFC0D88"/>
    <w:rsid w:val="0E4E309A"/>
    <w:rsid w:val="0F2F153E"/>
    <w:rsid w:val="108E4749"/>
    <w:rsid w:val="113E3458"/>
    <w:rsid w:val="120F1B19"/>
    <w:rsid w:val="12A3721F"/>
    <w:rsid w:val="12A42192"/>
    <w:rsid w:val="135375C3"/>
    <w:rsid w:val="137978B4"/>
    <w:rsid w:val="13814968"/>
    <w:rsid w:val="13B42C90"/>
    <w:rsid w:val="13EE74BE"/>
    <w:rsid w:val="13F82D30"/>
    <w:rsid w:val="142E3B2B"/>
    <w:rsid w:val="15532609"/>
    <w:rsid w:val="15996E27"/>
    <w:rsid w:val="15F45D6C"/>
    <w:rsid w:val="176F4492"/>
    <w:rsid w:val="17D50129"/>
    <w:rsid w:val="18101182"/>
    <w:rsid w:val="18565610"/>
    <w:rsid w:val="18E51432"/>
    <w:rsid w:val="1911682C"/>
    <w:rsid w:val="19B95D40"/>
    <w:rsid w:val="19FC1357"/>
    <w:rsid w:val="1A087F78"/>
    <w:rsid w:val="1A186D43"/>
    <w:rsid w:val="1A2D059E"/>
    <w:rsid w:val="1A610913"/>
    <w:rsid w:val="1AC8397F"/>
    <w:rsid w:val="1B1F0B0A"/>
    <w:rsid w:val="1B412344"/>
    <w:rsid w:val="1B5473DD"/>
    <w:rsid w:val="1B650A8B"/>
    <w:rsid w:val="1B751477"/>
    <w:rsid w:val="1BC77652"/>
    <w:rsid w:val="1C260C75"/>
    <w:rsid w:val="1C403981"/>
    <w:rsid w:val="1CA25D75"/>
    <w:rsid w:val="1DA72513"/>
    <w:rsid w:val="1DDF07A3"/>
    <w:rsid w:val="1EA71815"/>
    <w:rsid w:val="1EE86E63"/>
    <w:rsid w:val="1F1A0416"/>
    <w:rsid w:val="1F3211FE"/>
    <w:rsid w:val="201A2537"/>
    <w:rsid w:val="206B03A0"/>
    <w:rsid w:val="20C429D0"/>
    <w:rsid w:val="21495F3F"/>
    <w:rsid w:val="22185880"/>
    <w:rsid w:val="22343B10"/>
    <w:rsid w:val="228F6A51"/>
    <w:rsid w:val="22BA24C0"/>
    <w:rsid w:val="23431AEA"/>
    <w:rsid w:val="23F25437"/>
    <w:rsid w:val="242552B4"/>
    <w:rsid w:val="24A057BC"/>
    <w:rsid w:val="24D2144A"/>
    <w:rsid w:val="25CC0A1E"/>
    <w:rsid w:val="25CD1194"/>
    <w:rsid w:val="25D72B4E"/>
    <w:rsid w:val="265E0329"/>
    <w:rsid w:val="2670099D"/>
    <w:rsid w:val="26A06F6E"/>
    <w:rsid w:val="273D00F1"/>
    <w:rsid w:val="274403BD"/>
    <w:rsid w:val="286C74DE"/>
    <w:rsid w:val="29686D03"/>
    <w:rsid w:val="2A422CDA"/>
    <w:rsid w:val="2ABE3F93"/>
    <w:rsid w:val="2B02041C"/>
    <w:rsid w:val="2BC37160"/>
    <w:rsid w:val="2BE025AD"/>
    <w:rsid w:val="2BFE6AE3"/>
    <w:rsid w:val="2C5E380E"/>
    <w:rsid w:val="2D2E11B0"/>
    <w:rsid w:val="2DA54273"/>
    <w:rsid w:val="2E034121"/>
    <w:rsid w:val="2E97127C"/>
    <w:rsid w:val="2F8463E4"/>
    <w:rsid w:val="2FCE691E"/>
    <w:rsid w:val="30090737"/>
    <w:rsid w:val="30533046"/>
    <w:rsid w:val="30832044"/>
    <w:rsid w:val="30A226BE"/>
    <w:rsid w:val="30A722E1"/>
    <w:rsid w:val="30B24E77"/>
    <w:rsid w:val="310D1C85"/>
    <w:rsid w:val="312176B5"/>
    <w:rsid w:val="312C21FD"/>
    <w:rsid w:val="31611710"/>
    <w:rsid w:val="318232C0"/>
    <w:rsid w:val="31B47C77"/>
    <w:rsid w:val="324259A0"/>
    <w:rsid w:val="32DF1F4B"/>
    <w:rsid w:val="33030EB6"/>
    <w:rsid w:val="334E101F"/>
    <w:rsid w:val="33521EC0"/>
    <w:rsid w:val="33A8380B"/>
    <w:rsid w:val="33E2181E"/>
    <w:rsid w:val="3448372B"/>
    <w:rsid w:val="344B2560"/>
    <w:rsid w:val="35344697"/>
    <w:rsid w:val="35410CCD"/>
    <w:rsid w:val="35840EDB"/>
    <w:rsid w:val="35D74E22"/>
    <w:rsid w:val="35E54BA2"/>
    <w:rsid w:val="36BE5EAC"/>
    <w:rsid w:val="36E175BE"/>
    <w:rsid w:val="3760245A"/>
    <w:rsid w:val="37C13D08"/>
    <w:rsid w:val="38BA0CF6"/>
    <w:rsid w:val="3A256E29"/>
    <w:rsid w:val="3A323F34"/>
    <w:rsid w:val="3A717D6E"/>
    <w:rsid w:val="3B457E59"/>
    <w:rsid w:val="3BDE6B90"/>
    <w:rsid w:val="3BE802E5"/>
    <w:rsid w:val="3C050408"/>
    <w:rsid w:val="3C1D582B"/>
    <w:rsid w:val="3C75051A"/>
    <w:rsid w:val="3CC67D92"/>
    <w:rsid w:val="3D690EA2"/>
    <w:rsid w:val="3E3816FC"/>
    <w:rsid w:val="3E602803"/>
    <w:rsid w:val="3F310B59"/>
    <w:rsid w:val="3F3505BB"/>
    <w:rsid w:val="3F3533F4"/>
    <w:rsid w:val="403B5FBE"/>
    <w:rsid w:val="414D717A"/>
    <w:rsid w:val="41566D3D"/>
    <w:rsid w:val="42826579"/>
    <w:rsid w:val="42915696"/>
    <w:rsid w:val="443E41B9"/>
    <w:rsid w:val="45B90994"/>
    <w:rsid w:val="46BA0199"/>
    <w:rsid w:val="46F91E7C"/>
    <w:rsid w:val="47356E70"/>
    <w:rsid w:val="47841C7D"/>
    <w:rsid w:val="47964EC2"/>
    <w:rsid w:val="47A40956"/>
    <w:rsid w:val="486453C9"/>
    <w:rsid w:val="48F46C76"/>
    <w:rsid w:val="49314A3E"/>
    <w:rsid w:val="4AD551CD"/>
    <w:rsid w:val="4B234D52"/>
    <w:rsid w:val="4C741464"/>
    <w:rsid w:val="4C7E4397"/>
    <w:rsid w:val="4CDF47AB"/>
    <w:rsid w:val="4D1625A3"/>
    <w:rsid w:val="4D1976C6"/>
    <w:rsid w:val="4D583DE0"/>
    <w:rsid w:val="4EDF70BF"/>
    <w:rsid w:val="4F586138"/>
    <w:rsid w:val="4F974DC0"/>
    <w:rsid w:val="50496D46"/>
    <w:rsid w:val="504E6A51"/>
    <w:rsid w:val="50780C10"/>
    <w:rsid w:val="50D5692A"/>
    <w:rsid w:val="510C4885"/>
    <w:rsid w:val="513308B8"/>
    <w:rsid w:val="517B7BEB"/>
    <w:rsid w:val="527135D1"/>
    <w:rsid w:val="52C40EB5"/>
    <w:rsid w:val="540478B9"/>
    <w:rsid w:val="55955967"/>
    <w:rsid w:val="55A4276E"/>
    <w:rsid w:val="561C4BD2"/>
    <w:rsid w:val="56490020"/>
    <w:rsid w:val="570A74B7"/>
    <w:rsid w:val="571D387C"/>
    <w:rsid w:val="573726C7"/>
    <w:rsid w:val="57FA5FD2"/>
    <w:rsid w:val="58620690"/>
    <w:rsid w:val="587D0EF4"/>
    <w:rsid w:val="58B07537"/>
    <w:rsid w:val="58CA4480"/>
    <w:rsid w:val="597B335B"/>
    <w:rsid w:val="597F0492"/>
    <w:rsid w:val="59DF4762"/>
    <w:rsid w:val="59FF13B5"/>
    <w:rsid w:val="5A356DC6"/>
    <w:rsid w:val="5A866D10"/>
    <w:rsid w:val="5ABE39D6"/>
    <w:rsid w:val="5B74628A"/>
    <w:rsid w:val="5B84766C"/>
    <w:rsid w:val="5C1B076F"/>
    <w:rsid w:val="5C1D7900"/>
    <w:rsid w:val="5C4C447D"/>
    <w:rsid w:val="5CAB1AF3"/>
    <w:rsid w:val="5E6F75FB"/>
    <w:rsid w:val="5F6B351D"/>
    <w:rsid w:val="5F8B593B"/>
    <w:rsid w:val="5FD421CC"/>
    <w:rsid w:val="605640F3"/>
    <w:rsid w:val="60864543"/>
    <w:rsid w:val="60B27FA6"/>
    <w:rsid w:val="61231D78"/>
    <w:rsid w:val="6143039D"/>
    <w:rsid w:val="621A0401"/>
    <w:rsid w:val="62DF4795"/>
    <w:rsid w:val="62E87900"/>
    <w:rsid w:val="63C25D8B"/>
    <w:rsid w:val="63D964A6"/>
    <w:rsid w:val="652B3002"/>
    <w:rsid w:val="667015FB"/>
    <w:rsid w:val="677123B9"/>
    <w:rsid w:val="682676EC"/>
    <w:rsid w:val="68525C1F"/>
    <w:rsid w:val="68616311"/>
    <w:rsid w:val="68D30B09"/>
    <w:rsid w:val="68FA2F47"/>
    <w:rsid w:val="69F3740C"/>
    <w:rsid w:val="6A7875F5"/>
    <w:rsid w:val="6BD33AB5"/>
    <w:rsid w:val="6C1E27F0"/>
    <w:rsid w:val="6C23516A"/>
    <w:rsid w:val="6C2F15A9"/>
    <w:rsid w:val="6C9E1B12"/>
    <w:rsid w:val="6D5B238A"/>
    <w:rsid w:val="6D743A98"/>
    <w:rsid w:val="6D7F36B1"/>
    <w:rsid w:val="6DDD14CC"/>
    <w:rsid w:val="6E2C0996"/>
    <w:rsid w:val="6FC232BB"/>
    <w:rsid w:val="6FFA71FD"/>
    <w:rsid w:val="6FFB0F46"/>
    <w:rsid w:val="706459F2"/>
    <w:rsid w:val="706C5454"/>
    <w:rsid w:val="70DF607E"/>
    <w:rsid w:val="71A47476"/>
    <w:rsid w:val="71F75E09"/>
    <w:rsid w:val="72480D6B"/>
    <w:rsid w:val="725E1025"/>
    <w:rsid w:val="72FE3420"/>
    <w:rsid w:val="733F7E37"/>
    <w:rsid w:val="73994981"/>
    <w:rsid w:val="74EB70E0"/>
    <w:rsid w:val="75527D89"/>
    <w:rsid w:val="76B3570B"/>
    <w:rsid w:val="772067E2"/>
    <w:rsid w:val="772B3963"/>
    <w:rsid w:val="776D717F"/>
    <w:rsid w:val="77CE4501"/>
    <w:rsid w:val="78181816"/>
    <w:rsid w:val="78283CF7"/>
    <w:rsid w:val="78403E52"/>
    <w:rsid w:val="784142F4"/>
    <w:rsid w:val="788270D8"/>
    <w:rsid w:val="797152CB"/>
    <w:rsid w:val="7A4D2E53"/>
    <w:rsid w:val="7A525252"/>
    <w:rsid w:val="7A57526B"/>
    <w:rsid w:val="7A9B335A"/>
    <w:rsid w:val="7B653379"/>
    <w:rsid w:val="7C505989"/>
    <w:rsid w:val="7C7742F7"/>
    <w:rsid w:val="7D0E5A5A"/>
    <w:rsid w:val="7D496E5F"/>
    <w:rsid w:val="7DB0182A"/>
    <w:rsid w:val="7DFF25D6"/>
    <w:rsid w:val="7E205111"/>
    <w:rsid w:val="7EA448D3"/>
    <w:rsid w:val="7EE70AFA"/>
    <w:rsid w:val="7EFB575C"/>
    <w:rsid w:val="7F6D2FF3"/>
    <w:rsid w:val="7F8E0059"/>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2"/>
    <w:basedOn w:val="1"/>
    <w:next w:val="1"/>
    <w:qFormat/>
    <w:uiPriority w:val="0"/>
    <w:pPr>
      <w:keepLines/>
      <w:numPr>
        <w:ilvl w:val="1"/>
        <w:numId w:val="1"/>
      </w:numPr>
      <w:adjustRightInd w:val="0"/>
      <w:snapToGrid w:val="0"/>
      <w:spacing w:line="360" w:lineRule="auto"/>
      <w:outlineLvl w:val="1"/>
    </w:pPr>
    <w:rPr>
      <w:rFonts w:ascii="宋体" w:hAnsi="Times New Roman"/>
      <w:bCs/>
      <w:kern w:val="2"/>
      <w:sz w:val="21"/>
      <w:szCs w:val="21"/>
    </w:rPr>
  </w:style>
  <w:style w:type="paragraph" w:styleId="5">
    <w:name w:val="heading 3"/>
    <w:basedOn w:val="1"/>
    <w:next w:val="1"/>
    <w:qFormat/>
    <w:uiPriority w:val="0"/>
    <w:pPr>
      <w:numPr>
        <w:ilvl w:val="2"/>
        <w:numId w:val="1"/>
      </w:numPr>
      <w:tabs>
        <w:tab w:val="left" w:pos="1560"/>
      </w:tabs>
      <w:snapToGrid w:val="0"/>
      <w:spacing w:line="360" w:lineRule="auto"/>
      <w:outlineLvl w:val="2"/>
    </w:pPr>
    <w:rPr>
      <w:rFonts w:ascii="宋体" w:hAnsi="Times New Roman"/>
      <w:bCs/>
      <w:kern w:val="2"/>
      <w:sz w:val="21"/>
      <w:szCs w:val="21"/>
    </w:rPr>
  </w:style>
  <w:style w:type="paragraph" w:styleId="6">
    <w:name w:val="heading 5"/>
    <w:basedOn w:val="1"/>
    <w:next w:val="1"/>
    <w:qFormat/>
    <w:uiPriority w:val="0"/>
    <w:pPr>
      <w:tabs>
        <w:tab w:val="left" w:pos="800"/>
      </w:tabs>
      <w:outlineLvl w:val="4"/>
    </w:p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仿宋" w:hAnsi="仿宋" w:eastAsia="仿宋" w:cs="仿宋"/>
      <w:sz w:val="28"/>
      <w:szCs w:val="28"/>
      <w:lang w:val="en-US" w:eastAsia="en-US" w:bidi="ar-SA"/>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7">
    <w:name w:val="Normal Indent"/>
    <w:basedOn w:val="1"/>
    <w:qFormat/>
    <w:uiPriority w:val="0"/>
    <w:pPr>
      <w:ind w:firstLine="420" w:firstLine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character" w:customStyle="1" w:styleId="12">
    <w:name w:val="font21"/>
    <w:basedOn w:val="10"/>
    <w:qFormat/>
    <w:uiPriority w:val="0"/>
    <w:rPr>
      <w:rFonts w:hint="eastAsia" w:ascii="宋体" w:hAnsi="宋体" w:eastAsia="宋体" w:cs="宋体"/>
      <w:color w:val="000000"/>
      <w:sz w:val="21"/>
      <w:szCs w:val="21"/>
      <w:u w:val="none"/>
    </w:rPr>
  </w:style>
  <w:style w:type="character" w:customStyle="1" w:styleId="13">
    <w:name w:val="font31"/>
    <w:basedOn w:val="10"/>
    <w:qFormat/>
    <w:uiPriority w:val="0"/>
    <w:rPr>
      <w:rFonts w:hint="default" w:ascii="Arial" w:hAnsi="Arial" w:cs="Arial"/>
      <w:color w:val="000000"/>
      <w:sz w:val="21"/>
      <w:szCs w:val="21"/>
      <w:u w:val="none"/>
    </w:rPr>
  </w:style>
  <w:style w:type="character" w:customStyle="1" w:styleId="14">
    <w:name w:val="font61"/>
    <w:basedOn w:val="10"/>
    <w:qFormat/>
    <w:uiPriority w:val="0"/>
    <w:rPr>
      <w:rFonts w:ascii="Arial" w:hAnsi="Arial" w:cs="Arial"/>
      <w:color w:val="000000"/>
      <w:sz w:val="21"/>
      <w:szCs w:val="21"/>
      <w:u w:val="none"/>
    </w:rPr>
  </w:style>
  <w:style w:type="paragraph" w:customStyle="1" w:styleId="15">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
    <w:name w:val="font01"/>
    <w:basedOn w:val="10"/>
    <w:qFormat/>
    <w:uiPriority w:val="0"/>
    <w:rPr>
      <w:rFonts w:hint="eastAsia" w:ascii="宋体" w:hAnsi="宋体" w:eastAsia="宋体" w:cs="宋体"/>
      <w:color w:val="000000"/>
      <w:sz w:val="22"/>
      <w:szCs w:val="22"/>
      <w:u w:val="none"/>
    </w:rPr>
  </w:style>
  <w:style w:type="character" w:customStyle="1" w:styleId="17">
    <w:name w:val="font11"/>
    <w:basedOn w:val="10"/>
    <w:qFormat/>
    <w:uiPriority w:val="0"/>
    <w:rPr>
      <w:rFonts w:hint="eastAsia" w:ascii="宋体" w:hAnsi="宋体" w:eastAsia="宋体" w:cs="宋体"/>
      <w:color w:val="000000"/>
      <w:sz w:val="22"/>
      <w:szCs w:val="22"/>
      <w:u w:val="none"/>
    </w:rPr>
  </w:style>
  <w:style w:type="paragraph" w:customStyle="1" w:styleId="18">
    <w:name w:val="_Style 13"/>
    <w:qFormat/>
    <w:uiPriority w:val="0"/>
    <w:pPr>
      <w:spacing w:before="120" w:after="120" w:line="288" w:lineRule="auto"/>
      <w:ind w:left="0"/>
      <w:jc w:val="left"/>
    </w:pPr>
    <w:rPr>
      <w:rFonts w:ascii="Arial" w:hAnsi="Arial" w:eastAsia="等线" w:cs="Arial"/>
      <w:sz w:val="22"/>
      <w:szCs w:val="22"/>
    </w:rPr>
  </w:style>
  <w:style w:type="paragraph" w:customStyle="1" w:styleId="19">
    <w:name w:val="Other|1"/>
    <w:basedOn w:val="1"/>
    <w:qFormat/>
    <w:uiPriority w:val="0"/>
    <w:pPr>
      <w:spacing w:line="336" w:lineRule="auto"/>
      <w:ind w:firstLine="400"/>
    </w:pPr>
    <w:rPr>
      <w:rFonts w:ascii="宋体" w:hAnsi="宋体" w:eastAsia="宋体" w:cs="宋体"/>
      <w:sz w:val="20"/>
      <w:szCs w:val="20"/>
      <w:lang w:val="zh-TW" w:eastAsia="zh-TW" w:bidi="zh-TW"/>
    </w:rPr>
  </w:style>
  <w:style w:type="paragraph" w:customStyle="1" w:styleId="20">
    <w:name w:val="_表格条文"/>
    <w:basedOn w:val="1"/>
    <w:qFormat/>
    <w:uiPriority w:val="0"/>
    <w:pPr>
      <w:spacing w:line="276" w:lineRule="auto"/>
    </w:pPr>
    <w:rPr>
      <w:rFonts w:ascii="Arial" w:hAnsi="Arial"/>
      <w:color w:val="000000"/>
      <w:sz w:val="18"/>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00C6A8175D6F454BBA98D913CDBD4BCE</cp:lastModifiedBy>
  <dcterms:modified xsi:type="dcterms:W3CDTF">2026-10-23T07:57:05Z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C3414A1866C342D1A25E1667F5062241</vt:lpwstr>
  </property>
</Properties>
</file>