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360" w:lineRule="auto"/>
        <w:jc w:val="both"/>
        <w:rPr>
          <w:rFonts w:hint="default" w:ascii="黑体" w:hAnsi="黑体" w:eastAsia="黑体" w:cs="黑体"/>
          <w:b/>
          <w:bCs/>
          <w:color w:val="auto"/>
          <w:kern w:val="2"/>
          <w:sz w:val="32"/>
          <w:szCs w:val="32"/>
          <w:highlight w:val="none"/>
          <w:lang w:val="en-US" w:eastAsia="zh-CN"/>
        </w:rPr>
      </w:pPr>
      <w:bookmarkStart w:id="0" w:name="_Toc15706"/>
      <w:r>
        <w:rPr>
          <w:rFonts w:hint="eastAsia" w:ascii="黑体" w:hAnsi="黑体" w:eastAsia="黑体" w:cs="黑体"/>
          <w:b/>
          <w:bCs/>
          <w:color w:val="auto"/>
          <w:kern w:val="2"/>
          <w:sz w:val="32"/>
          <w:szCs w:val="32"/>
          <w:highlight w:val="none"/>
          <w:lang w:val="en-US" w:eastAsia="zh-CN"/>
        </w:rPr>
        <w:t>附录H</w:t>
      </w:r>
      <w:bookmarkEnd w:id="0"/>
    </w:p>
    <w:p>
      <w:pPr>
        <w:pageBreakBefore w:val="0"/>
        <w:widowControl w:val="0"/>
        <w:kinsoku/>
        <w:wordWrap/>
        <w:overflowPunct/>
        <w:topLinePunct w:val="0"/>
        <w:bidi w:val="0"/>
        <w:snapToGrid/>
        <w:spacing w:before="0" w:after="0" w:line="600" w:lineRule="exact"/>
        <w:jc w:val="center"/>
        <w:textAlignment w:val="auto"/>
        <w:outlineLvl w:val="9"/>
        <w:rPr>
          <w:rFonts w:hint="default" w:ascii="黑体" w:hAnsi="黑体" w:eastAsia="黑体" w:cs="黑体"/>
          <w:b w:val="0"/>
          <w:bCs w:val="0"/>
          <w:color w:val="auto"/>
          <w:kern w:val="2"/>
          <w:sz w:val="32"/>
          <w:szCs w:val="32"/>
          <w:highlight w:val="none"/>
          <w:lang w:val="en-US" w:eastAsia="zh-CN"/>
        </w:rPr>
      </w:pPr>
      <w:r>
        <w:rPr>
          <w:rFonts w:hint="eastAsia" w:ascii="黑体" w:hAnsi="黑体" w:eastAsia="黑体" w:cs="黑体"/>
          <w:b w:val="0"/>
          <w:bCs w:val="0"/>
          <w:color w:val="auto"/>
          <w:kern w:val="2"/>
          <w:sz w:val="32"/>
          <w:szCs w:val="32"/>
          <w:highlight w:val="none"/>
          <w:lang w:val="en-US" w:eastAsia="zh-CN"/>
        </w:rPr>
        <w:t>零星采购项目要求</w:t>
      </w:r>
    </w:p>
    <w:tbl>
      <w:tblPr>
        <w:tblStyle w:val="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003"/>
        <w:gridCol w:w="441"/>
        <w:gridCol w:w="1545"/>
        <w:gridCol w:w="1674"/>
        <w:gridCol w:w="785"/>
        <w:gridCol w:w="555"/>
        <w:gridCol w:w="867"/>
        <w:gridCol w:w="984"/>
        <w:gridCol w:w="1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74" w:hRule="atLeast"/>
          <w:jc w:val="center"/>
        </w:trPr>
        <w:tc>
          <w:tcPr>
            <w:tcW w:w="1003"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采购单位</w:t>
            </w:r>
          </w:p>
        </w:tc>
        <w:tc>
          <w:tcPr>
            <w:tcW w:w="3660"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b w:val="0"/>
                <w:bCs w:val="0"/>
                <w:sz w:val="21"/>
                <w:szCs w:val="21"/>
                <w:highlight w:val="none"/>
                <w:lang w:val="en-US" w:eastAsia="zh-CN"/>
              </w:rPr>
              <w:t>海口变电运检分公司</w:t>
            </w:r>
          </w:p>
        </w:tc>
        <w:tc>
          <w:tcPr>
            <w:tcW w:w="1340"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采购承办部门（中心）</w:t>
            </w:r>
          </w:p>
        </w:tc>
        <w:tc>
          <w:tcPr>
            <w:tcW w:w="3285"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rPr>
            </w:pPr>
            <w:r>
              <w:rPr>
                <w:rFonts w:hint="eastAsia"/>
                <w:b w:val="0"/>
                <w:bCs w:val="0"/>
                <w:sz w:val="21"/>
                <w:szCs w:val="21"/>
                <w:highlight w:val="none"/>
                <w:lang w:val="en-US" w:eastAsia="zh-CN"/>
              </w:rPr>
              <w:t>生产技术部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64" w:hRule="atLeast"/>
          <w:jc w:val="center"/>
        </w:trPr>
        <w:tc>
          <w:tcPr>
            <w:tcW w:w="1003"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采购项目名称</w:t>
            </w:r>
          </w:p>
        </w:tc>
        <w:tc>
          <w:tcPr>
            <w:tcW w:w="3660"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宋体" w:hAnsi="宋体" w:eastAsia="宋体" w:cs="宋体"/>
                <w:sz w:val="21"/>
                <w:szCs w:val="21"/>
                <w:lang w:val="en-US" w:eastAsia="zh-CN"/>
              </w:rPr>
              <w:t>变电站蓄电池容量自动检试装置</w:t>
            </w:r>
            <w:r>
              <w:rPr>
                <w:rFonts w:hint="eastAsia" w:ascii="宋体" w:hAnsi="宋体" w:cs="宋体"/>
                <w:sz w:val="21"/>
                <w:szCs w:val="21"/>
                <w:lang w:val="en-US" w:eastAsia="zh-CN"/>
              </w:rPr>
              <w:t>职工技术创新项目</w:t>
            </w:r>
          </w:p>
        </w:tc>
        <w:tc>
          <w:tcPr>
            <w:tcW w:w="1340"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采购概算金额</w:t>
            </w:r>
          </w:p>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（万元）</w:t>
            </w:r>
          </w:p>
        </w:tc>
        <w:tc>
          <w:tcPr>
            <w:tcW w:w="3285"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项目类别</w:t>
            </w:r>
          </w:p>
        </w:tc>
        <w:tc>
          <w:tcPr>
            <w:tcW w:w="3660"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□工程  </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 xml:space="preserve">货物  </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服务</w:t>
            </w:r>
          </w:p>
        </w:tc>
        <w:tc>
          <w:tcPr>
            <w:tcW w:w="1340"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资金来源</w:t>
            </w:r>
          </w:p>
        </w:tc>
        <w:tc>
          <w:tcPr>
            <w:tcW w:w="3285"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2026年综合计划和财务预算方案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restart"/>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采购品类及数量</w:t>
            </w:r>
          </w:p>
        </w:tc>
        <w:tc>
          <w:tcPr>
            <w:tcW w:w="441"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1545"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名称</w:t>
            </w:r>
          </w:p>
        </w:tc>
        <w:tc>
          <w:tcPr>
            <w:tcW w:w="1674"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规格型号/主要技术、商务要求</w:t>
            </w:r>
          </w:p>
        </w:tc>
        <w:tc>
          <w:tcPr>
            <w:tcW w:w="785"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555"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单位</w:t>
            </w:r>
          </w:p>
        </w:tc>
        <w:tc>
          <w:tcPr>
            <w:tcW w:w="867"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单价（元）</w:t>
            </w:r>
          </w:p>
        </w:tc>
        <w:tc>
          <w:tcPr>
            <w:tcW w:w="984"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总价（元）</w:t>
            </w:r>
          </w:p>
        </w:tc>
        <w:tc>
          <w:tcPr>
            <w:tcW w:w="1434"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计划交付日期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bCs/>
                <w:sz w:val="18"/>
                <w:szCs w:val="18"/>
                <w:highlight w:val="none"/>
                <w:lang w:val="en-US" w:eastAsia="zh-CN"/>
              </w:rPr>
            </w:pPr>
            <w:r>
              <w:rPr>
                <w:rFonts w:hint="eastAsia" w:asciiTheme="minorEastAsia" w:hAnsiTheme="minorEastAsia" w:eastAsiaTheme="minorEastAsia" w:cstheme="minorEastAsia"/>
                <w:b/>
                <w:bCs/>
                <w:sz w:val="18"/>
                <w:szCs w:val="18"/>
                <w:highlight w:val="none"/>
                <w:lang w:val="en-US" w:eastAsia="zh-CN"/>
              </w:rPr>
              <w:t>1</w:t>
            </w:r>
          </w:p>
        </w:tc>
        <w:tc>
          <w:tcPr>
            <w:tcW w:w="1545"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专用放电仪</w:t>
            </w:r>
          </w:p>
        </w:tc>
        <w:tc>
          <w:tcPr>
            <w:tcW w:w="1674" w:type="dxa"/>
            <w:tcBorders>
              <w:tl2br w:val="nil"/>
              <w:tr2bl w:val="nil"/>
            </w:tcBorders>
            <w:shd w:val="clear" w:color="auto" w:fill="FFFFFF" w:themeFill="background1"/>
            <w:vAlign w:val="center"/>
          </w:tcPr>
          <w:p>
            <w:pPr>
              <w:spacing w:line="200" w:lineRule="exact"/>
              <w:jc w:val="left"/>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恒流放电电压范围 100～250V；放电电流控制精度 0.1A，电流测试精度 1%；工作电压 AC220V±15%，直流 / 交直流可选；强风制冷散热；通讯支持 RS232 及 SD 卡口；7 寸彩色触摸液晶显示屏；外形尺寸长 440× 宽 225× 高 300mm，用于蓄电池组容量检测恒流放电。 Air8301 多网融合大屏工控板；网络：双路以太网、蓝牙；工业接口RS232/DI/DO 各 2 路；4.3 寸触摸显示屏 *272；16MB SPI NAND Flash；支持 USB (5V)/DC (5-36V) 供电；工作温度 - 20℃</w:t>
            </w:r>
            <w:bookmarkStart w:id="2" w:name="_GoBack"/>
            <w:bookmarkEnd w:id="2"/>
            <w:r>
              <w:rPr>
                <w:rFonts w:hint="eastAsia" w:asciiTheme="minorEastAsia" w:hAnsiTheme="minorEastAsia" w:eastAsiaTheme="minorEastAsia" w:cstheme="minorEastAsia"/>
                <w:sz w:val="18"/>
                <w:szCs w:val="18"/>
                <w:lang w:val="en-US" w:eastAsia="zh-CN"/>
              </w:rPr>
              <w:t>~+70℃，带硬件看门狗，支持软硬件定制，适配蓄电池容量检测装置主控，可联动外设采集上传数据。</w:t>
            </w:r>
          </w:p>
        </w:tc>
        <w:tc>
          <w:tcPr>
            <w:tcW w:w="785"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2</w:t>
            </w:r>
          </w:p>
        </w:tc>
        <w:tc>
          <w:tcPr>
            <w:tcW w:w="555" w:type="dxa"/>
            <w:tcBorders>
              <w:tl2br w:val="nil"/>
              <w:tr2bl w:val="nil"/>
            </w:tcBorders>
            <w:shd w:val="clear" w:color="auto" w:fill="FFFFFF" w:themeFill="background1"/>
            <w:vAlign w:val="center"/>
          </w:tcPr>
          <w:p>
            <w:pPr>
              <w:spacing w:line="200" w:lineRule="exact"/>
              <w:jc w:val="center"/>
              <w:rPr>
                <w:rFonts w:hint="eastAsia" w:asciiTheme="minorEastAsia" w:hAnsiTheme="minorEastAsia" w:eastAsiaTheme="minorEastAsia" w:cstheme="minorEastAsia"/>
                <w:sz w:val="18"/>
                <w:szCs w:val="18"/>
                <w:highlight w:val="none"/>
                <w:lang w:eastAsia="zh-CN"/>
              </w:rPr>
            </w:pPr>
            <w:r>
              <w:rPr>
                <w:rFonts w:hint="eastAsia" w:asciiTheme="minorEastAsia" w:hAnsiTheme="minorEastAsia" w:eastAsiaTheme="minorEastAsia" w:cstheme="minorEastAsia"/>
                <w:sz w:val="18"/>
                <w:szCs w:val="18"/>
                <w:lang w:val="en-US" w:eastAsia="zh-CN"/>
              </w:rPr>
              <w:t>套</w:t>
            </w:r>
          </w:p>
        </w:tc>
        <w:tc>
          <w:tcPr>
            <w:tcW w:w="867"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8000</w:t>
            </w:r>
          </w:p>
        </w:tc>
        <w:tc>
          <w:tcPr>
            <w:tcW w:w="984"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16000</w:t>
            </w:r>
          </w:p>
        </w:tc>
        <w:tc>
          <w:tcPr>
            <w:tcW w:w="1434"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收到中标通知书后60天内完成供货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bCs/>
                <w:sz w:val="18"/>
                <w:szCs w:val="18"/>
                <w:highlight w:val="none"/>
                <w:lang w:val="en-US" w:eastAsia="zh-CN"/>
              </w:rPr>
            </w:pPr>
            <w:r>
              <w:rPr>
                <w:rFonts w:hint="eastAsia" w:asciiTheme="minorEastAsia" w:hAnsiTheme="minorEastAsia" w:eastAsiaTheme="minorEastAsia" w:cstheme="minorEastAsia"/>
                <w:b/>
                <w:bCs/>
                <w:sz w:val="18"/>
                <w:szCs w:val="18"/>
                <w:highlight w:val="none"/>
                <w:lang w:val="en-US" w:eastAsia="zh-CN"/>
              </w:rPr>
              <w:t>2</w:t>
            </w:r>
          </w:p>
        </w:tc>
        <w:tc>
          <w:tcPr>
            <w:tcW w:w="1545"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bookmarkStart w:id="1" w:name="OLE_LINK1"/>
            <w:r>
              <w:rPr>
                <w:rFonts w:hint="eastAsia" w:asciiTheme="minorEastAsia" w:hAnsiTheme="minorEastAsia" w:eastAsiaTheme="minorEastAsia" w:cstheme="minorEastAsia"/>
                <w:sz w:val="18"/>
                <w:szCs w:val="18"/>
                <w:lang w:val="en-US" w:eastAsia="zh-CN"/>
              </w:rPr>
              <w:t>专用接触器</w:t>
            </w:r>
            <w:bookmarkEnd w:id="1"/>
          </w:p>
        </w:tc>
        <w:tc>
          <w:tcPr>
            <w:tcW w:w="1674" w:type="dxa"/>
            <w:tcBorders>
              <w:tl2br w:val="nil"/>
              <w:tr2bl w:val="nil"/>
            </w:tcBorders>
            <w:shd w:val="clear" w:color="auto" w:fill="FFFFFF" w:themeFill="background1"/>
            <w:vAlign w:val="center"/>
          </w:tcPr>
          <w:p>
            <w:pPr>
              <w:spacing w:line="200" w:lineRule="exact"/>
              <w:jc w:val="left"/>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CJX2 系列直流接触器，银合金触点、全铜线圈；线圈电压 DC24V~220V；辅助触点一常开或一常闭；支持导轨 / 螺丝安装；工作环境温度 - 5℃~+40℃；具备 3C 认证；用于蓄电池放电仪主回路通断控制。</w:t>
            </w:r>
          </w:p>
        </w:tc>
        <w:tc>
          <w:tcPr>
            <w:tcW w:w="785"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4</w:t>
            </w:r>
          </w:p>
        </w:tc>
        <w:tc>
          <w:tcPr>
            <w:tcW w:w="555" w:type="dxa"/>
            <w:tcBorders>
              <w:tl2br w:val="nil"/>
              <w:tr2bl w:val="nil"/>
            </w:tcBorders>
            <w:shd w:val="clear" w:color="auto" w:fill="FFFFFF" w:themeFill="background1"/>
            <w:vAlign w:val="center"/>
          </w:tcPr>
          <w:p>
            <w:pPr>
              <w:spacing w:line="200" w:lineRule="exact"/>
              <w:jc w:val="center"/>
              <w:rPr>
                <w:rFonts w:hint="eastAsia" w:asciiTheme="minorEastAsia" w:hAnsiTheme="minorEastAsia" w:eastAsiaTheme="minorEastAsia" w:cstheme="minorEastAsia"/>
                <w:sz w:val="18"/>
                <w:szCs w:val="18"/>
                <w:highlight w:val="none"/>
                <w:lang w:eastAsia="zh-CN"/>
              </w:rPr>
            </w:pPr>
            <w:r>
              <w:rPr>
                <w:rFonts w:hint="eastAsia" w:asciiTheme="minorEastAsia" w:hAnsiTheme="minorEastAsia" w:eastAsiaTheme="minorEastAsia" w:cstheme="minorEastAsia"/>
                <w:sz w:val="18"/>
                <w:szCs w:val="18"/>
                <w:lang w:val="en-US" w:eastAsia="zh-CN"/>
              </w:rPr>
              <w:t>套</w:t>
            </w:r>
          </w:p>
        </w:tc>
        <w:tc>
          <w:tcPr>
            <w:tcW w:w="867"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200</w:t>
            </w:r>
          </w:p>
        </w:tc>
        <w:tc>
          <w:tcPr>
            <w:tcW w:w="984"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800</w:t>
            </w:r>
          </w:p>
        </w:tc>
        <w:tc>
          <w:tcPr>
            <w:tcW w:w="1434"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收到中标通知书后60天内完成供货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bCs/>
                <w:sz w:val="18"/>
                <w:szCs w:val="18"/>
                <w:highlight w:val="none"/>
                <w:lang w:val="en-US" w:eastAsia="zh-CN"/>
              </w:rPr>
            </w:pPr>
            <w:r>
              <w:rPr>
                <w:rFonts w:hint="eastAsia" w:asciiTheme="minorEastAsia" w:hAnsiTheme="minorEastAsia" w:eastAsiaTheme="minorEastAsia" w:cstheme="minorEastAsia"/>
                <w:b/>
                <w:bCs/>
                <w:sz w:val="18"/>
                <w:szCs w:val="18"/>
                <w:highlight w:val="none"/>
                <w:lang w:val="en-US" w:eastAsia="zh-CN"/>
              </w:rPr>
              <w:t>3</w:t>
            </w:r>
          </w:p>
        </w:tc>
        <w:tc>
          <w:tcPr>
            <w:tcW w:w="1545"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PLC编程器</w:t>
            </w:r>
          </w:p>
        </w:tc>
        <w:tc>
          <w:tcPr>
            <w:tcW w:w="1674" w:type="dxa"/>
            <w:tcBorders>
              <w:tl2br w:val="nil"/>
              <w:tr2bl w:val="nil"/>
            </w:tcBorders>
            <w:shd w:val="clear" w:color="auto" w:fill="FFFFFF" w:themeFill="background1"/>
            <w:vAlign w:val="center"/>
          </w:tcPr>
          <w:p>
            <w:pPr>
              <w:spacing w:line="200" w:lineRule="exact"/>
              <w:jc w:val="left"/>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电源电压 AC100～240V (50/60Hz)、DC20～29V；功耗：100VAC≤7VA，240VAC≤10VA，12/24VDC≤4VA；工作温度 - 10～50℃，相对湿度 10%～90% RH（无冷凝），防护等级 IP20；配置 2.2 英寸点阵 LCD 显示屏带 LED 背光，8 个操作按键；开关量输入支持干接点、NPN/PNP 接近开关；开关量输出含 2 路单刀双掷、6 路常开触点，触点容量 10A/250VAC、10A/30VDC；RS485 通讯，Modbus RTU 协议；内置 18 组编程操作组，用于蓄电池放电仪主回路逻辑控制</w:t>
            </w:r>
          </w:p>
        </w:tc>
        <w:tc>
          <w:tcPr>
            <w:tcW w:w="785"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2</w:t>
            </w:r>
          </w:p>
        </w:tc>
        <w:tc>
          <w:tcPr>
            <w:tcW w:w="555" w:type="dxa"/>
            <w:tcBorders>
              <w:tl2br w:val="nil"/>
              <w:tr2bl w:val="nil"/>
            </w:tcBorders>
            <w:shd w:val="clear" w:color="auto" w:fill="FFFFFF" w:themeFill="background1"/>
            <w:vAlign w:val="center"/>
          </w:tcPr>
          <w:p>
            <w:pPr>
              <w:spacing w:line="200" w:lineRule="exact"/>
              <w:jc w:val="center"/>
              <w:rPr>
                <w:rFonts w:hint="eastAsia" w:asciiTheme="minorEastAsia" w:hAnsiTheme="minorEastAsia" w:eastAsiaTheme="minorEastAsia" w:cstheme="minorEastAsia"/>
                <w:sz w:val="18"/>
                <w:szCs w:val="18"/>
                <w:highlight w:val="none"/>
                <w:lang w:eastAsia="zh-CN"/>
              </w:rPr>
            </w:pPr>
            <w:r>
              <w:rPr>
                <w:rFonts w:hint="eastAsia" w:asciiTheme="minorEastAsia" w:hAnsiTheme="minorEastAsia" w:eastAsiaTheme="minorEastAsia" w:cstheme="minorEastAsia"/>
                <w:sz w:val="18"/>
                <w:szCs w:val="18"/>
                <w:lang w:val="en-US" w:eastAsia="zh-CN"/>
              </w:rPr>
              <w:t>套</w:t>
            </w:r>
          </w:p>
        </w:tc>
        <w:tc>
          <w:tcPr>
            <w:tcW w:w="867"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1000</w:t>
            </w:r>
          </w:p>
        </w:tc>
        <w:tc>
          <w:tcPr>
            <w:tcW w:w="984"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2000</w:t>
            </w:r>
          </w:p>
        </w:tc>
        <w:tc>
          <w:tcPr>
            <w:tcW w:w="1434"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收到中标通知书后60天内完成供货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bCs/>
                <w:sz w:val="18"/>
                <w:szCs w:val="18"/>
                <w:highlight w:val="none"/>
                <w:lang w:val="en-US" w:eastAsia="zh-CN"/>
              </w:rPr>
            </w:pPr>
            <w:r>
              <w:rPr>
                <w:rFonts w:hint="eastAsia" w:asciiTheme="minorEastAsia" w:hAnsiTheme="minorEastAsia" w:eastAsiaTheme="minorEastAsia" w:cstheme="minorEastAsia"/>
                <w:b/>
                <w:bCs/>
                <w:sz w:val="18"/>
                <w:szCs w:val="18"/>
                <w:highlight w:val="none"/>
                <w:lang w:val="en-US" w:eastAsia="zh-CN"/>
              </w:rPr>
              <w:t>4</w:t>
            </w:r>
          </w:p>
        </w:tc>
        <w:tc>
          <w:tcPr>
            <w:tcW w:w="1545"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其余配件</w:t>
            </w:r>
          </w:p>
        </w:tc>
        <w:tc>
          <w:tcPr>
            <w:tcW w:w="1674" w:type="dxa"/>
            <w:tcBorders>
              <w:tl2br w:val="nil"/>
              <w:tr2bl w:val="nil"/>
            </w:tcBorders>
            <w:shd w:val="clear" w:color="auto" w:fill="FFFFFF" w:themeFill="background1"/>
            <w:vAlign w:val="center"/>
          </w:tcPr>
          <w:p>
            <w:pPr>
              <w:spacing w:line="200" w:lineRule="exact"/>
              <w:jc w:val="left"/>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3D打印设备外盒、线缆鼻子、安装导轨；外盒适配整套检测装置硬件安装防护；线缆鼻子用于设备主回路接线压接；导轨用于接触器、PLC 等元件导轨式固定；全部配件匹配本项目装置尺寸与电气安装要求，满足现场组装布线使用。</w:t>
            </w:r>
          </w:p>
        </w:tc>
        <w:tc>
          <w:tcPr>
            <w:tcW w:w="785"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2</w:t>
            </w:r>
          </w:p>
        </w:tc>
        <w:tc>
          <w:tcPr>
            <w:tcW w:w="555"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套</w:t>
            </w:r>
          </w:p>
        </w:tc>
        <w:tc>
          <w:tcPr>
            <w:tcW w:w="867"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1000</w:t>
            </w:r>
          </w:p>
        </w:tc>
        <w:tc>
          <w:tcPr>
            <w:tcW w:w="984"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2000</w:t>
            </w:r>
          </w:p>
        </w:tc>
        <w:tc>
          <w:tcPr>
            <w:tcW w:w="1434"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收到中标通知书后60天内完成供货</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cs="宋体"/>
          <w:b/>
          <w:bCs/>
          <w:sz w:val="24"/>
          <w:szCs w:val="24"/>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说明：上述含包装、保险、运输、交货（看装卸费、搬运费）、售后、税费等费用。结算方式为货到验收合格并收到发票后付款。</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一、项目概况及采购内容：</w:t>
      </w:r>
    </w:p>
    <w:p>
      <w:pPr>
        <w:pStyle w:val="5"/>
        <w:numPr>
          <w:ilvl w:val="0"/>
          <w:numId w:val="0"/>
        </w:numPr>
        <w:ind w:firstLine="420" w:firstLineChars="200"/>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项目概况：</w:t>
      </w:r>
      <w:r>
        <w:rPr>
          <w:rFonts w:hint="eastAsia" w:ascii="宋体" w:hAnsi="宋体" w:eastAsia="宋体" w:cs="宋体"/>
          <w:kern w:val="2"/>
          <w:sz w:val="21"/>
          <w:szCs w:val="21"/>
          <w:lang w:val="en-US" w:eastAsia="zh-CN" w:bidi="ar-SA"/>
        </w:rPr>
        <w:t>蓄电池是电力电源系统中直流供电系统的重要组成部分，蓄电池定检每年投入大量的人力物去做容量试验及分析，而且在一个定检周期内发生某节蓄电池失容时不能够发现，给变电站电继电保护、通信设备、二次系统造成严重的替在威胁。</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针对上述问题，项目组拟研制一种变电站蓄电池容量自动按周期放电试验，周期内每月/季自动浅放电检查蓄电池容量装置，在放电检查蓄电池容量的同时通过传感器实时采集蓄电池的单节电压、总电流、单节电池温度等参数，并结合数据分析评估电池健康状态同时存储在本地数据库方便巡检人员查看历史记录，预测剩余寿命并及时的做好蓄电池隔离或更换措施。</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cs="宋体"/>
          <w:kern w:val="2"/>
          <w:sz w:val="21"/>
          <w:szCs w:val="21"/>
          <w:lang w:val="en-US" w:eastAsia="zh-CN" w:bidi="ar-SA"/>
        </w:rPr>
      </w:pPr>
      <w:r>
        <w:rPr>
          <w:rFonts w:hint="eastAsia" w:ascii="宋体" w:hAnsi="宋体" w:cs="宋体"/>
          <w:kern w:val="2"/>
          <w:sz w:val="21"/>
          <w:szCs w:val="21"/>
          <w:lang w:val="en-US" w:eastAsia="zh-CN" w:bidi="ar-SA"/>
        </w:rPr>
        <w:t>采购内容:</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w:t>
      </w:r>
      <w:r>
        <w:rPr>
          <w:rFonts w:hint="eastAsia" w:ascii="宋体" w:hAnsi="宋体" w:eastAsia="宋体" w:cs="宋体"/>
          <w:kern w:val="2"/>
          <w:sz w:val="21"/>
          <w:szCs w:val="21"/>
          <w:lang w:val="en-US" w:eastAsia="zh-CN" w:bidi="ar-SA"/>
        </w:rPr>
        <w:t>名称：专用放电仪；型号：恒流放电电压范围 100～250V；放电电流控制精度 0.1A，电流测试精度 1%；工作电压 AC220V±15%，直流 / 交直流可选；强风制冷散热；通讯支持 RS232 及 SD 卡口；7 寸彩色触摸液晶显示屏；外形尺寸长 440× 宽 225× 高 300mm，用于蓄电池组容量检测恒流放电。 Air8301 多网融合大屏工控板；网络：双路以太网、蓝牙；工业接口RS232/DI/DO 各 2 路；4.3 寸触摸显示屏 *272；16MB SPI NAND Flash；支持 USB (5V)/DC (5-36V) 供电；工作温度 - 20℃~+70℃，带硬件看门狗，支持软硬件定制，适配蓄电池容量检测装置主控，可联动外设采集上传数据；数量：2套</w:t>
      </w:r>
      <w:r>
        <w:rPr>
          <w:rFonts w:hint="eastAsia" w:ascii="宋体" w:hAnsi="宋体" w:cs="宋体"/>
          <w:kern w:val="2"/>
          <w:sz w:val="21"/>
          <w:szCs w:val="21"/>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cs="宋体"/>
          <w:kern w:val="2"/>
          <w:sz w:val="21"/>
          <w:szCs w:val="21"/>
          <w:lang w:val="en-US" w:eastAsia="zh-CN" w:bidi="ar-SA"/>
        </w:rPr>
      </w:pPr>
      <w:r>
        <w:rPr>
          <w:rFonts w:hint="eastAsia" w:ascii="宋体" w:hAnsi="宋体" w:cs="宋体"/>
          <w:kern w:val="2"/>
          <w:sz w:val="21"/>
          <w:szCs w:val="21"/>
          <w:lang w:val="en-US" w:eastAsia="zh-CN" w:bidi="ar-SA"/>
        </w:rPr>
        <w:t>2、</w:t>
      </w:r>
      <w:r>
        <w:rPr>
          <w:rFonts w:hint="eastAsia" w:ascii="宋体" w:hAnsi="宋体" w:eastAsia="宋体" w:cs="宋体"/>
          <w:kern w:val="2"/>
          <w:sz w:val="21"/>
          <w:szCs w:val="21"/>
          <w:lang w:val="en-US" w:eastAsia="zh-CN" w:bidi="ar-SA"/>
        </w:rPr>
        <w:t>名称：专用接触器；型号：CJX2 系列直流接触器，银合金触点、全铜线圈；线圈电压 DC24V~220V；辅助触点一常开或一常闭；支持导轨 / 螺丝安装；工作环境温度 - 5℃~+40℃；具备 3C 认证；用于蓄电池放电仪主回路通断控制。数量：4套</w:t>
      </w:r>
      <w:r>
        <w:rPr>
          <w:rFonts w:hint="eastAsia" w:ascii="宋体" w:hAnsi="宋体" w:cs="宋体"/>
          <w:kern w:val="2"/>
          <w:sz w:val="21"/>
          <w:szCs w:val="21"/>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cs="宋体"/>
          <w:kern w:val="2"/>
          <w:sz w:val="21"/>
          <w:szCs w:val="21"/>
          <w:lang w:val="en-US" w:eastAsia="zh-CN" w:bidi="ar-SA"/>
        </w:rPr>
      </w:pPr>
      <w:r>
        <w:rPr>
          <w:rFonts w:hint="eastAsia" w:ascii="宋体" w:hAnsi="宋体" w:cs="宋体"/>
          <w:kern w:val="2"/>
          <w:sz w:val="21"/>
          <w:szCs w:val="21"/>
          <w:lang w:val="en-US" w:eastAsia="zh-CN" w:bidi="ar-SA"/>
        </w:rPr>
        <w:t>3、</w:t>
      </w:r>
      <w:r>
        <w:rPr>
          <w:rFonts w:hint="eastAsia" w:ascii="宋体" w:hAnsi="宋体" w:eastAsia="宋体" w:cs="宋体"/>
          <w:kern w:val="2"/>
          <w:sz w:val="21"/>
          <w:szCs w:val="21"/>
          <w:lang w:val="en-US" w:eastAsia="zh-CN" w:bidi="ar-SA"/>
        </w:rPr>
        <w:t>名称：PLC编程器；型号：电源电压 AC100～240V (50/60Hz)、DC20～29V；功耗：100VAC≤7VA，240VAC≤10VA，12/24VDC≤4VA；工作温度 - 10～50℃，相对湿度 10%～90% RH（无冷凝），防护等级 IP20；配置 2.2 英寸点阵 LCD 显示屏带 LED 背光，8 个操作按键；开关量输入支持干接点、NPN/PNP 接近开关；开关量输出含 2 路单刀双掷、6 路常开触点，触点容量 10A/250VAC、10A/30VDC；RS485 通讯，Modbus RTU 协议；内置 18 组编程操作组，用于蓄电池放电仪主回路逻辑控制；数量：2套</w:t>
      </w:r>
      <w:r>
        <w:rPr>
          <w:rFonts w:hint="eastAsia" w:ascii="宋体" w:hAnsi="宋体" w:cs="宋体"/>
          <w:kern w:val="2"/>
          <w:sz w:val="21"/>
          <w:szCs w:val="21"/>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4、</w:t>
      </w:r>
      <w:r>
        <w:rPr>
          <w:rFonts w:hint="eastAsia" w:ascii="宋体" w:hAnsi="宋体" w:eastAsia="宋体" w:cs="宋体"/>
          <w:kern w:val="2"/>
          <w:sz w:val="21"/>
          <w:szCs w:val="21"/>
          <w:lang w:val="en-US" w:eastAsia="zh-CN" w:bidi="ar-SA"/>
        </w:rPr>
        <w:t>名称：其余配件；型号：3D打印设备外盒、线缆鼻子、安装导轨；外盒适配整套检测装置硬件安装防护；线缆鼻子用于设备主回路接线压接；导轨用于接触器、PLC 等元件导轨式固定；全部配件匹配本项目装置尺寸与电气安装要求，满足现场组装布线使用；数量：2套。</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二、资质要求：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1.营业执照。</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2.低于概算价50%或最低价低于除最低价外的平均报价25%应要求提供成本分析报告，未按要求提供或者报告未能合理说明原因的，可进行否决处理。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三、相关技术要求：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w:t>
      </w:r>
      <w:r>
        <w:rPr>
          <w:rFonts w:hint="eastAsia" w:ascii="宋体" w:hAnsi="宋体" w:eastAsia="宋体" w:cs="宋体"/>
          <w:kern w:val="2"/>
          <w:sz w:val="21"/>
          <w:szCs w:val="21"/>
          <w:lang w:val="en-US" w:eastAsia="zh-CN" w:bidi="ar-SA"/>
        </w:rPr>
        <w:t>名称：专用放电仪；型号：恒流放电电压范围 100～250V；放电电流控制精度 0.1A，电流测试精度 1%；工作电压 AC220V±15%，直流 / 交直流可选；强风制冷散热；通讯支持 RS232 及 SD 卡口；7 寸彩色触摸液晶显示屏；外形尺寸长 440× 宽 225× 高 300mm，用于蓄电池组容量检测恒流放电。 Air8301 多网融合大屏工控板；网络：双路以太网、蓝牙；工业接口RS232/DI/DO 各 2 路；4.3 寸触摸显示屏 *272；16MB SPI NAND Flash；支持 USB (5V)/DC (5-36V) 供电；工作温度 - 20℃~+70℃，带硬件看门狗，支持软硬件定制，适配蓄电池容量检测装置主控，可联动外设采集上传数据；数量：2套</w:t>
      </w:r>
      <w:r>
        <w:rPr>
          <w:rFonts w:hint="eastAsia" w:ascii="宋体" w:hAnsi="宋体" w:cs="宋体"/>
          <w:kern w:val="2"/>
          <w:sz w:val="21"/>
          <w:szCs w:val="21"/>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cs="宋体"/>
          <w:kern w:val="2"/>
          <w:sz w:val="21"/>
          <w:szCs w:val="21"/>
          <w:lang w:val="en-US" w:eastAsia="zh-CN" w:bidi="ar-SA"/>
        </w:rPr>
      </w:pPr>
      <w:r>
        <w:rPr>
          <w:rFonts w:hint="eastAsia" w:ascii="宋体" w:hAnsi="宋体" w:cs="宋体"/>
          <w:kern w:val="2"/>
          <w:sz w:val="21"/>
          <w:szCs w:val="21"/>
          <w:lang w:val="en-US" w:eastAsia="zh-CN" w:bidi="ar-SA"/>
        </w:rPr>
        <w:t>2、</w:t>
      </w:r>
      <w:r>
        <w:rPr>
          <w:rFonts w:hint="eastAsia" w:ascii="宋体" w:hAnsi="宋体" w:eastAsia="宋体" w:cs="宋体"/>
          <w:kern w:val="2"/>
          <w:sz w:val="21"/>
          <w:szCs w:val="21"/>
          <w:lang w:val="en-US" w:eastAsia="zh-CN" w:bidi="ar-SA"/>
        </w:rPr>
        <w:t>名称：专用接触器；型号：CJX2 系列直流接触器，银合金触点、全铜线圈；线圈电压 DC24V~220V；辅助触点一常开或一常闭；支持导轨 / 螺丝安装；工作环境温度 - 5℃~+40℃；具备 3C 认证；用于蓄电池放电仪主回路通断控制。数量：4套</w:t>
      </w:r>
      <w:r>
        <w:rPr>
          <w:rFonts w:hint="eastAsia" w:ascii="宋体" w:hAnsi="宋体" w:cs="宋体"/>
          <w:kern w:val="2"/>
          <w:sz w:val="21"/>
          <w:szCs w:val="21"/>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cs="宋体"/>
          <w:kern w:val="2"/>
          <w:sz w:val="21"/>
          <w:szCs w:val="21"/>
          <w:lang w:val="en-US" w:eastAsia="zh-CN" w:bidi="ar-SA"/>
        </w:rPr>
      </w:pPr>
      <w:r>
        <w:rPr>
          <w:rFonts w:hint="eastAsia" w:ascii="宋体" w:hAnsi="宋体" w:cs="宋体"/>
          <w:kern w:val="2"/>
          <w:sz w:val="21"/>
          <w:szCs w:val="21"/>
          <w:lang w:val="en-US" w:eastAsia="zh-CN" w:bidi="ar-SA"/>
        </w:rPr>
        <w:t>3、</w:t>
      </w:r>
      <w:r>
        <w:rPr>
          <w:rFonts w:hint="eastAsia" w:ascii="宋体" w:hAnsi="宋体" w:eastAsia="宋体" w:cs="宋体"/>
          <w:kern w:val="2"/>
          <w:sz w:val="21"/>
          <w:szCs w:val="21"/>
          <w:lang w:val="en-US" w:eastAsia="zh-CN" w:bidi="ar-SA"/>
        </w:rPr>
        <w:t>名称：PLC编程器；型号：电源电压 AC100～240V (50/60Hz)、DC20～29V；功耗：100VAC≤7VA，240VAC≤10VA，12/24VDC≤4VA；工作温度 - 10～50℃，相对湿度 10%～90% RH（无冷凝），防护等级 IP20；配置 2.2 英寸点阵 LCD 显示屏带 LED 背光，8 个操作按键；开关量输入支持干接点、NPN/PNP 接近开关；开关量输出含 2 路单刀双掷、6 路常开触点，触点容量 10A/250VAC、10A/30VDC；RS485 通讯，Modbus RTU 协议；内置 18 组编程操作组，用于蓄电池放电仪主回路逻辑控制；数量：2套</w:t>
      </w:r>
      <w:r>
        <w:rPr>
          <w:rFonts w:hint="eastAsia" w:ascii="宋体" w:hAnsi="宋体" w:cs="宋体"/>
          <w:kern w:val="2"/>
          <w:sz w:val="21"/>
          <w:szCs w:val="21"/>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4、</w:t>
      </w:r>
      <w:r>
        <w:rPr>
          <w:rFonts w:hint="eastAsia" w:ascii="宋体" w:hAnsi="宋体" w:eastAsia="宋体" w:cs="宋体"/>
          <w:kern w:val="2"/>
          <w:sz w:val="21"/>
          <w:szCs w:val="21"/>
          <w:lang w:val="en-US" w:eastAsia="zh-CN" w:bidi="ar-SA"/>
        </w:rPr>
        <w:t>名称：其余配件；型号：3D打印设备外盒、线缆鼻子、安装导轨；外盒适配整套检测装置硬件安装防护；线缆鼻子用于设备主回路接线压接；导轨用于接触器、PLC 等元件导轨式固定；全部配件匹配本项目装置尺寸与电气安装要求，满足现场组装布线使用；数量：2套。</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四、服务相关要求：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五、交付标准：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1.收到中标通知书后60天内完成供货。</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2.货物规格型号、技术要求及功能与上述相符。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六、商务及报价要求：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详见最高限价及到货时间要求表。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七、其他要求：</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无</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color w:val="auto"/>
          <w:sz w:val="24"/>
          <w:szCs w:val="24"/>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注：可根据实际情况修改本模板内容。</w:t>
      </w:r>
    </w:p>
    <w:p>
      <w:pPr>
        <w:pStyle w:val="2"/>
        <w:outlineLvl w:val="9"/>
        <w:rPr>
          <w:rFonts w:hint="eastAsia" w:asciiTheme="minorEastAsia" w:hAnsiTheme="minorEastAsia" w:eastAsiaTheme="minorEastAsia" w:cstheme="minorEastAsia"/>
          <w:b w:val="0"/>
          <w:bCs w:val="0"/>
          <w:i/>
          <w:iCs/>
          <w:color w:val="auto"/>
          <w:sz w:val="21"/>
          <w:szCs w:val="21"/>
          <w:highlight w:val="none"/>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94204"/>
    <w:rsid w:val="018B382E"/>
    <w:rsid w:val="073B2721"/>
    <w:rsid w:val="1BA80056"/>
    <w:rsid w:val="1E587A3D"/>
    <w:rsid w:val="2493796B"/>
    <w:rsid w:val="25652CBB"/>
    <w:rsid w:val="28071D94"/>
    <w:rsid w:val="2CE05505"/>
    <w:rsid w:val="349077F1"/>
    <w:rsid w:val="3741163E"/>
    <w:rsid w:val="3C543989"/>
    <w:rsid w:val="3F5F0E4C"/>
    <w:rsid w:val="41136117"/>
    <w:rsid w:val="4CF3439E"/>
    <w:rsid w:val="55992DB5"/>
    <w:rsid w:val="55B61536"/>
    <w:rsid w:val="68633A88"/>
    <w:rsid w:val="6A2770BD"/>
    <w:rsid w:val="70CC5DAB"/>
    <w:rsid w:val="738B3FD2"/>
    <w:rsid w:val="76260E52"/>
    <w:rsid w:val="7BC44E16"/>
    <w:rsid w:val="7E9256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6" w:lineRule="auto"/>
      <w:outlineLvl w:val="0"/>
    </w:pPr>
    <w:rPr>
      <w:rFonts w:ascii="Times New Roman" w:hAnsi="Times New Roman"/>
      <w:b/>
      <w:bCs/>
      <w:kern w:val="44"/>
      <w:sz w:val="44"/>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rPr>
      <w:rFonts w:eastAsia="仿宋_GB2312"/>
      <w:sz w:val="32"/>
    </w:rPr>
  </w:style>
  <w:style w:type="paragraph" w:styleId="3">
    <w:name w:val="Title"/>
    <w:basedOn w:val="1"/>
    <w:next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toc 2"/>
    <w:basedOn w:val="1"/>
    <w:next w:val="1"/>
    <w:qFormat/>
    <w:uiPriority w:val="0"/>
    <w:pPr>
      <w:widowControl/>
      <w:spacing w:after="100" w:line="276" w:lineRule="auto"/>
      <w:ind w:left="220"/>
      <w:jc w:val="left"/>
    </w:pPr>
    <w:rPr>
      <w:rFonts w:ascii="Calibri" w:hAnsi="Calibri"/>
      <w:kern w:val="0"/>
      <w:sz w:val="22"/>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2541</Words>
  <Characters>3184</Characters>
  <Lines>0</Lines>
  <Paragraphs>0</Paragraphs>
  <TotalTime>10</TotalTime>
  <ScaleCrop>false</ScaleCrop>
  <LinksUpToDate>false</LinksUpToDate>
  <CharactersWithSpaces>3383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2026-10-15T09:00:00Z</dcterms:created>
  <dc:creator>CSG</dc:creator>
  <cp:lastModifiedBy>陈益民</cp:lastModifiedBy>
  <dcterms:modified xsi:type="dcterms:W3CDTF">2026-10-22T12:20:04Z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C243292E6FB6415A9967B495984662A9_13</vt:lpwstr>
  </property>
  <property fmtid="{D5CDD505-2E9C-101B-9397-08002B2CF9AE}" pid="4" name="KSOTemplateDocerSaveRecord">
    <vt:lpwstr>eyJoZGlkIjoiNWRhZDcyMjJkZDg0OWY5M2Y5N2Q3YjljMmQ4YWEzN2YiLCJ1c2VySWQiOiIzNTE0MTczMjMifQ==</vt:lpwstr>
  </property>
</Properties>
</file>