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0FDEE3">
      <w:pPr>
        <w:jc w:val="center"/>
        <w:rPr>
          <w:rFonts w:hint="eastAsia" w:asciiTheme="majorEastAsia" w:hAnsiTheme="majorEastAsia" w:eastAsiaTheme="majorEastAsia" w:cstheme="majorEastAsia"/>
          <w:b/>
          <w:bCs/>
          <w:sz w:val="36"/>
          <w:szCs w:val="36"/>
        </w:rPr>
      </w:pPr>
      <w:r>
        <w:rPr>
          <w:rFonts w:hint="eastAsia" w:asciiTheme="majorEastAsia" w:hAnsiTheme="majorEastAsia" w:eastAsiaTheme="majorEastAsia" w:cstheme="majorEastAsia"/>
          <w:b/>
          <w:bCs/>
          <w:sz w:val="36"/>
          <w:szCs w:val="36"/>
          <w:lang w:eastAsia="zh-CN"/>
        </w:rPr>
        <w:t>贵州电力交易中心有限责任公司</w:t>
      </w:r>
      <w:r>
        <w:rPr>
          <w:rFonts w:hint="eastAsia" w:asciiTheme="majorEastAsia" w:hAnsiTheme="majorEastAsia" w:eastAsiaTheme="majorEastAsia" w:cstheme="majorEastAsia"/>
          <w:b/>
          <w:bCs/>
          <w:sz w:val="36"/>
          <w:szCs w:val="36"/>
        </w:rPr>
        <w:t>202</w:t>
      </w:r>
      <w:r>
        <w:rPr>
          <w:rFonts w:hint="eastAsia" w:asciiTheme="majorEastAsia" w:hAnsiTheme="majorEastAsia" w:eastAsiaTheme="majorEastAsia" w:cstheme="majorEastAsia"/>
          <w:b/>
          <w:bCs/>
          <w:sz w:val="36"/>
          <w:szCs w:val="36"/>
          <w:lang w:val="en-US" w:eastAsia="zh-CN"/>
        </w:rPr>
        <w:t>6</w:t>
      </w:r>
      <w:r>
        <w:rPr>
          <w:rFonts w:hint="eastAsia" w:asciiTheme="majorEastAsia" w:hAnsiTheme="majorEastAsia" w:eastAsiaTheme="majorEastAsia" w:cstheme="majorEastAsia"/>
          <w:b/>
          <w:bCs/>
          <w:sz w:val="36"/>
          <w:szCs w:val="36"/>
        </w:rPr>
        <w:t>年</w:t>
      </w:r>
      <w:r>
        <w:rPr>
          <w:rFonts w:hint="eastAsia" w:asciiTheme="majorEastAsia" w:hAnsiTheme="majorEastAsia" w:eastAsiaTheme="majorEastAsia" w:cstheme="majorEastAsia"/>
          <w:b/>
          <w:bCs/>
          <w:sz w:val="36"/>
          <w:szCs w:val="36"/>
          <w:lang w:eastAsia="zh-CN"/>
        </w:rPr>
        <w:t>健康南网行动药品、器械</w:t>
      </w:r>
      <w:r>
        <w:rPr>
          <w:rFonts w:hint="eastAsia" w:asciiTheme="majorEastAsia" w:hAnsiTheme="majorEastAsia" w:eastAsiaTheme="majorEastAsia" w:cstheme="majorEastAsia"/>
          <w:b/>
          <w:bCs/>
          <w:sz w:val="36"/>
          <w:szCs w:val="36"/>
        </w:rPr>
        <w:t>采购技术规范书</w:t>
      </w:r>
    </w:p>
    <w:p w14:paraId="512E626E">
      <w:pPr>
        <w:jc w:val="center"/>
        <w:rPr>
          <w:rFonts w:hint="eastAsia"/>
          <w:b/>
          <w:bCs/>
          <w:sz w:val="36"/>
          <w:szCs w:val="36"/>
        </w:rPr>
      </w:pPr>
    </w:p>
    <w:p w14:paraId="43BA1DCE">
      <w:pPr>
        <w:numPr>
          <w:ilvl w:val="0"/>
          <w:numId w:val="0"/>
        </w:numPr>
        <w:ind w:firstLine="640" w:firstLineChars="200"/>
        <w:jc w:val="both"/>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kern w:val="2"/>
          <w:sz w:val="32"/>
          <w:szCs w:val="32"/>
          <w:lang w:val="en-US" w:eastAsia="zh-CN" w:bidi="ar-SA"/>
        </w:rPr>
        <w:t>一、</w:t>
      </w:r>
      <w:r>
        <w:rPr>
          <w:rFonts w:hint="eastAsia" w:ascii="仿宋_GB2312" w:hAnsi="仿宋_GB2312" w:eastAsia="仿宋_GB2312" w:cs="仿宋_GB2312"/>
          <w:b w:val="0"/>
          <w:bCs w:val="0"/>
          <w:sz w:val="32"/>
          <w:szCs w:val="32"/>
          <w:lang w:val="en-US" w:eastAsia="zh-CN"/>
        </w:rPr>
        <w:t>项目概述</w:t>
      </w:r>
    </w:p>
    <w:p w14:paraId="093C2C69">
      <w:pPr>
        <w:keepNext w:val="0"/>
        <w:keepLines w:val="0"/>
        <w:pageBreakBefore w:val="0"/>
        <w:numPr>
          <w:ilvl w:val="0"/>
          <w:numId w:val="0"/>
        </w:numPr>
        <w:kinsoku/>
        <w:wordWrap/>
        <w:overflowPunct/>
        <w:topLinePunct w:val="0"/>
        <w:autoSpaceDE/>
        <w:autoSpaceDN/>
        <w:bidi w:val="0"/>
        <w:adjustRightInd/>
        <w:snapToGrid/>
        <w:spacing w:line="240" w:lineRule="auto"/>
        <w:jc w:val="both"/>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    为规范贵州电力交易中心有限责任公司2026年健康南网行动药品、器械采购流程，合理控制成本且能同时满足贵州电力交易中心各部门职工日常健康使用。</w:t>
      </w:r>
    </w:p>
    <w:p w14:paraId="0BA09C59">
      <w:pPr>
        <w:keepNext w:val="0"/>
        <w:keepLines w:val="0"/>
        <w:pageBreakBefore w:val="0"/>
        <w:numPr>
          <w:ilvl w:val="0"/>
          <w:numId w:val="0"/>
        </w:numPr>
        <w:kinsoku/>
        <w:wordWrap/>
        <w:overflowPunct/>
        <w:topLinePunct w:val="0"/>
        <w:autoSpaceDE/>
        <w:autoSpaceDN/>
        <w:bidi w:val="0"/>
        <w:adjustRightInd/>
        <w:snapToGrid/>
        <w:spacing w:line="240" w:lineRule="auto"/>
        <w:ind w:firstLine="643" w:firstLineChars="200"/>
        <w:jc w:val="both"/>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bCs/>
          <w:kern w:val="2"/>
          <w:sz w:val="32"/>
          <w:szCs w:val="32"/>
          <w:lang w:val="en-US" w:eastAsia="zh-CN" w:bidi="ar-SA"/>
        </w:rPr>
        <w:t>二、</w:t>
      </w:r>
      <w:r>
        <w:rPr>
          <w:rFonts w:hint="eastAsia" w:ascii="仿宋_GB2312" w:hAnsi="仿宋_GB2312" w:eastAsia="仿宋_GB2312" w:cs="仿宋_GB2312"/>
          <w:b w:val="0"/>
          <w:bCs w:val="0"/>
          <w:sz w:val="32"/>
          <w:szCs w:val="32"/>
          <w:lang w:val="en-US" w:eastAsia="zh-CN"/>
        </w:rPr>
        <w:t>采购范围（详见附件：1，另附表格）</w:t>
      </w:r>
    </w:p>
    <w:p w14:paraId="05A235E2">
      <w:pPr>
        <w:keepNext w:val="0"/>
        <w:keepLines w:val="0"/>
        <w:pageBreakBefore w:val="0"/>
        <w:numPr>
          <w:ilvl w:val="0"/>
          <w:numId w:val="0"/>
        </w:numPr>
        <w:kinsoku/>
        <w:wordWrap/>
        <w:overflowPunct/>
        <w:topLinePunct w:val="0"/>
        <w:autoSpaceDE/>
        <w:autoSpaceDN/>
        <w:bidi w:val="0"/>
        <w:adjustRightInd/>
        <w:snapToGrid/>
        <w:spacing w:line="240" w:lineRule="auto"/>
        <w:ind w:firstLine="643" w:firstLineChars="200"/>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备注：实际采购明细根据贵州电力交易中心实际需要一次下单，附件1：《</w:t>
      </w:r>
      <w:r>
        <w:rPr>
          <w:rFonts w:hint="eastAsia" w:ascii="仿宋_GB2312" w:hAnsi="仿宋_GB2312" w:eastAsia="仿宋_GB2312" w:cs="仿宋_GB2312"/>
          <w:b/>
          <w:bCs/>
          <w:sz w:val="32"/>
          <w:szCs w:val="32"/>
        </w:rPr>
        <w:t>贵州电力交易中心2026 健康南网行动药品、器械采购清单</w:t>
      </w:r>
      <w:r>
        <w:rPr>
          <w:rFonts w:hint="eastAsia" w:ascii="仿宋_GB2312" w:hAnsi="仿宋_GB2312" w:eastAsia="仿宋_GB2312" w:cs="仿宋_GB2312"/>
          <w:b/>
          <w:bCs/>
          <w:sz w:val="32"/>
          <w:szCs w:val="32"/>
          <w:lang w:val="en-US" w:eastAsia="zh-CN"/>
        </w:rPr>
        <w:t>》表中所列产品名称、数量为采购品种、数量。</w:t>
      </w:r>
    </w:p>
    <w:p w14:paraId="7886B57A">
      <w:pPr>
        <w:keepNext w:val="0"/>
        <w:keepLines w:val="0"/>
        <w:pageBreakBefore w:val="0"/>
        <w:numPr>
          <w:ilvl w:val="0"/>
          <w:numId w:val="0"/>
        </w:numPr>
        <w:kinsoku/>
        <w:wordWrap/>
        <w:overflowPunct/>
        <w:topLinePunct w:val="0"/>
        <w:autoSpaceDE/>
        <w:autoSpaceDN/>
        <w:bidi w:val="0"/>
        <w:adjustRightInd/>
        <w:snapToGrid/>
        <w:spacing w:line="240" w:lineRule="auto"/>
        <w:ind w:firstLine="560"/>
        <w:jc w:val="both"/>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kern w:val="2"/>
          <w:sz w:val="32"/>
          <w:szCs w:val="32"/>
          <w:lang w:val="en-US" w:eastAsia="zh-CN" w:bidi="ar-SA"/>
        </w:rPr>
        <w:t>三、</w:t>
      </w:r>
      <w:r>
        <w:rPr>
          <w:rFonts w:hint="eastAsia" w:ascii="仿宋_GB2312" w:hAnsi="仿宋_GB2312" w:eastAsia="仿宋_GB2312" w:cs="仿宋_GB2312"/>
          <w:b w:val="0"/>
          <w:bCs w:val="0"/>
          <w:sz w:val="32"/>
          <w:szCs w:val="32"/>
          <w:lang w:val="en-US" w:eastAsia="zh-CN"/>
        </w:rPr>
        <w:t>生产日期：采购合同签订之日起</w:t>
      </w:r>
      <w:bookmarkStart w:id="0" w:name="_GoBack"/>
      <w:bookmarkEnd w:id="0"/>
      <w:r>
        <w:rPr>
          <w:rFonts w:hint="eastAsia" w:ascii="仿宋_GB2312" w:hAnsi="仿宋_GB2312" w:eastAsia="仿宋_GB2312" w:cs="仿宋_GB2312"/>
          <w:b w:val="0"/>
          <w:bCs w:val="0"/>
          <w:sz w:val="32"/>
          <w:szCs w:val="32"/>
          <w:lang w:val="en-US" w:eastAsia="zh-CN"/>
        </w:rPr>
        <w:t>一年内。</w:t>
      </w:r>
    </w:p>
    <w:p w14:paraId="0CC9E640">
      <w:pPr>
        <w:keepNext w:val="0"/>
        <w:keepLines w:val="0"/>
        <w:pageBreakBefore w:val="0"/>
        <w:numPr>
          <w:ilvl w:val="0"/>
          <w:numId w:val="0"/>
        </w:numPr>
        <w:kinsoku/>
        <w:wordWrap/>
        <w:overflowPunct/>
        <w:topLinePunct w:val="0"/>
        <w:autoSpaceDE/>
        <w:autoSpaceDN/>
        <w:bidi w:val="0"/>
        <w:adjustRightInd/>
        <w:snapToGrid/>
        <w:spacing w:line="240" w:lineRule="auto"/>
        <w:ind w:firstLine="560"/>
        <w:jc w:val="both"/>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kern w:val="2"/>
          <w:sz w:val="32"/>
          <w:szCs w:val="32"/>
          <w:lang w:val="en-US" w:eastAsia="zh-CN" w:bidi="ar-SA"/>
        </w:rPr>
        <w:t>四、</w:t>
      </w:r>
      <w:r>
        <w:rPr>
          <w:rFonts w:hint="eastAsia" w:ascii="仿宋_GB2312" w:hAnsi="仿宋_GB2312" w:eastAsia="仿宋_GB2312" w:cs="仿宋_GB2312"/>
          <w:b w:val="0"/>
          <w:bCs w:val="0"/>
          <w:sz w:val="32"/>
          <w:szCs w:val="32"/>
          <w:lang w:val="en-US" w:eastAsia="zh-CN"/>
        </w:rPr>
        <w:t>配送要求：根据贵州电力交易中心要求，按时间、质量、数量送到指定地点。</w:t>
      </w:r>
    </w:p>
    <w:p w14:paraId="6DBAD879">
      <w:pPr>
        <w:keepNext w:val="0"/>
        <w:keepLines w:val="0"/>
        <w:pageBreakBefore w:val="0"/>
        <w:numPr>
          <w:ilvl w:val="0"/>
          <w:numId w:val="0"/>
        </w:numPr>
        <w:kinsoku/>
        <w:wordWrap/>
        <w:overflowPunct/>
        <w:topLinePunct w:val="0"/>
        <w:autoSpaceDE/>
        <w:autoSpaceDN/>
        <w:bidi w:val="0"/>
        <w:adjustRightInd/>
        <w:snapToGrid/>
        <w:spacing w:line="240" w:lineRule="auto"/>
        <w:ind w:firstLine="560"/>
        <w:jc w:val="both"/>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五、供应商要求</w:t>
      </w:r>
    </w:p>
    <w:p w14:paraId="0BB84705">
      <w:pPr>
        <w:keepNext w:val="0"/>
        <w:keepLines w:val="0"/>
        <w:pageBreakBefore w:val="0"/>
        <w:numPr>
          <w:ilvl w:val="0"/>
          <w:numId w:val="0"/>
        </w:numPr>
        <w:kinsoku/>
        <w:wordWrap/>
        <w:overflowPunct/>
        <w:topLinePunct w:val="0"/>
        <w:autoSpaceDE/>
        <w:autoSpaceDN/>
        <w:bidi w:val="0"/>
        <w:adjustRightInd/>
        <w:snapToGrid/>
        <w:spacing w:line="240" w:lineRule="auto"/>
        <w:ind w:firstLine="56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1.具有国家法律、法规允许的药品经营许可证，或生产许可证；具有《营业执照》相关资质。</w:t>
      </w:r>
    </w:p>
    <w:p w14:paraId="4AE23352">
      <w:pPr>
        <w:keepNext w:val="0"/>
        <w:keepLines w:val="0"/>
        <w:pageBreakBefore w:val="0"/>
        <w:numPr>
          <w:ilvl w:val="0"/>
          <w:numId w:val="0"/>
        </w:numPr>
        <w:kinsoku/>
        <w:wordWrap/>
        <w:overflowPunct/>
        <w:topLinePunct w:val="0"/>
        <w:autoSpaceDE/>
        <w:autoSpaceDN/>
        <w:bidi w:val="0"/>
        <w:adjustRightInd/>
        <w:snapToGrid/>
        <w:spacing w:line="240" w:lineRule="auto"/>
        <w:ind w:firstLine="560"/>
        <w:jc w:val="both"/>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b w:val="0"/>
          <w:bCs w:val="0"/>
          <w:sz w:val="32"/>
          <w:szCs w:val="32"/>
          <w:lang w:val="en-US" w:eastAsia="zh-CN"/>
        </w:rPr>
        <w:t>具有良好的商业信誉和健全的财务会计制度，近三年内无重大违法违纪记录。</w:t>
      </w:r>
    </w:p>
    <w:p w14:paraId="3F903A4B">
      <w:pPr>
        <w:keepNext w:val="0"/>
        <w:keepLines w:val="0"/>
        <w:pageBreakBefore w:val="0"/>
        <w:numPr>
          <w:ilvl w:val="0"/>
          <w:numId w:val="0"/>
        </w:numPr>
        <w:kinsoku/>
        <w:wordWrap/>
        <w:overflowPunct/>
        <w:topLinePunct w:val="0"/>
        <w:autoSpaceDE/>
        <w:autoSpaceDN/>
        <w:bidi w:val="0"/>
        <w:adjustRightInd/>
        <w:snapToGrid/>
        <w:spacing w:line="240" w:lineRule="auto"/>
        <w:ind w:firstLine="560"/>
        <w:jc w:val="both"/>
        <w:rPr>
          <w:rFonts w:hint="eastAsia" w:ascii="仿宋_GB2312" w:hAnsi="仿宋_GB2312" w:eastAsia="仿宋_GB2312" w:cs="仿宋_GB2312"/>
          <w:b w:val="0"/>
          <w:bCs/>
          <w:color w:val="000000"/>
          <w:sz w:val="32"/>
          <w:szCs w:val="32"/>
          <w:lang w:eastAsia="zh-CN"/>
        </w:rPr>
      </w:pPr>
      <w:r>
        <w:rPr>
          <w:rFonts w:hint="eastAsia" w:ascii="仿宋_GB2312" w:hAnsi="仿宋_GB2312" w:eastAsia="仿宋_GB2312" w:cs="仿宋_GB2312"/>
          <w:b w:val="0"/>
          <w:bCs/>
          <w:color w:val="000000"/>
          <w:sz w:val="32"/>
          <w:szCs w:val="32"/>
          <w:lang w:val="en-US" w:eastAsia="zh-CN"/>
        </w:rPr>
        <w:t>3.</w:t>
      </w:r>
      <w:r>
        <w:rPr>
          <w:rFonts w:hint="eastAsia" w:ascii="仿宋_GB2312" w:hAnsi="仿宋_GB2312" w:eastAsia="仿宋_GB2312" w:cs="仿宋_GB2312"/>
          <w:b w:val="0"/>
          <w:bCs/>
          <w:color w:val="000000"/>
          <w:sz w:val="32"/>
          <w:szCs w:val="32"/>
          <w:lang w:eastAsia="zh-CN"/>
        </w:rPr>
        <w:t>供应商证明文件</w:t>
      </w:r>
    </w:p>
    <w:p w14:paraId="0F8B93CF">
      <w:pPr>
        <w:keepNext w:val="0"/>
        <w:keepLines w:val="0"/>
        <w:pageBreakBefore w:val="0"/>
        <w:numPr>
          <w:ilvl w:val="0"/>
          <w:numId w:val="0"/>
        </w:numPr>
        <w:kinsoku/>
        <w:wordWrap/>
        <w:overflowPunct/>
        <w:topLinePunct w:val="0"/>
        <w:autoSpaceDE/>
        <w:autoSpaceDN/>
        <w:bidi w:val="0"/>
        <w:adjustRightInd/>
        <w:snapToGrid/>
        <w:spacing w:line="240" w:lineRule="auto"/>
        <w:ind w:firstLine="560"/>
        <w:jc w:val="both"/>
        <w:rPr>
          <w:rFonts w:hint="eastAsia" w:ascii="仿宋_GB2312" w:hAnsi="仿宋_GB2312" w:eastAsia="仿宋_GB2312" w:cs="仿宋_GB2312"/>
          <w:b w:val="0"/>
          <w:bCs/>
          <w:color w:val="auto"/>
          <w:kern w:val="2"/>
          <w:sz w:val="32"/>
          <w:szCs w:val="32"/>
          <w:highlight w:val="none"/>
          <w:lang w:val="en-US" w:eastAsia="zh-CN" w:bidi="ar-SA"/>
        </w:rPr>
      </w:pPr>
      <w:r>
        <w:rPr>
          <w:rFonts w:hint="eastAsia" w:ascii="仿宋_GB2312" w:hAnsi="仿宋_GB2312" w:eastAsia="仿宋_GB2312" w:cs="仿宋_GB2312"/>
          <w:b w:val="0"/>
          <w:bCs/>
          <w:color w:val="auto"/>
          <w:kern w:val="2"/>
          <w:sz w:val="32"/>
          <w:szCs w:val="32"/>
          <w:lang w:val="en-US" w:eastAsia="zh-CN" w:bidi="ar-SA"/>
        </w:rPr>
        <w:t>供应商</w:t>
      </w:r>
      <w:r>
        <w:rPr>
          <w:rFonts w:hint="eastAsia" w:ascii="仿宋_GB2312" w:hAnsi="仿宋_GB2312" w:eastAsia="仿宋_GB2312" w:cs="仿宋_GB2312"/>
          <w:b w:val="0"/>
          <w:bCs/>
          <w:color w:val="auto"/>
          <w:kern w:val="2"/>
          <w:sz w:val="32"/>
          <w:szCs w:val="32"/>
          <w:highlight w:val="none"/>
          <w:lang w:val="en-US" w:eastAsia="zh-CN" w:bidi="ar-SA"/>
        </w:rPr>
        <w:t>必须按要求格式提供上传以下证明文件</w:t>
      </w:r>
      <w:r>
        <w:rPr>
          <w:rFonts w:hint="eastAsia" w:ascii="仿宋_GB2312" w:hAnsi="仿宋_GB2312" w:eastAsia="仿宋_GB2312" w:cs="仿宋_GB2312"/>
          <w:b w:val="0"/>
          <w:bCs/>
          <w:color w:val="auto"/>
          <w:kern w:val="2"/>
          <w:sz w:val="32"/>
          <w:szCs w:val="32"/>
          <w:lang w:val="en-US" w:eastAsia="zh-CN" w:bidi="ar-SA"/>
        </w:rPr>
        <w:t>盖章版</w:t>
      </w:r>
      <w:r>
        <w:rPr>
          <w:rFonts w:hint="eastAsia" w:ascii="仿宋_GB2312" w:hAnsi="仿宋_GB2312" w:eastAsia="仿宋_GB2312" w:cs="仿宋_GB2312"/>
          <w:b w:val="0"/>
          <w:bCs/>
          <w:color w:val="auto"/>
          <w:kern w:val="2"/>
          <w:sz w:val="32"/>
          <w:szCs w:val="32"/>
          <w:highlight w:val="none"/>
          <w:lang w:val="en-US" w:eastAsia="zh-CN" w:bidi="ar-SA"/>
        </w:rPr>
        <w:t>扫描件，否则按照废标处理。</w:t>
      </w:r>
    </w:p>
    <w:p w14:paraId="3C843A67">
      <w:pPr>
        <w:keepNext w:val="0"/>
        <w:keepLines w:val="0"/>
        <w:pageBreakBefore w:val="0"/>
        <w:numPr>
          <w:ilvl w:val="0"/>
          <w:numId w:val="0"/>
        </w:numPr>
        <w:kinsoku/>
        <w:wordWrap/>
        <w:overflowPunct/>
        <w:topLinePunct w:val="0"/>
        <w:autoSpaceDE/>
        <w:autoSpaceDN/>
        <w:bidi w:val="0"/>
        <w:adjustRightInd/>
        <w:snapToGrid/>
        <w:spacing w:line="240" w:lineRule="auto"/>
        <w:ind w:firstLine="560"/>
        <w:jc w:val="both"/>
        <w:rPr>
          <w:rFonts w:hint="eastAsia" w:ascii="仿宋_GB2312" w:hAnsi="仿宋_GB2312" w:eastAsia="仿宋_GB2312" w:cs="仿宋_GB2312"/>
          <w:b w:val="0"/>
          <w:bCs/>
          <w:color w:val="000000"/>
          <w:kern w:val="2"/>
          <w:sz w:val="32"/>
          <w:szCs w:val="32"/>
          <w:lang w:val="en-US" w:eastAsia="zh-CN" w:bidi="ar-SA"/>
        </w:rPr>
      </w:pPr>
      <w:r>
        <w:rPr>
          <w:rFonts w:hint="eastAsia" w:ascii="仿宋_GB2312" w:hAnsi="仿宋_GB2312" w:eastAsia="仿宋_GB2312" w:cs="仿宋_GB2312"/>
          <w:b w:val="0"/>
          <w:bCs/>
          <w:color w:val="000000"/>
          <w:kern w:val="2"/>
          <w:sz w:val="32"/>
          <w:szCs w:val="32"/>
          <w:lang w:val="en-US" w:eastAsia="zh-CN" w:bidi="ar-SA"/>
        </w:rPr>
        <w:t>（1）法定代表人资格证明书，格式详见附件1。</w:t>
      </w:r>
    </w:p>
    <w:p w14:paraId="43E026E4">
      <w:pPr>
        <w:keepNext w:val="0"/>
        <w:keepLines w:val="0"/>
        <w:pageBreakBefore w:val="0"/>
        <w:numPr>
          <w:ilvl w:val="0"/>
          <w:numId w:val="0"/>
        </w:numPr>
        <w:kinsoku/>
        <w:wordWrap/>
        <w:overflowPunct/>
        <w:topLinePunct w:val="0"/>
        <w:autoSpaceDE/>
        <w:autoSpaceDN/>
        <w:bidi w:val="0"/>
        <w:adjustRightInd/>
        <w:snapToGrid/>
        <w:spacing w:line="240" w:lineRule="auto"/>
        <w:ind w:firstLine="560"/>
        <w:jc w:val="both"/>
        <w:rPr>
          <w:rFonts w:hint="eastAsia" w:ascii="仿宋_GB2312" w:hAnsi="仿宋_GB2312" w:eastAsia="仿宋_GB2312" w:cs="仿宋_GB2312"/>
          <w:b w:val="0"/>
          <w:bCs/>
          <w:color w:val="000000"/>
          <w:kern w:val="2"/>
          <w:sz w:val="32"/>
          <w:szCs w:val="32"/>
          <w:lang w:val="en-US" w:eastAsia="zh-CN" w:bidi="ar-SA"/>
        </w:rPr>
      </w:pPr>
      <w:r>
        <w:rPr>
          <w:rFonts w:hint="eastAsia" w:ascii="仿宋_GB2312" w:hAnsi="仿宋_GB2312" w:eastAsia="仿宋_GB2312" w:cs="仿宋_GB2312"/>
          <w:b w:val="0"/>
          <w:bCs/>
          <w:color w:val="000000"/>
          <w:kern w:val="2"/>
          <w:sz w:val="32"/>
          <w:szCs w:val="32"/>
          <w:lang w:val="en-US" w:eastAsia="zh-CN" w:bidi="ar-SA"/>
        </w:rPr>
        <w:t>（2）法定代表人授权委托书，格式详见附件2。</w:t>
      </w:r>
    </w:p>
    <w:p w14:paraId="5C275AB0">
      <w:pPr>
        <w:keepNext w:val="0"/>
        <w:keepLines w:val="0"/>
        <w:pageBreakBefore w:val="0"/>
        <w:numPr>
          <w:ilvl w:val="0"/>
          <w:numId w:val="0"/>
        </w:numPr>
        <w:kinsoku/>
        <w:wordWrap/>
        <w:overflowPunct/>
        <w:topLinePunct w:val="0"/>
        <w:autoSpaceDE/>
        <w:autoSpaceDN/>
        <w:bidi w:val="0"/>
        <w:adjustRightInd/>
        <w:snapToGrid/>
        <w:spacing w:line="240" w:lineRule="auto"/>
        <w:ind w:firstLine="560"/>
        <w:jc w:val="both"/>
        <w:rPr>
          <w:rFonts w:hint="eastAsia" w:ascii="仿宋_GB2312" w:hAnsi="仿宋_GB2312" w:eastAsia="仿宋_GB2312" w:cs="仿宋_GB2312"/>
          <w:b w:val="0"/>
          <w:bCs/>
          <w:color w:val="000000"/>
          <w:kern w:val="2"/>
          <w:sz w:val="32"/>
          <w:szCs w:val="32"/>
          <w:lang w:val="en-US" w:eastAsia="zh-CN" w:bidi="ar-SA"/>
        </w:rPr>
      </w:pPr>
      <w:r>
        <w:rPr>
          <w:rFonts w:hint="eastAsia" w:ascii="仿宋_GB2312" w:hAnsi="仿宋_GB2312" w:eastAsia="仿宋_GB2312" w:cs="仿宋_GB2312"/>
          <w:b w:val="0"/>
          <w:bCs/>
          <w:color w:val="000000"/>
          <w:kern w:val="2"/>
          <w:sz w:val="32"/>
          <w:szCs w:val="32"/>
          <w:lang w:val="en-US" w:eastAsia="zh-CN" w:bidi="ar-SA"/>
        </w:rPr>
        <w:t>（3）相关证件复印件，包括营业执照、资质证书等；</w:t>
      </w:r>
    </w:p>
    <w:p w14:paraId="7B134936">
      <w:pPr>
        <w:keepNext w:val="0"/>
        <w:keepLines w:val="0"/>
        <w:pageBreakBefore w:val="0"/>
        <w:numPr>
          <w:ilvl w:val="0"/>
          <w:numId w:val="0"/>
        </w:numPr>
        <w:kinsoku/>
        <w:wordWrap/>
        <w:overflowPunct/>
        <w:topLinePunct w:val="0"/>
        <w:autoSpaceDE/>
        <w:autoSpaceDN/>
        <w:bidi w:val="0"/>
        <w:adjustRightInd/>
        <w:snapToGrid/>
        <w:spacing w:line="240" w:lineRule="auto"/>
        <w:ind w:firstLine="560"/>
        <w:jc w:val="both"/>
        <w:rPr>
          <w:rFonts w:hint="eastAsia" w:ascii="仿宋_GB2312" w:hAnsi="仿宋_GB2312" w:eastAsia="仿宋_GB2312" w:cs="仿宋_GB2312"/>
          <w:b w:val="0"/>
          <w:bCs/>
          <w:color w:val="000000"/>
          <w:kern w:val="2"/>
          <w:sz w:val="32"/>
          <w:szCs w:val="32"/>
          <w:lang w:val="en-US" w:eastAsia="zh-CN" w:bidi="ar-SA"/>
        </w:rPr>
      </w:pPr>
      <w:r>
        <w:rPr>
          <w:rFonts w:hint="eastAsia" w:ascii="仿宋_GB2312" w:hAnsi="仿宋_GB2312" w:eastAsia="仿宋_GB2312" w:cs="仿宋_GB2312"/>
          <w:b w:val="0"/>
          <w:bCs/>
          <w:color w:val="000000"/>
          <w:kern w:val="2"/>
          <w:sz w:val="32"/>
          <w:szCs w:val="32"/>
          <w:lang w:val="en-US" w:eastAsia="zh-CN" w:bidi="ar-SA"/>
        </w:rPr>
        <w:t>（4）报价明细表；</w:t>
      </w:r>
    </w:p>
    <w:p w14:paraId="531115BF">
      <w:pPr>
        <w:keepNext w:val="0"/>
        <w:keepLines w:val="0"/>
        <w:pageBreakBefore w:val="0"/>
        <w:numPr>
          <w:ilvl w:val="0"/>
          <w:numId w:val="0"/>
        </w:numPr>
        <w:kinsoku/>
        <w:wordWrap/>
        <w:overflowPunct/>
        <w:topLinePunct w:val="0"/>
        <w:autoSpaceDE/>
        <w:autoSpaceDN/>
        <w:bidi w:val="0"/>
        <w:adjustRightInd/>
        <w:snapToGrid/>
        <w:spacing w:line="240" w:lineRule="auto"/>
        <w:ind w:firstLine="560"/>
        <w:jc w:val="both"/>
        <w:rPr>
          <w:rFonts w:hint="eastAsia" w:ascii="仿宋_GB2312" w:hAnsi="仿宋_GB2312" w:eastAsia="仿宋_GB2312" w:cs="仿宋_GB2312"/>
          <w:b w:val="0"/>
          <w:bCs/>
          <w:color w:val="000000"/>
          <w:kern w:val="2"/>
          <w:sz w:val="32"/>
          <w:szCs w:val="32"/>
          <w:lang w:val="en-US" w:eastAsia="zh-CN" w:bidi="ar-SA"/>
        </w:rPr>
      </w:pPr>
      <w:r>
        <w:rPr>
          <w:rFonts w:hint="eastAsia" w:ascii="仿宋_GB2312" w:hAnsi="仿宋_GB2312" w:eastAsia="仿宋_GB2312" w:cs="仿宋_GB2312"/>
          <w:b w:val="0"/>
          <w:bCs/>
          <w:color w:val="000000"/>
          <w:kern w:val="2"/>
          <w:sz w:val="32"/>
          <w:szCs w:val="32"/>
          <w:lang w:val="en-US" w:eastAsia="zh-CN" w:bidi="ar-SA"/>
        </w:rPr>
        <w:t>（5）公司简介；</w:t>
      </w:r>
    </w:p>
    <w:p w14:paraId="4D324E0A">
      <w:pPr>
        <w:keepNext w:val="0"/>
        <w:keepLines w:val="0"/>
        <w:pageBreakBefore w:val="0"/>
        <w:numPr>
          <w:ilvl w:val="0"/>
          <w:numId w:val="0"/>
        </w:numPr>
        <w:kinsoku/>
        <w:wordWrap/>
        <w:overflowPunct/>
        <w:topLinePunct w:val="0"/>
        <w:autoSpaceDE/>
        <w:autoSpaceDN/>
        <w:bidi w:val="0"/>
        <w:adjustRightInd/>
        <w:snapToGrid/>
        <w:spacing w:line="240" w:lineRule="auto"/>
        <w:ind w:firstLine="560"/>
        <w:jc w:val="both"/>
        <w:rPr>
          <w:rFonts w:hint="eastAsia" w:ascii="仿宋_GB2312" w:hAnsi="仿宋_GB2312" w:eastAsia="仿宋_GB2312" w:cs="仿宋_GB2312"/>
          <w:b w:val="0"/>
          <w:bCs/>
          <w:color w:val="000000"/>
          <w:kern w:val="2"/>
          <w:sz w:val="32"/>
          <w:szCs w:val="32"/>
          <w:lang w:val="en-US" w:eastAsia="zh-CN" w:bidi="ar-SA"/>
        </w:rPr>
      </w:pPr>
      <w:r>
        <w:rPr>
          <w:rFonts w:hint="eastAsia" w:ascii="仿宋_GB2312" w:hAnsi="仿宋_GB2312" w:eastAsia="仿宋_GB2312" w:cs="仿宋_GB2312"/>
          <w:b w:val="0"/>
          <w:bCs/>
          <w:color w:val="000000"/>
          <w:kern w:val="2"/>
          <w:sz w:val="32"/>
          <w:szCs w:val="32"/>
          <w:lang w:val="en-US" w:eastAsia="zh-CN" w:bidi="ar-SA"/>
        </w:rPr>
        <w:t>（6）业绩证明；</w:t>
      </w:r>
    </w:p>
    <w:p w14:paraId="783305FD">
      <w:pPr>
        <w:keepNext w:val="0"/>
        <w:keepLines w:val="0"/>
        <w:pageBreakBefore w:val="0"/>
        <w:numPr>
          <w:ilvl w:val="0"/>
          <w:numId w:val="0"/>
        </w:numPr>
        <w:kinsoku/>
        <w:wordWrap/>
        <w:overflowPunct/>
        <w:topLinePunct w:val="0"/>
        <w:autoSpaceDE/>
        <w:autoSpaceDN/>
        <w:bidi w:val="0"/>
        <w:adjustRightInd/>
        <w:snapToGrid/>
        <w:spacing w:line="240" w:lineRule="auto"/>
        <w:ind w:firstLine="560"/>
        <w:jc w:val="both"/>
        <w:rPr>
          <w:rFonts w:hint="eastAsia" w:ascii="仿宋_GB2312" w:hAnsi="仿宋_GB2312" w:eastAsia="仿宋_GB2312" w:cs="仿宋_GB2312"/>
          <w:b w:val="0"/>
          <w:bCs/>
          <w:color w:val="000000"/>
          <w:kern w:val="2"/>
          <w:sz w:val="32"/>
          <w:szCs w:val="32"/>
          <w:lang w:val="en-US" w:eastAsia="zh-CN" w:bidi="ar-SA"/>
        </w:rPr>
      </w:pPr>
      <w:r>
        <w:rPr>
          <w:rFonts w:hint="eastAsia" w:ascii="仿宋_GB2312" w:hAnsi="仿宋_GB2312" w:eastAsia="仿宋_GB2312" w:cs="仿宋_GB2312"/>
          <w:b w:val="0"/>
          <w:bCs/>
          <w:color w:val="000000"/>
          <w:kern w:val="2"/>
          <w:sz w:val="32"/>
          <w:szCs w:val="32"/>
          <w:lang w:val="en-US" w:eastAsia="zh-CN" w:bidi="ar-SA"/>
        </w:rPr>
        <w:t>（7）技术要求中所需的资质文件。</w:t>
      </w:r>
    </w:p>
    <w:p w14:paraId="345899E6">
      <w:pPr>
        <w:keepNext w:val="0"/>
        <w:keepLines w:val="0"/>
        <w:pageBreakBefore w:val="0"/>
        <w:numPr>
          <w:ilvl w:val="0"/>
          <w:numId w:val="0"/>
        </w:numPr>
        <w:kinsoku/>
        <w:wordWrap/>
        <w:overflowPunct/>
        <w:topLinePunct w:val="0"/>
        <w:autoSpaceDE/>
        <w:autoSpaceDN/>
        <w:bidi w:val="0"/>
        <w:adjustRightInd/>
        <w:snapToGrid/>
        <w:spacing w:line="240" w:lineRule="auto"/>
        <w:ind w:firstLine="560"/>
        <w:jc w:val="both"/>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kern w:val="2"/>
          <w:sz w:val="32"/>
          <w:szCs w:val="32"/>
          <w:lang w:val="en-US" w:eastAsia="zh-CN" w:bidi="ar-SA"/>
        </w:rPr>
        <w:t>六、</w:t>
      </w:r>
      <w:r>
        <w:rPr>
          <w:rFonts w:hint="eastAsia" w:ascii="仿宋_GB2312" w:hAnsi="仿宋_GB2312" w:eastAsia="仿宋_GB2312" w:cs="仿宋_GB2312"/>
          <w:b w:val="0"/>
          <w:bCs w:val="0"/>
          <w:sz w:val="32"/>
          <w:szCs w:val="32"/>
          <w:lang w:val="en-US" w:eastAsia="zh-CN"/>
        </w:rPr>
        <w:t>质量标准</w:t>
      </w:r>
    </w:p>
    <w:p w14:paraId="6F610BD8">
      <w:pPr>
        <w:keepNext w:val="0"/>
        <w:keepLines w:val="0"/>
        <w:pageBreakBefore w:val="0"/>
        <w:numPr>
          <w:ilvl w:val="0"/>
          <w:numId w:val="0"/>
        </w:numPr>
        <w:kinsoku/>
        <w:wordWrap/>
        <w:overflowPunct/>
        <w:topLinePunct w:val="0"/>
        <w:autoSpaceDE/>
        <w:autoSpaceDN/>
        <w:bidi w:val="0"/>
        <w:adjustRightInd/>
        <w:snapToGrid/>
        <w:spacing w:line="240" w:lineRule="auto"/>
        <w:ind w:firstLine="560"/>
        <w:jc w:val="both"/>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1.药品质量标准：</w:t>
      </w:r>
      <w:r>
        <w:rPr>
          <w:rFonts w:hint="eastAsia" w:ascii="仿宋_GB2312" w:hAnsi="仿宋_GB2312" w:eastAsia="仿宋_GB2312" w:cs="仿宋_GB2312"/>
          <w:b w:val="0"/>
          <w:bCs w:val="0"/>
          <w:kern w:val="2"/>
          <w:sz w:val="32"/>
          <w:szCs w:val="32"/>
          <w:lang w:val="en-US" w:eastAsia="zh-CN" w:bidi="ar-SA"/>
        </w:rPr>
        <w:t>药品必须符合国家药典或相关药品标准，确保其安全性、有效性和质量可控性。标准涵盖药品的化学成分、物理性质、生物活性等。</w:t>
      </w:r>
    </w:p>
    <w:p w14:paraId="3CAADBF8">
      <w:pPr>
        <w:keepNext w:val="0"/>
        <w:keepLines w:val="0"/>
        <w:pageBreakBefore w:val="0"/>
        <w:numPr>
          <w:ilvl w:val="0"/>
          <w:numId w:val="0"/>
        </w:numPr>
        <w:kinsoku/>
        <w:wordWrap/>
        <w:overflowPunct/>
        <w:topLinePunct w:val="0"/>
        <w:autoSpaceDE/>
        <w:autoSpaceDN/>
        <w:bidi w:val="0"/>
        <w:adjustRightInd/>
        <w:snapToGrid/>
        <w:spacing w:line="240" w:lineRule="auto"/>
        <w:ind w:firstLine="560"/>
        <w:jc w:val="both"/>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2.医疗器械质量标准：</w:t>
      </w:r>
      <w:r>
        <w:rPr>
          <w:rFonts w:hint="eastAsia" w:ascii="仿宋_GB2312" w:hAnsi="仿宋_GB2312" w:eastAsia="仿宋_GB2312" w:cs="仿宋_GB2312"/>
          <w:b w:val="0"/>
          <w:bCs w:val="0"/>
          <w:kern w:val="2"/>
          <w:sz w:val="32"/>
          <w:szCs w:val="32"/>
          <w:lang w:val="en-US" w:eastAsia="zh-CN" w:bidi="ar-SA"/>
        </w:rPr>
        <w:t>医疗器械需符合国家医疗器械标准，包括产品的设计、制造、性能、安全性等方面的要求，确保其在使用过程中的安全性和有效性。</w:t>
      </w:r>
    </w:p>
    <w:p w14:paraId="541E5D57">
      <w:pPr>
        <w:keepNext w:val="0"/>
        <w:keepLines w:val="0"/>
        <w:pageBreakBefore w:val="0"/>
        <w:numPr>
          <w:ilvl w:val="0"/>
          <w:numId w:val="0"/>
        </w:numPr>
        <w:kinsoku/>
        <w:wordWrap/>
        <w:overflowPunct/>
        <w:topLinePunct w:val="0"/>
        <w:autoSpaceDE/>
        <w:autoSpaceDN/>
        <w:bidi w:val="0"/>
        <w:adjustRightInd/>
        <w:snapToGrid/>
        <w:spacing w:line="240" w:lineRule="auto"/>
        <w:ind w:firstLine="560"/>
        <w:jc w:val="both"/>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3.药品包装和标签标准：</w:t>
      </w:r>
      <w:r>
        <w:rPr>
          <w:rFonts w:hint="eastAsia" w:ascii="仿宋_GB2312" w:hAnsi="仿宋_GB2312" w:eastAsia="仿宋_GB2312" w:cs="仿宋_GB2312"/>
          <w:b w:val="0"/>
          <w:bCs w:val="0"/>
          <w:kern w:val="2"/>
          <w:sz w:val="32"/>
          <w:szCs w:val="32"/>
          <w:lang w:val="en-US" w:eastAsia="zh-CN" w:bidi="ar-SA"/>
        </w:rPr>
        <w:t>药品包装和标签需符合国家相关标准，确保药品信息的准确性和可追溯性，包括药品名称、成分、用法用量、生产日期、有效期等。</w:t>
      </w:r>
    </w:p>
    <w:p w14:paraId="36840C94">
      <w:pPr>
        <w:keepNext w:val="0"/>
        <w:keepLines w:val="0"/>
        <w:pageBreakBefore w:val="0"/>
        <w:numPr>
          <w:ilvl w:val="0"/>
          <w:numId w:val="0"/>
        </w:numPr>
        <w:kinsoku/>
        <w:wordWrap/>
        <w:overflowPunct/>
        <w:topLinePunct w:val="0"/>
        <w:autoSpaceDE/>
        <w:autoSpaceDN/>
        <w:bidi w:val="0"/>
        <w:adjustRightInd/>
        <w:snapToGrid/>
        <w:spacing w:line="240" w:lineRule="auto"/>
        <w:ind w:firstLine="560"/>
        <w:jc w:val="both"/>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4.</w:t>
      </w:r>
      <w:r>
        <w:rPr>
          <w:rFonts w:hint="eastAsia" w:ascii="仿宋_GB2312" w:hAnsi="仿宋_GB2312" w:eastAsia="仿宋_GB2312" w:cs="仿宋_GB2312"/>
          <w:b/>
          <w:bCs/>
          <w:kern w:val="2"/>
          <w:sz w:val="32"/>
          <w:szCs w:val="32"/>
          <w:lang w:val="en-US" w:eastAsia="zh-CN" w:bidi="ar-SA"/>
        </w:rPr>
        <w:t>药品储存和运输标准：</w:t>
      </w:r>
      <w:r>
        <w:rPr>
          <w:rFonts w:hint="eastAsia" w:ascii="仿宋_GB2312" w:hAnsi="仿宋_GB2312" w:eastAsia="仿宋_GB2312" w:cs="仿宋_GB2312"/>
          <w:b w:val="0"/>
          <w:bCs w:val="0"/>
          <w:kern w:val="2"/>
          <w:sz w:val="32"/>
          <w:szCs w:val="32"/>
          <w:lang w:val="en-US" w:eastAsia="zh-CN" w:bidi="ar-SA"/>
        </w:rPr>
        <w:t>药品在储存和运输过程中需符合国家相关标准，确保药品在储存和运输过程中的质量稳定，防止药品变质或失效。</w:t>
      </w:r>
    </w:p>
    <w:p w14:paraId="11905730">
      <w:pPr>
        <w:keepNext w:val="0"/>
        <w:keepLines w:val="0"/>
        <w:pageBreakBefore w:val="0"/>
        <w:numPr>
          <w:ilvl w:val="0"/>
          <w:numId w:val="0"/>
        </w:numPr>
        <w:kinsoku/>
        <w:wordWrap/>
        <w:overflowPunct/>
        <w:topLinePunct w:val="0"/>
        <w:autoSpaceDE/>
        <w:autoSpaceDN/>
        <w:bidi w:val="0"/>
        <w:adjustRightInd/>
        <w:snapToGrid/>
        <w:spacing w:line="240" w:lineRule="auto"/>
        <w:ind w:firstLine="56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kern w:val="2"/>
          <w:sz w:val="32"/>
          <w:szCs w:val="32"/>
          <w:lang w:val="en-US" w:eastAsia="zh-CN" w:bidi="ar-SA"/>
        </w:rPr>
        <w:t>七、</w:t>
      </w:r>
      <w:r>
        <w:rPr>
          <w:rFonts w:hint="eastAsia" w:ascii="仿宋_GB2312" w:hAnsi="仿宋_GB2312" w:eastAsia="仿宋_GB2312" w:cs="仿宋_GB2312"/>
          <w:sz w:val="32"/>
          <w:szCs w:val="32"/>
          <w:lang w:val="en-US" w:eastAsia="zh-CN"/>
        </w:rPr>
        <w:t>服务技术要求</w:t>
      </w:r>
    </w:p>
    <w:p w14:paraId="4AE39207">
      <w:pPr>
        <w:keepNext w:val="0"/>
        <w:keepLines w:val="0"/>
        <w:pageBreakBefore w:val="0"/>
        <w:numPr>
          <w:ilvl w:val="0"/>
          <w:numId w:val="0"/>
        </w:numPr>
        <w:kinsoku/>
        <w:wordWrap/>
        <w:overflowPunct/>
        <w:topLinePunct w:val="0"/>
        <w:autoSpaceDE/>
        <w:autoSpaceDN/>
        <w:bidi w:val="0"/>
        <w:adjustRightInd/>
        <w:snapToGrid/>
        <w:spacing w:line="240" w:lineRule="auto"/>
        <w:ind w:firstLine="56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（一）技术支持与售后服务</w:t>
      </w:r>
    </w:p>
    <w:p w14:paraId="0459E491">
      <w:pPr>
        <w:keepNext w:val="0"/>
        <w:keepLines w:val="0"/>
        <w:pageBreakBefore w:val="0"/>
        <w:numPr>
          <w:ilvl w:val="0"/>
          <w:numId w:val="0"/>
        </w:numPr>
        <w:kinsoku/>
        <w:wordWrap/>
        <w:overflowPunct/>
        <w:topLinePunct w:val="0"/>
        <w:autoSpaceDE/>
        <w:autoSpaceDN/>
        <w:bidi w:val="0"/>
        <w:adjustRightInd/>
        <w:snapToGrid/>
        <w:spacing w:line="240" w:lineRule="auto"/>
        <w:ind w:firstLine="56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1.技术支持热线：服务商应提供7×12小时免费技术支持热线，由技术人员接听并处理用药咨询、健康询问等相关问题。</w:t>
      </w:r>
    </w:p>
    <w:p w14:paraId="17D39F64">
      <w:pPr>
        <w:keepNext w:val="0"/>
        <w:keepLines w:val="0"/>
        <w:pageBreakBefore w:val="0"/>
        <w:numPr>
          <w:ilvl w:val="0"/>
          <w:numId w:val="0"/>
        </w:numPr>
        <w:kinsoku/>
        <w:wordWrap/>
        <w:overflowPunct/>
        <w:topLinePunct w:val="0"/>
        <w:autoSpaceDE/>
        <w:autoSpaceDN/>
        <w:bidi w:val="0"/>
        <w:adjustRightInd/>
        <w:snapToGrid/>
        <w:spacing w:line="240" w:lineRule="auto"/>
        <w:ind w:firstLine="56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2.响应时效：为保证器械设备</w:t>
      </w:r>
      <w:r>
        <w:rPr>
          <w:rFonts w:hint="eastAsia" w:ascii="仿宋_GB2312" w:hAnsi="仿宋_GB2312" w:eastAsia="仿宋_GB2312" w:cs="仿宋_GB2312"/>
          <w:i w:val="0"/>
          <w:iCs w:val="0"/>
          <w:color w:val="000000"/>
          <w:kern w:val="0"/>
          <w:sz w:val="32"/>
          <w:szCs w:val="32"/>
          <w:u w:val="none"/>
          <w:lang w:val="en-US" w:eastAsia="zh-CN" w:bidi="ar"/>
        </w:rPr>
        <w:t>（如血压计、血糖仪、血氧仪等）售后需求，一旦器械设施使用异常发生售后问题，</w:t>
      </w:r>
      <w:r>
        <w:rPr>
          <w:rFonts w:hint="eastAsia" w:ascii="仿宋_GB2312" w:hAnsi="仿宋_GB2312" w:eastAsia="仿宋_GB2312" w:cs="仿宋_GB2312"/>
          <w:sz w:val="32"/>
          <w:szCs w:val="32"/>
          <w:lang w:val="en-US" w:eastAsia="zh-CN"/>
        </w:rPr>
        <w:t>供应商需在2小时内响应并派专人到现场提供售后服务。</w:t>
      </w:r>
    </w:p>
    <w:p w14:paraId="144C5CBD">
      <w:pPr>
        <w:keepNext w:val="0"/>
        <w:keepLines w:val="0"/>
        <w:pageBreakBefore w:val="0"/>
        <w:numPr>
          <w:ilvl w:val="0"/>
          <w:numId w:val="0"/>
        </w:numPr>
        <w:kinsoku/>
        <w:wordWrap/>
        <w:overflowPunct/>
        <w:topLinePunct w:val="0"/>
        <w:autoSpaceDE/>
        <w:autoSpaceDN/>
        <w:bidi w:val="0"/>
        <w:adjustRightInd/>
        <w:snapToGrid/>
        <w:spacing w:line="240" w:lineRule="auto"/>
        <w:ind w:firstLine="56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3.维修与更换：如七天内未能修复器械设备故障的，服务商应免费更换并且在2小时内免费配送上门。</w:t>
      </w:r>
    </w:p>
    <w:p w14:paraId="665A37E4">
      <w:pPr>
        <w:keepNext w:val="0"/>
        <w:keepLines w:val="0"/>
        <w:pageBreakBefore w:val="0"/>
        <w:numPr>
          <w:ilvl w:val="0"/>
          <w:numId w:val="0"/>
        </w:numPr>
        <w:kinsoku/>
        <w:wordWrap/>
        <w:overflowPunct/>
        <w:topLinePunct w:val="0"/>
        <w:autoSpaceDE/>
        <w:autoSpaceDN/>
        <w:bidi w:val="0"/>
        <w:adjustRightInd/>
        <w:snapToGrid/>
        <w:spacing w:line="240" w:lineRule="auto"/>
        <w:ind w:firstLine="56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（二）服务内容范围</w:t>
      </w:r>
    </w:p>
    <w:p w14:paraId="657E9FD2">
      <w:pPr>
        <w:keepNext w:val="0"/>
        <w:keepLines w:val="0"/>
        <w:pageBreakBefore w:val="0"/>
        <w:numPr>
          <w:ilvl w:val="0"/>
          <w:numId w:val="0"/>
        </w:numPr>
        <w:kinsoku/>
        <w:wordWrap/>
        <w:overflowPunct/>
        <w:topLinePunct w:val="0"/>
        <w:autoSpaceDE/>
        <w:autoSpaceDN/>
        <w:bidi w:val="0"/>
        <w:adjustRightInd/>
        <w:snapToGrid/>
        <w:spacing w:line="240" w:lineRule="auto"/>
        <w:ind w:firstLine="560"/>
        <w:jc w:val="both"/>
        <w:rPr>
          <w:rFonts w:hint="eastAsia" w:ascii="仿宋_GB2312" w:hAnsi="仿宋_GB2312" w:eastAsia="仿宋_GB2312" w:cs="仿宋_GB2312"/>
          <w:color w:val="FF0000"/>
          <w:sz w:val="32"/>
          <w:szCs w:val="32"/>
          <w:lang w:val="en-US" w:eastAsia="zh-CN"/>
        </w:rPr>
      </w:pPr>
      <w:r>
        <w:rPr>
          <w:rFonts w:hint="eastAsia" w:ascii="仿宋_GB2312" w:hAnsi="仿宋_GB2312" w:eastAsia="仿宋_GB2312" w:cs="仿宋_GB2312"/>
          <w:sz w:val="32"/>
          <w:szCs w:val="32"/>
          <w:lang w:val="en-US" w:eastAsia="zh-CN"/>
        </w:rPr>
        <w:t>1.为确保基层员工能够正确使用药品及器械设备，供应商须免费提供用药咨询、定期健康回访服务，具备常态化上门服务能力，</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到贵州电力交易中心每个季度不少于1次现场使用指导等医疗服务（提供承诺书）。甲方可优先考虑选择供应商与二甲以上医疗单位有合作/股权关系的单位。（</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需提供合作协议/股权关系证明</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w:t>
      </w:r>
    </w:p>
    <w:p w14:paraId="761ED321">
      <w:pPr>
        <w:keepNext w:val="0"/>
        <w:keepLines w:val="0"/>
        <w:pageBreakBefore w:val="0"/>
        <w:numPr>
          <w:ilvl w:val="0"/>
          <w:numId w:val="0"/>
        </w:numPr>
        <w:kinsoku/>
        <w:wordWrap/>
        <w:overflowPunct/>
        <w:topLinePunct w:val="0"/>
        <w:autoSpaceDE/>
        <w:autoSpaceDN/>
        <w:bidi w:val="0"/>
        <w:adjustRightInd/>
        <w:snapToGrid/>
        <w:spacing w:line="240" w:lineRule="auto"/>
        <w:ind w:firstLine="56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过期医疗物资合规回收：针对采购的药品及器械设备，建立过期物资专项回收处置机制。所有过期药品、失效医疗器械均归类为医疗废物，由供应商指派专人前往贵州电力交易中心现场，对过期医疗物资进行免费上门回收，并按照医疗废物处置规范完成专业化、无害化妥善处理，全程保障医疗物资管理合规、安全、规范，规避医疗废弃物处置风险。（提供承诺书）</w:t>
      </w:r>
    </w:p>
    <w:p w14:paraId="7823E226">
      <w:pPr>
        <w:keepNext w:val="0"/>
        <w:keepLines w:val="0"/>
        <w:pageBreakBefore w:val="0"/>
        <w:numPr>
          <w:ilvl w:val="0"/>
          <w:numId w:val="0"/>
        </w:numPr>
        <w:kinsoku/>
        <w:wordWrap/>
        <w:overflowPunct/>
        <w:topLinePunct w:val="0"/>
        <w:autoSpaceDE/>
        <w:autoSpaceDN/>
        <w:bidi w:val="0"/>
        <w:adjustRightInd/>
        <w:snapToGrid/>
        <w:spacing w:line="240" w:lineRule="auto"/>
        <w:ind w:firstLine="560"/>
        <w:jc w:val="both"/>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3.线上 + 线下综合服务</w:t>
      </w:r>
    </w:p>
    <w:p w14:paraId="1FF1BD6D">
      <w:pPr>
        <w:keepNext w:val="0"/>
        <w:keepLines w:val="0"/>
        <w:pageBreakBefore w:val="0"/>
        <w:numPr>
          <w:ilvl w:val="0"/>
          <w:numId w:val="0"/>
        </w:numPr>
        <w:kinsoku/>
        <w:wordWrap/>
        <w:overflowPunct/>
        <w:topLinePunct w:val="0"/>
        <w:autoSpaceDE/>
        <w:autoSpaceDN/>
        <w:bidi w:val="0"/>
        <w:adjustRightInd/>
        <w:snapToGrid/>
        <w:spacing w:line="240" w:lineRule="auto"/>
        <w:ind w:firstLine="560"/>
        <w:jc w:val="both"/>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1）线上专属服务渠道：搭建独立小程序/企业微信客服端口，工作日3小时内完成咨询答复；线上服务包含药品及器械说明书全解读、药物配伍风险提示、健康生活指导等。（需提供相应的可行性研究报告和小程序功能模块截图）</w:t>
      </w:r>
    </w:p>
    <w:p w14:paraId="65264EB5">
      <w:pPr>
        <w:keepNext w:val="0"/>
        <w:keepLines w:val="0"/>
        <w:pageBreakBefore w:val="0"/>
        <w:numPr>
          <w:ilvl w:val="0"/>
          <w:numId w:val="0"/>
        </w:numPr>
        <w:kinsoku/>
        <w:wordWrap/>
        <w:overflowPunct/>
        <w:topLinePunct w:val="0"/>
        <w:autoSpaceDE/>
        <w:autoSpaceDN/>
        <w:bidi w:val="0"/>
        <w:adjustRightInd/>
        <w:snapToGrid/>
        <w:spacing w:line="240" w:lineRule="auto"/>
        <w:ind w:firstLine="56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（2）线下上门服务：根据各单位需求，每个季度派遣执业药师（需供应商提供执业药师证书、及劳动合同和3个月社保缴费记录）进行个性化用药指导。</w:t>
      </w:r>
    </w:p>
    <w:p w14:paraId="66F4DA05">
      <w:pPr>
        <w:keepNext w:val="0"/>
        <w:keepLines w:val="0"/>
        <w:pageBreakBefore w:val="0"/>
        <w:numPr>
          <w:ilvl w:val="0"/>
          <w:numId w:val="0"/>
        </w:numPr>
        <w:kinsoku/>
        <w:wordWrap/>
        <w:overflowPunct/>
        <w:topLinePunct w:val="0"/>
        <w:autoSpaceDE/>
        <w:autoSpaceDN/>
        <w:bidi w:val="0"/>
        <w:adjustRightInd/>
        <w:snapToGrid/>
        <w:spacing w:line="240" w:lineRule="auto"/>
        <w:ind w:firstLine="56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4.乙方应建立专项台账，登记全部咨询、应急处置、售后整改记录，留存至项目结束后 1年，供甲方随时调阅（提供承诺书）</w:t>
      </w:r>
    </w:p>
    <w:p w14:paraId="14F61A60">
      <w:pPr>
        <w:keepNext w:val="0"/>
        <w:keepLines w:val="0"/>
        <w:pageBreakBefore w:val="0"/>
        <w:numPr>
          <w:ilvl w:val="0"/>
          <w:numId w:val="0"/>
        </w:numPr>
        <w:kinsoku/>
        <w:wordWrap/>
        <w:overflowPunct/>
        <w:topLinePunct w:val="0"/>
        <w:autoSpaceDE/>
        <w:autoSpaceDN/>
        <w:bidi w:val="0"/>
        <w:adjustRightInd/>
        <w:snapToGrid/>
        <w:spacing w:line="240" w:lineRule="auto"/>
        <w:ind w:firstLine="56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kern w:val="2"/>
          <w:sz w:val="32"/>
          <w:szCs w:val="32"/>
          <w:lang w:val="en-US" w:eastAsia="zh-CN" w:bidi="ar-SA"/>
        </w:rPr>
        <w:t>八、</w:t>
      </w:r>
      <w:r>
        <w:rPr>
          <w:rFonts w:hint="eastAsia" w:ascii="仿宋_GB2312" w:hAnsi="仿宋_GB2312" w:eastAsia="仿宋_GB2312" w:cs="仿宋_GB2312"/>
          <w:sz w:val="32"/>
          <w:szCs w:val="32"/>
          <w:lang w:val="en-US" w:eastAsia="zh-CN"/>
        </w:rPr>
        <w:t>其他要求</w:t>
      </w:r>
    </w:p>
    <w:p w14:paraId="3933BB3C">
      <w:pPr>
        <w:keepNext w:val="0"/>
        <w:keepLines w:val="0"/>
        <w:pageBreakBefore w:val="0"/>
        <w:numPr>
          <w:ilvl w:val="0"/>
          <w:numId w:val="0"/>
        </w:numPr>
        <w:kinsoku/>
        <w:wordWrap/>
        <w:overflowPunct/>
        <w:topLinePunct w:val="0"/>
        <w:autoSpaceDE/>
        <w:autoSpaceDN/>
        <w:bidi w:val="0"/>
        <w:adjustRightInd/>
        <w:snapToGrid/>
        <w:spacing w:line="240" w:lineRule="auto"/>
        <w:ind w:firstLine="56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1.如因不可抗力、资金不足、项目调整等原因，甲方确需终止采购情况，甲乙双方友好协商，终止采购。</w:t>
      </w:r>
    </w:p>
    <w:p w14:paraId="75D6691C">
      <w:pPr>
        <w:keepNext w:val="0"/>
        <w:keepLines w:val="0"/>
        <w:pageBreakBefore w:val="0"/>
        <w:numPr>
          <w:ilvl w:val="0"/>
          <w:numId w:val="0"/>
        </w:numPr>
        <w:kinsoku/>
        <w:wordWrap/>
        <w:overflowPunct/>
        <w:topLinePunct w:val="0"/>
        <w:autoSpaceDE/>
        <w:autoSpaceDN/>
        <w:bidi w:val="0"/>
        <w:adjustRightInd/>
        <w:snapToGrid/>
        <w:spacing w:line="240" w:lineRule="auto"/>
        <w:ind w:firstLine="56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2.乙方报价需考虑包含配送、售后、用药咨询、使用指导、巡回宣传等所有配套成本，成交后不得追加费用。</w:t>
      </w:r>
    </w:p>
    <w:p w14:paraId="06C1D6D7">
      <w:pPr>
        <w:ind w:firstLine="0" w:firstLineChars="0"/>
        <w:outlineLvl w:val="1"/>
        <w:rPr>
          <w:rFonts w:hint="eastAsia" w:ascii="宋体" w:hAnsi="宋体" w:eastAsia="宋体" w:cs="宋体"/>
          <w:b/>
          <w:sz w:val="32"/>
          <w:szCs w:val="32"/>
        </w:rPr>
      </w:pPr>
    </w:p>
    <w:p w14:paraId="6783D279">
      <w:pPr>
        <w:ind w:firstLine="0" w:firstLineChars="0"/>
        <w:outlineLvl w:val="1"/>
        <w:rPr>
          <w:rFonts w:hint="eastAsia" w:ascii="宋体" w:hAnsi="宋体" w:eastAsia="宋体" w:cs="宋体"/>
          <w:b/>
          <w:sz w:val="32"/>
          <w:szCs w:val="32"/>
        </w:rPr>
      </w:pPr>
    </w:p>
    <w:p w14:paraId="40864615">
      <w:pPr>
        <w:ind w:firstLine="0" w:firstLineChars="0"/>
        <w:outlineLvl w:val="1"/>
        <w:rPr>
          <w:rFonts w:hint="eastAsia" w:ascii="宋体" w:hAnsi="宋体" w:eastAsia="宋体" w:cs="宋体"/>
          <w:b/>
          <w:sz w:val="32"/>
          <w:szCs w:val="32"/>
        </w:rPr>
      </w:pPr>
    </w:p>
    <w:p w14:paraId="4E619864">
      <w:pPr>
        <w:ind w:firstLine="0" w:firstLineChars="0"/>
        <w:outlineLvl w:val="1"/>
        <w:rPr>
          <w:rFonts w:hint="eastAsia" w:ascii="宋体" w:hAnsi="宋体" w:eastAsia="宋体" w:cs="宋体"/>
          <w:b/>
          <w:sz w:val="32"/>
          <w:szCs w:val="32"/>
        </w:rPr>
      </w:pPr>
    </w:p>
    <w:p w14:paraId="5C220139">
      <w:pPr>
        <w:ind w:firstLine="0" w:firstLineChars="0"/>
        <w:outlineLvl w:val="1"/>
        <w:rPr>
          <w:rFonts w:hint="eastAsia" w:ascii="宋体" w:hAnsi="宋体" w:eastAsia="宋体" w:cs="宋体"/>
          <w:b/>
          <w:sz w:val="30"/>
          <w:szCs w:val="30"/>
        </w:rPr>
      </w:pPr>
    </w:p>
    <w:p w14:paraId="14A5776B">
      <w:pPr>
        <w:ind w:firstLine="0" w:firstLineChars="0"/>
        <w:outlineLvl w:val="1"/>
        <w:rPr>
          <w:rFonts w:hint="eastAsia" w:ascii="仿宋_GB2312" w:hAnsi="仿宋_GB2312" w:eastAsia="仿宋_GB2312" w:cs="仿宋_GB2312"/>
          <w:b/>
          <w:sz w:val="30"/>
          <w:szCs w:val="30"/>
        </w:rPr>
      </w:pPr>
      <w:r>
        <w:rPr>
          <w:rFonts w:hint="eastAsia" w:ascii="仿宋_GB2312" w:hAnsi="仿宋_GB2312" w:eastAsia="仿宋_GB2312" w:cs="仿宋_GB2312"/>
          <w:b/>
          <w:sz w:val="30"/>
          <w:szCs w:val="30"/>
        </w:rPr>
        <w:t>附件</w:t>
      </w:r>
      <w:r>
        <w:rPr>
          <w:rFonts w:hint="eastAsia" w:ascii="仿宋_GB2312" w:hAnsi="仿宋_GB2312" w:eastAsia="仿宋_GB2312" w:cs="仿宋_GB2312"/>
          <w:b/>
          <w:sz w:val="30"/>
          <w:szCs w:val="30"/>
          <w:lang w:val="en-US" w:eastAsia="zh-CN"/>
        </w:rPr>
        <w:t>1</w:t>
      </w:r>
      <w:r>
        <w:rPr>
          <w:rFonts w:hint="eastAsia" w:ascii="仿宋_GB2312" w:hAnsi="仿宋_GB2312" w:eastAsia="仿宋_GB2312" w:cs="仿宋_GB2312"/>
          <w:b/>
          <w:sz w:val="30"/>
          <w:szCs w:val="30"/>
        </w:rPr>
        <w:t>：法定代表人资格证明书</w:t>
      </w:r>
    </w:p>
    <w:p w14:paraId="155CBF1D">
      <w:pPr>
        <w:pStyle w:val="4"/>
        <w:spacing w:line="360" w:lineRule="auto"/>
        <w:ind w:left="0" w:leftChars="0" w:firstLine="0" w:firstLineChars="0"/>
        <w:jc w:val="center"/>
        <w:rPr>
          <w:rFonts w:hint="eastAsia" w:ascii="仿宋_GB2312" w:hAnsi="仿宋_GB2312" w:eastAsia="仿宋_GB2312" w:cs="仿宋_GB2312"/>
          <w:b/>
          <w:color w:val="000000"/>
          <w:sz w:val="30"/>
          <w:szCs w:val="30"/>
          <w:highlight w:val="none"/>
        </w:rPr>
      </w:pPr>
      <w:r>
        <w:rPr>
          <w:rFonts w:hint="eastAsia" w:ascii="仿宋_GB2312" w:hAnsi="仿宋_GB2312" w:eastAsia="仿宋_GB2312" w:cs="仿宋_GB2312"/>
          <w:b/>
          <w:color w:val="000000"/>
          <w:sz w:val="30"/>
          <w:szCs w:val="30"/>
          <w:highlight w:val="none"/>
        </w:rPr>
        <w:t>法定代表人资格证明书</w:t>
      </w:r>
    </w:p>
    <w:p w14:paraId="276D7D28">
      <w:pPr>
        <w:spacing w:line="360" w:lineRule="auto"/>
        <w:jc w:val="center"/>
        <w:rPr>
          <w:rFonts w:hint="eastAsia" w:ascii="仿宋_GB2312" w:hAnsi="仿宋_GB2312" w:eastAsia="仿宋_GB2312" w:cs="仿宋_GB2312"/>
          <w:b/>
          <w:color w:val="000000"/>
          <w:szCs w:val="24"/>
          <w:highlight w:val="none"/>
        </w:rPr>
      </w:pPr>
    </w:p>
    <w:p w14:paraId="6CE5E628">
      <w:pPr>
        <w:spacing w:line="360" w:lineRule="auto"/>
        <w:jc w:val="center"/>
        <w:rPr>
          <w:rFonts w:hint="eastAsia" w:ascii="仿宋_GB2312" w:hAnsi="仿宋_GB2312" w:eastAsia="仿宋_GB2312" w:cs="仿宋_GB2312"/>
          <w:b/>
          <w:color w:val="000000"/>
          <w:highlight w:val="none"/>
        </w:rPr>
      </w:pPr>
    </w:p>
    <w:p w14:paraId="602C4951">
      <w:pPr>
        <w:spacing w:line="360" w:lineRule="auto"/>
        <w:ind w:left="0" w:leftChars="0" w:firstLine="0" w:firstLineChars="0"/>
        <w:rPr>
          <w:rFonts w:hint="eastAsia" w:ascii="仿宋_GB2312" w:hAnsi="仿宋_GB2312" w:eastAsia="仿宋_GB2312" w:cs="仿宋_GB2312"/>
          <w:snapToGrid w:val="0"/>
          <w:color w:val="000000"/>
          <w:kern w:val="24"/>
          <w:szCs w:val="21"/>
          <w:highlight w:val="none"/>
        </w:rPr>
      </w:pPr>
      <w:r>
        <w:rPr>
          <w:rFonts w:hint="eastAsia" w:ascii="仿宋_GB2312" w:hAnsi="仿宋_GB2312" w:eastAsia="仿宋_GB2312" w:cs="仿宋_GB2312"/>
          <w:snapToGrid w:val="0"/>
          <w:color w:val="000000"/>
          <w:kern w:val="24"/>
          <w:szCs w:val="21"/>
          <w:highlight w:val="none"/>
        </w:rPr>
        <w:t>单位名称：_____________________</w:t>
      </w:r>
    </w:p>
    <w:p w14:paraId="0AB22726">
      <w:pPr>
        <w:spacing w:line="360" w:lineRule="auto"/>
        <w:ind w:left="0" w:leftChars="0" w:firstLine="0" w:firstLineChars="0"/>
        <w:rPr>
          <w:rFonts w:hint="eastAsia" w:ascii="仿宋_GB2312" w:hAnsi="仿宋_GB2312" w:eastAsia="仿宋_GB2312" w:cs="仿宋_GB2312"/>
          <w:snapToGrid w:val="0"/>
          <w:color w:val="000000"/>
          <w:kern w:val="24"/>
          <w:szCs w:val="21"/>
          <w:highlight w:val="none"/>
        </w:rPr>
      </w:pPr>
      <w:r>
        <w:rPr>
          <w:rFonts w:hint="eastAsia" w:ascii="仿宋_GB2312" w:hAnsi="仿宋_GB2312" w:eastAsia="仿宋_GB2312" w:cs="仿宋_GB2312"/>
          <w:snapToGrid w:val="0"/>
          <w:color w:val="000000"/>
          <w:kern w:val="24"/>
          <w:szCs w:val="21"/>
          <w:highlight w:val="none"/>
        </w:rPr>
        <w:t>地址：_______________________________</w:t>
      </w:r>
    </w:p>
    <w:p w14:paraId="6F40E40E">
      <w:pPr>
        <w:spacing w:line="360" w:lineRule="auto"/>
        <w:ind w:left="0" w:leftChars="0" w:firstLine="0" w:firstLineChars="0"/>
        <w:rPr>
          <w:rFonts w:hint="eastAsia" w:ascii="仿宋_GB2312" w:hAnsi="仿宋_GB2312" w:eastAsia="仿宋_GB2312" w:cs="仿宋_GB2312"/>
          <w:snapToGrid w:val="0"/>
          <w:color w:val="000000"/>
          <w:kern w:val="24"/>
          <w:szCs w:val="21"/>
          <w:highlight w:val="none"/>
        </w:rPr>
      </w:pPr>
      <w:r>
        <w:rPr>
          <w:rFonts w:hint="eastAsia" w:ascii="仿宋_GB2312" w:hAnsi="仿宋_GB2312" w:eastAsia="仿宋_GB2312" w:cs="仿宋_GB2312"/>
          <w:snapToGrid w:val="0"/>
          <w:color w:val="000000"/>
          <w:kern w:val="24"/>
          <w:szCs w:val="21"/>
          <w:highlight w:val="none"/>
        </w:rPr>
        <w:t>姓名：_________，性别：______，年龄：______，职务：______</w:t>
      </w:r>
    </w:p>
    <w:p w14:paraId="46CA4489">
      <w:pPr>
        <w:spacing w:line="360" w:lineRule="auto"/>
        <w:ind w:left="0" w:leftChars="0" w:firstLine="0" w:firstLineChars="0"/>
        <w:rPr>
          <w:rFonts w:hint="eastAsia" w:ascii="仿宋_GB2312" w:hAnsi="仿宋_GB2312" w:eastAsia="仿宋_GB2312" w:cs="仿宋_GB2312"/>
          <w:snapToGrid w:val="0"/>
          <w:color w:val="000000"/>
          <w:kern w:val="24"/>
          <w:szCs w:val="21"/>
          <w:highlight w:val="none"/>
        </w:rPr>
      </w:pPr>
      <w:r>
        <w:rPr>
          <w:rFonts w:hint="eastAsia" w:ascii="仿宋_GB2312" w:hAnsi="仿宋_GB2312" w:eastAsia="仿宋_GB2312" w:cs="仿宋_GB2312"/>
          <w:snapToGrid w:val="0"/>
          <w:color w:val="000000"/>
          <w:kern w:val="24"/>
          <w:szCs w:val="21"/>
          <w:highlight w:val="none"/>
        </w:rPr>
        <w:t>是_________________（单位名称）的法定代表人。</w:t>
      </w:r>
    </w:p>
    <w:p w14:paraId="2C8A73B2">
      <w:pPr>
        <w:spacing w:line="360" w:lineRule="auto"/>
        <w:rPr>
          <w:rFonts w:hint="eastAsia" w:ascii="仿宋_GB2312" w:hAnsi="仿宋_GB2312" w:eastAsia="仿宋_GB2312" w:cs="仿宋_GB2312"/>
          <w:snapToGrid w:val="0"/>
          <w:color w:val="000000"/>
          <w:kern w:val="24"/>
          <w:szCs w:val="21"/>
          <w:highlight w:val="none"/>
        </w:rPr>
      </w:pPr>
    </w:p>
    <w:p w14:paraId="46F7F108">
      <w:pPr>
        <w:spacing w:line="360" w:lineRule="auto"/>
        <w:ind w:left="0" w:leftChars="0" w:firstLine="0" w:firstLineChars="0"/>
        <w:jc w:val="right"/>
        <w:rPr>
          <w:rFonts w:hint="eastAsia" w:ascii="仿宋_GB2312" w:hAnsi="仿宋_GB2312" w:eastAsia="仿宋_GB2312" w:cs="仿宋_GB2312"/>
          <w:snapToGrid w:val="0"/>
          <w:color w:val="000000"/>
          <w:kern w:val="24"/>
          <w:szCs w:val="21"/>
          <w:highlight w:val="none"/>
        </w:rPr>
      </w:pPr>
      <w:r>
        <w:rPr>
          <w:rFonts w:hint="eastAsia" w:ascii="仿宋_GB2312" w:hAnsi="仿宋_GB2312" w:eastAsia="仿宋_GB2312" w:cs="仿宋_GB2312"/>
          <w:snapToGrid w:val="0"/>
          <w:color w:val="000000"/>
          <w:kern w:val="24"/>
          <w:szCs w:val="21"/>
          <w:highlight w:val="none"/>
        </w:rPr>
        <w:t>投标人：</w:t>
      </w:r>
      <w:r>
        <w:rPr>
          <w:rFonts w:hint="eastAsia" w:ascii="仿宋_GB2312" w:hAnsi="仿宋_GB2312" w:eastAsia="仿宋_GB2312" w:cs="仿宋_GB2312"/>
          <w:snapToGrid w:val="0"/>
          <w:kern w:val="24"/>
          <w:szCs w:val="21"/>
          <w:highlight w:val="none"/>
        </w:rPr>
        <w:t>（盖公章或电子签章）</w:t>
      </w:r>
    </w:p>
    <w:p w14:paraId="474B41E6">
      <w:pPr>
        <w:spacing w:line="360" w:lineRule="auto"/>
        <w:ind w:left="0" w:leftChars="0" w:firstLine="0" w:firstLineChars="0"/>
        <w:jc w:val="right"/>
        <w:rPr>
          <w:rFonts w:hint="eastAsia" w:ascii="仿宋_GB2312" w:hAnsi="仿宋_GB2312" w:eastAsia="仿宋_GB2312" w:cs="仿宋_GB2312"/>
          <w:snapToGrid w:val="0"/>
          <w:color w:val="000000"/>
          <w:kern w:val="24"/>
          <w:szCs w:val="21"/>
          <w:highlight w:val="none"/>
        </w:rPr>
      </w:pPr>
      <w:r>
        <w:rPr>
          <w:rFonts w:hint="eastAsia" w:ascii="仿宋_GB2312" w:hAnsi="仿宋_GB2312" w:eastAsia="仿宋_GB2312" w:cs="仿宋_GB2312"/>
          <w:snapToGrid w:val="0"/>
          <w:color w:val="000000"/>
          <w:kern w:val="24"/>
          <w:szCs w:val="21"/>
          <w:highlight w:val="none"/>
        </w:rPr>
        <w:t>日期：_____年_____月_____日</w:t>
      </w:r>
    </w:p>
    <w:p w14:paraId="07E9FA33">
      <w:pPr>
        <w:spacing w:line="360" w:lineRule="auto"/>
        <w:rPr>
          <w:rFonts w:hint="eastAsia" w:ascii="仿宋_GB2312" w:hAnsi="仿宋_GB2312" w:eastAsia="仿宋_GB2312" w:cs="仿宋_GB2312"/>
          <w:snapToGrid w:val="0"/>
          <w:color w:val="000000"/>
          <w:kern w:val="24"/>
          <w:szCs w:val="21"/>
          <w:highlight w:val="none"/>
        </w:rPr>
      </w:pPr>
    </w:p>
    <w:tbl>
      <w:tblPr>
        <w:tblStyle w:val="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07"/>
        <w:gridCol w:w="4215"/>
      </w:tblGrid>
      <w:tr w14:paraId="5D4B6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1" w:hRule="atLeast"/>
        </w:trPr>
        <w:tc>
          <w:tcPr>
            <w:tcW w:w="4307" w:type="dxa"/>
            <w:tcBorders>
              <w:top w:val="single" w:color="auto" w:sz="4" w:space="0"/>
              <w:left w:val="single" w:color="auto" w:sz="4" w:space="0"/>
              <w:bottom w:val="single" w:color="auto" w:sz="4" w:space="0"/>
              <w:right w:val="single" w:color="auto" w:sz="4" w:space="0"/>
            </w:tcBorders>
            <w:noWrap w:val="0"/>
            <w:vAlign w:val="center"/>
          </w:tcPr>
          <w:p w14:paraId="68D7B044">
            <w:pPr>
              <w:spacing w:line="360" w:lineRule="auto"/>
              <w:ind w:left="0" w:leftChars="0" w:firstLine="0" w:firstLineChars="0"/>
              <w:jc w:val="both"/>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法定代表人身份证复印件正面</w:t>
            </w:r>
          </w:p>
        </w:tc>
        <w:tc>
          <w:tcPr>
            <w:tcW w:w="4215" w:type="dxa"/>
            <w:tcBorders>
              <w:top w:val="single" w:color="auto" w:sz="4" w:space="0"/>
              <w:left w:val="single" w:color="auto" w:sz="4" w:space="0"/>
              <w:bottom w:val="single" w:color="auto" w:sz="4" w:space="0"/>
              <w:right w:val="single" w:color="auto" w:sz="4" w:space="0"/>
            </w:tcBorders>
            <w:noWrap w:val="0"/>
            <w:vAlign w:val="center"/>
          </w:tcPr>
          <w:p w14:paraId="45E84CC2">
            <w:pPr>
              <w:spacing w:line="360" w:lineRule="auto"/>
              <w:ind w:left="0" w:leftChars="0" w:firstLine="0" w:firstLineChars="0"/>
              <w:jc w:val="both"/>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法定代表人身份证复印件背面</w:t>
            </w:r>
          </w:p>
        </w:tc>
      </w:tr>
    </w:tbl>
    <w:p w14:paraId="43842619">
      <w:pPr>
        <w:bidi w:val="0"/>
        <w:rPr>
          <w:rFonts w:hint="eastAsia" w:ascii="仿宋_GB2312" w:hAnsi="仿宋_GB2312" w:eastAsia="仿宋_GB2312" w:cs="仿宋_GB2312"/>
          <w:lang w:val="en-US" w:eastAsia="zh-CN"/>
        </w:rPr>
      </w:pPr>
    </w:p>
    <w:p w14:paraId="3710EB29">
      <w:pPr>
        <w:bidi w:val="0"/>
        <w:rPr>
          <w:rFonts w:hint="eastAsia" w:ascii="仿宋_GB2312" w:hAnsi="仿宋_GB2312" w:eastAsia="仿宋_GB2312" w:cs="仿宋_GB2312"/>
          <w:lang w:val="en-US" w:eastAsia="zh-CN"/>
        </w:rPr>
      </w:pPr>
    </w:p>
    <w:p w14:paraId="15E3C4BF">
      <w:pPr>
        <w:bidi w:val="0"/>
        <w:rPr>
          <w:rFonts w:hint="eastAsia" w:ascii="仿宋_GB2312" w:hAnsi="仿宋_GB2312" w:eastAsia="仿宋_GB2312" w:cs="仿宋_GB2312"/>
          <w:lang w:val="en-US" w:eastAsia="zh-CN"/>
        </w:rPr>
      </w:pPr>
    </w:p>
    <w:p w14:paraId="3297DF5F">
      <w:pPr>
        <w:bidi w:val="0"/>
        <w:rPr>
          <w:rFonts w:hint="eastAsia" w:ascii="仿宋_GB2312" w:hAnsi="仿宋_GB2312" w:eastAsia="仿宋_GB2312" w:cs="仿宋_GB2312"/>
          <w:lang w:val="en-US" w:eastAsia="zh-CN"/>
        </w:rPr>
      </w:pPr>
    </w:p>
    <w:p w14:paraId="50F71606">
      <w:pPr>
        <w:bidi w:val="0"/>
        <w:rPr>
          <w:rFonts w:hint="eastAsia" w:ascii="仿宋_GB2312" w:hAnsi="仿宋_GB2312" w:eastAsia="仿宋_GB2312" w:cs="仿宋_GB2312"/>
          <w:lang w:val="en-US" w:eastAsia="zh-CN"/>
        </w:rPr>
      </w:pPr>
    </w:p>
    <w:p w14:paraId="22E741B1">
      <w:pPr>
        <w:bidi w:val="0"/>
        <w:rPr>
          <w:rFonts w:hint="eastAsia" w:ascii="仿宋_GB2312" w:hAnsi="仿宋_GB2312" w:eastAsia="仿宋_GB2312" w:cs="仿宋_GB2312"/>
          <w:lang w:val="en-US" w:eastAsia="zh-CN"/>
        </w:rPr>
      </w:pPr>
    </w:p>
    <w:p w14:paraId="67811525">
      <w:pPr>
        <w:rPr>
          <w:rFonts w:hint="eastAsia" w:ascii="仿宋_GB2312" w:hAnsi="仿宋_GB2312" w:eastAsia="仿宋_GB2312" w:cs="仿宋_GB2312"/>
          <w:lang w:val="en-US" w:eastAsia="zh-CN"/>
        </w:rPr>
      </w:pPr>
    </w:p>
    <w:p w14:paraId="5CA12110">
      <w:pPr>
        <w:bidi w:val="0"/>
        <w:rPr>
          <w:rFonts w:hint="eastAsia" w:ascii="仿宋_GB2312" w:hAnsi="仿宋_GB2312" w:eastAsia="仿宋_GB2312" w:cs="仿宋_GB2312"/>
          <w:lang w:val="en-US" w:eastAsia="zh-CN"/>
        </w:rPr>
      </w:pPr>
    </w:p>
    <w:p w14:paraId="6E2F08AC">
      <w:pPr>
        <w:bidi w:val="0"/>
        <w:rPr>
          <w:rFonts w:hint="eastAsia" w:ascii="仿宋_GB2312" w:hAnsi="仿宋_GB2312" w:eastAsia="仿宋_GB2312" w:cs="仿宋_GB2312"/>
          <w:lang w:val="en-US" w:eastAsia="zh-CN"/>
        </w:rPr>
      </w:pPr>
    </w:p>
    <w:p w14:paraId="3E735D9D">
      <w:pPr>
        <w:bidi w:val="0"/>
        <w:rPr>
          <w:rFonts w:hint="eastAsia" w:ascii="仿宋_GB2312" w:hAnsi="仿宋_GB2312" w:eastAsia="仿宋_GB2312" w:cs="仿宋_GB2312"/>
          <w:lang w:val="en-US" w:eastAsia="zh-CN"/>
        </w:rPr>
      </w:pPr>
    </w:p>
    <w:p w14:paraId="4186D6A0">
      <w:pPr>
        <w:bidi w:val="0"/>
        <w:rPr>
          <w:rFonts w:hint="eastAsia" w:ascii="仿宋_GB2312" w:hAnsi="仿宋_GB2312" w:eastAsia="仿宋_GB2312" w:cs="仿宋_GB2312"/>
          <w:lang w:val="en-US" w:eastAsia="zh-CN"/>
        </w:rPr>
      </w:pPr>
    </w:p>
    <w:p w14:paraId="772C0EB3">
      <w:pPr>
        <w:bidi w:val="0"/>
        <w:rPr>
          <w:rFonts w:hint="eastAsia" w:ascii="仿宋_GB2312" w:hAnsi="仿宋_GB2312" w:eastAsia="仿宋_GB2312" w:cs="仿宋_GB2312"/>
          <w:lang w:val="en-US" w:eastAsia="zh-CN"/>
        </w:rPr>
      </w:pPr>
    </w:p>
    <w:p w14:paraId="7283E916">
      <w:pPr>
        <w:ind w:firstLine="0" w:firstLineChars="0"/>
        <w:outlineLvl w:val="1"/>
        <w:rPr>
          <w:rFonts w:hint="eastAsia" w:ascii="仿宋_GB2312" w:hAnsi="仿宋_GB2312" w:eastAsia="仿宋_GB2312" w:cs="仿宋_GB2312"/>
          <w:b/>
          <w:sz w:val="30"/>
          <w:szCs w:val="30"/>
        </w:rPr>
      </w:pPr>
      <w:r>
        <w:rPr>
          <w:rFonts w:hint="eastAsia" w:ascii="仿宋_GB2312" w:hAnsi="仿宋_GB2312" w:eastAsia="仿宋_GB2312" w:cs="仿宋_GB2312"/>
          <w:b/>
          <w:sz w:val="30"/>
          <w:szCs w:val="30"/>
        </w:rPr>
        <w:t>附件</w:t>
      </w:r>
      <w:r>
        <w:rPr>
          <w:rFonts w:hint="eastAsia" w:ascii="仿宋_GB2312" w:hAnsi="仿宋_GB2312" w:eastAsia="仿宋_GB2312" w:cs="仿宋_GB2312"/>
          <w:b/>
          <w:sz w:val="30"/>
          <w:szCs w:val="30"/>
          <w:lang w:val="en-US" w:eastAsia="zh-CN"/>
        </w:rPr>
        <w:t>2</w:t>
      </w:r>
      <w:r>
        <w:rPr>
          <w:rFonts w:hint="eastAsia" w:ascii="仿宋_GB2312" w:hAnsi="仿宋_GB2312" w:eastAsia="仿宋_GB2312" w:cs="仿宋_GB2312"/>
          <w:b/>
          <w:sz w:val="30"/>
          <w:szCs w:val="30"/>
        </w:rPr>
        <w:t>：法定代表人授权委托书</w:t>
      </w:r>
    </w:p>
    <w:p w14:paraId="5CE8A09A">
      <w:pPr>
        <w:pStyle w:val="4"/>
        <w:ind w:firstLine="602"/>
        <w:jc w:val="center"/>
        <w:rPr>
          <w:rFonts w:hint="eastAsia" w:ascii="仿宋_GB2312" w:hAnsi="仿宋_GB2312" w:eastAsia="仿宋_GB2312" w:cs="仿宋_GB2312"/>
          <w:w w:val="90"/>
          <w:sz w:val="32"/>
          <w:highlight w:val="none"/>
        </w:rPr>
      </w:pPr>
      <w:r>
        <w:rPr>
          <w:rFonts w:hint="eastAsia" w:ascii="仿宋_GB2312" w:hAnsi="仿宋_GB2312" w:eastAsia="仿宋_GB2312" w:cs="仿宋_GB2312"/>
          <w:b/>
          <w:sz w:val="30"/>
          <w:szCs w:val="30"/>
          <w:highlight w:val="none"/>
        </w:rPr>
        <w:t>法定代表人授权委托书（格式</w:t>
      </w:r>
      <w:r>
        <w:rPr>
          <w:rFonts w:hint="eastAsia" w:ascii="仿宋_GB2312" w:hAnsi="仿宋_GB2312" w:eastAsia="仿宋_GB2312" w:cs="仿宋_GB2312"/>
          <w:w w:val="90"/>
          <w:sz w:val="32"/>
          <w:highlight w:val="none"/>
        </w:rPr>
        <w:t>）</w:t>
      </w:r>
    </w:p>
    <w:p w14:paraId="727DC989">
      <w:pPr>
        <w:ind w:firstLine="0" w:firstLineChars="0"/>
        <w:rPr>
          <w:rFonts w:hint="eastAsia" w:ascii="仿宋_GB2312" w:hAnsi="仿宋_GB2312" w:eastAsia="仿宋_GB2312" w:cs="仿宋_GB2312"/>
          <w:highlight w:val="none"/>
        </w:rPr>
      </w:pPr>
    </w:p>
    <w:p w14:paraId="4ED99B0B">
      <w:pPr>
        <w:ind w:firstLine="0" w:firstLineChars="0"/>
        <w:rPr>
          <w:rFonts w:hint="eastAsia" w:ascii="仿宋_GB2312" w:hAnsi="仿宋_GB2312" w:eastAsia="仿宋_GB2312" w:cs="仿宋_GB2312"/>
          <w:highlight w:val="none"/>
        </w:rPr>
      </w:pPr>
      <w:r>
        <w:rPr>
          <w:rFonts w:hint="eastAsia" w:ascii="仿宋_GB2312" w:hAnsi="仿宋_GB2312" w:eastAsia="仿宋_GB2312" w:cs="仿宋_GB2312"/>
          <w:highlight w:val="none"/>
        </w:rPr>
        <w:t>致：</w:t>
      </w:r>
      <w:r>
        <w:rPr>
          <w:rFonts w:hint="eastAsia" w:ascii="仿宋_GB2312" w:hAnsi="仿宋_GB2312" w:eastAsia="仿宋_GB2312" w:cs="仿宋_GB2312"/>
          <w:highlight w:val="none"/>
          <w:u w:val="single"/>
        </w:rPr>
        <w:t xml:space="preserve">            </w:t>
      </w:r>
      <w:r>
        <w:rPr>
          <w:rFonts w:hint="eastAsia" w:ascii="仿宋_GB2312" w:hAnsi="仿宋_GB2312" w:eastAsia="仿宋_GB2312" w:cs="仿宋_GB2312"/>
          <w:highlight w:val="none"/>
        </w:rPr>
        <w:t>（</w:t>
      </w:r>
      <w:r>
        <w:rPr>
          <w:rFonts w:hint="eastAsia" w:ascii="仿宋_GB2312" w:hAnsi="仿宋_GB2312" w:eastAsia="仿宋_GB2312" w:cs="仿宋_GB2312"/>
          <w:highlight w:val="none"/>
          <w:lang w:eastAsia="zh-CN"/>
        </w:rPr>
        <w:t>采购人</w:t>
      </w:r>
      <w:r>
        <w:rPr>
          <w:rFonts w:hint="eastAsia" w:ascii="仿宋_GB2312" w:hAnsi="仿宋_GB2312" w:eastAsia="仿宋_GB2312" w:cs="仿宋_GB2312"/>
          <w:highlight w:val="none"/>
        </w:rPr>
        <w:t>）</w:t>
      </w:r>
    </w:p>
    <w:p w14:paraId="25BE4128">
      <w:pPr>
        <w:ind w:firstLine="0" w:firstLineChars="0"/>
        <w:rPr>
          <w:rFonts w:hint="eastAsia" w:ascii="仿宋_GB2312" w:hAnsi="仿宋_GB2312" w:eastAsia="仿宋_GB2312" w:cs="仿宋_GB2312"/>
          <w:highlight w:val="none"/>
        </w:rPr>
      </w:pPr>
      <w:r>
        <w:rPr>
          <w:rFonts w:hint="eastAsia" w:ascii="仿宋_GB2312" w:hAnsi="仿宋_GB2312" w:eastAsia="仿宋_GB2312" w:cs="仿宋_GB2312"/>
          <w:highlight w:val="none"/>
        </w:rPr>
        <w:tab/>
      </w:r>
      <w:r>
        <w:rPr>
          <w:rFonts w:hint="eastAsia" w:ascii="仿宋_GB2312" w:hAnsi="仿宋_GB2312" w:eastAsia="仿宋_GB2312" w:cs="仿宋_GB2312"/>
          <w:highlight w:val="none"/>
          <w:u w:val="single"/>
        </w:rPr>
        <w:t>〔供应商名称〕</w:t>
      </w:r>
      <w:r>
        <w:rPr>
          <w:rFonts w:hint="eastAsia" w:ascii="仿宋_GB2312" w:hAnsi="仿宋_GB2312" w:eastAsia="仿宋_GB2312" w:cs="仿宋_GB2312"/>
          <w:highlight w:val="none"/>
        </w:rPr>
        <w:t>，为合法注册和营业企业，注册地址：</w:t>
      </w:r>
      <w:r>
        <w:rPr>
          <w:rFonts w:hint="eastAsia" w:ascii="仿宋_GB2312" w:hAnsi="仿宋_GB2312" w:eastAsia="仿宋_GB2312" w:cs="仿宋_GB2312"/>
          <w:highlight w:val="none"/>
          <w:u w:val="single"/>
        </w:rPr>
        <w:t xml:space="preserve"> </w:t>
      </w:r>
      <w:r>
        <w:rPr>
          <w:rFonts w:hint="eastAsia" w:ascii="仿宋_GB2312" w:hAnsi="仿宋_GB2312" w:eastAsia="仿宋_GB2312" w:cs="仿宋_GB2312"/>
          <w:highlight w:val="none"/>
          <w:u w:val="single"/>
          <w:lang w:val="en-US" w:eastAsia="zh-CN"/>
        </w:rPr>
        <w:t xml:space="preserve">                </w:t>
      </w:r>
      <w:r>
        <w:rPr>
          <w:rFonts w:hint="eastAsia" w:ascii="仿宋_GB2312" w:hAnsi="仿宋_GB2312" w:eastAsia="仿宋_GB2312" w:cs="仿宋_GB2312"/>
          <w:highlight w:val="none"/>
          <w:u w:val="single"/>
        </w:rPr>
        <w:t xml:space="preserve"> </w:t>
      </w:r>
      <w:r>
        <w:rPr>
          <w:rFonts w:hint="eastAsia" w:ascii="仿宋_GB2312" w:hAnsi="仿宋_GB2312" w:eastAsia="仿宋_GB2312" w:cs="仿宋_GB2312"/>
          <w:highlight w:val="none"/>
        </w:rPr>
        <w:t>。</w:t>
      </w:r>
    </w:p>
    <w:p w14:paraId="6624E484">
      <w:pPr>
        <w:numPr>
          <w:ilvl w:val="0"/>
          <w:numId w:val="0"/>
        </w:numPr>
        <w:ind w:leftChars="200"/>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rPr>
        <w:tab/>
      </w:r>
      <w:r>
        <w:rPr>
          <w:rFonts w:hint="eastAsia" w:ascii="仿宋_GB2312" w:hAnsi="仿宋_GB2312" w:eastAsia="仿宋_GB2312" w:cs="仿宋_GB2312"/>
          <w:highlight w:val="none"/>
        </w:rPr>
        <w:t>本人</w:t>
      </w:r>
      <w:r>
        <w:rPr>
          <w:rFonts w:hint="eastAsia" w:ascii="仿宋_GB2312" w:hAnsi="仿宋_GB2312" w:eastAsia="仿宋_GB2312" w:cs="仿宋_GB2312"/>
          <w:highlight w:val="none"/>
          <w:u w:val="single"/>
        </w:rPr>
        <w:t xml:space="preserve"> （授权人姓名） </w:t>
      </w:r>
      <w:r>
        <w:rPr>
          <w:rFonts w:hint="eastAsia" w:ascii="仿宋_GB2312" w:hAnsi="仿宋_GB2312" w:eastAsia="仿宋_GB2312" w:cs="仿宋_GB2312"/>
          <w:highlight w:val="none"/>
        </w:rPr>
        <w:t>特授权</w:t>
      </w:r>
      <w:r>
        <w:rPr>
          <w:rFonts w:hint="eastAsia" w:ascii="仿宋_GB2312" w:hAnsi="仿宋_GB2312" w:eastAsia="仿宋_GB2312" w:cs="仿宋_GB2312"/>
          <w:highlight w:val="none"/>
          <w:u w:val="single"/>
        </w:rPr>
        <w:t xml:space="preserve"> （被授权人姓名） </w:t>
      </w:r>
      <w:r>
        <w:rPr>
          <w:rFonts w:hint="eastAsia" w:ascii="仿宋_GB2312" w:hAnsi="仿宋_GB2312" w:eastAsia="仿宋_GB2312" w:cs="仿宋_GB2312"/>
          <w:highlight w:val="none"/>
        </w:rPr>
        <w:t>代表我公司全权办</w:t>
      </w:r>
      <w:r>
        <w:rPr>
          <w:rFonts w:hint="eastAsia" w:ascii="仿宋_GB2312" w:hAnsi="仿宋_GB2312" w:eastAsia="仿宋_GB2312" w:cs="仿宋_GB2312"/>
          <w:highlight w:val="none"/>
          <w:lang w:eastAsia="zh-CN"/>
        </w:rPr>
        <w:t>理</w:t>
      </w:r>
    </w:p>
    <w:p w14:paraId="3FE3FE3A">
      <w:pPr>
        <w:numPr>
          <w:ilvl w:val="0"/>
          <w:numId w:val="0"/>
        </w:numPr>
        <w:rPr>
          <w:rFonts w:hint="eastAsia" w:ascii="仿宋_GB2312" w:hAnsi="仿宋_GB2312" w:eastAsia="仿宋_GB2312" w:cs="仿宋_GB2312"/>
          <w:highlight w:val="none"/>
        </w:rPr>
      </w:pPr>
      <w:r>
        <w:rPr>
          <w:rFonts w:hint="eastAsia" w:ascii="仿宋_GB2312" w:hAnsi="仿宋_GB2312" w:eastAsia="仿宋_GB2312" w:cs="仿宋_GB2312"/>
          <w:highlight w:val="none"/>
        </w:rPr>
        <w:t>针对</w:t>
      </w:r>
      <w:r>
        <w:rPr>
          <w:rFonts w:hint="eastAsia" w:ascii="仿宋_GB2312" w:hAnsi="仿宋_GB2312" w:eastAsia="仿宋_GB2312" w:cs="仿宋_GB2312"/>
          <w:highlight w:val="none"/>
          <w:u w:val="single"/>
          <w:lang w:eastAsia="zh-CN"/>
        </w:rPr>
        <w:t>“</w:t>
      </w:r>
      <w:r>
        <w:rPr>
          <w:rFonts w:hint="eastAsia" w:ascii="仿宋_GB2312" w:hAnsi="仿宋_GB2312" w:eastAsia="仿宋_GB2312" w:cs="仿宋_GB2312"/>
          <w:bCs/>
          <w:u w:val="single"/>
          <w:lang w:val="zh-CN" w:eastAsia="zh-CN"/>
        </w:rPr>
        <w:t>贵州电力交易中心有限责任公司202</w:t>
      </w:r>
      <w:r>
        <w:rPr>
          <w:rFonts w:hint="eastAsia" w:ascii="仿宋_GB2312" w:hAnsi="仿宋_GB2312" w:eastAsia="仿宋_GB2312" w:cs="仿宋_GB2312"/>
          <w:bCs/>
          <w:u w:val="single"/>
          <w:lang w:val="en-US" w:eastAsia="zh-CN"/>
        </w:rPr>
        <w:t>6</w:t>
      </w:r>
      <w:r>
        <w:rPr>
          <w:rFonts w:hint="eastAsia" w:ascii="仿宋_GB2312" w:hAnsi="仿宋_GB2312" w:eastAsia="仿宋_GB2312" w:cs="仿宋_GB2312"/>
          <w:bCs/>
          <w:u w:val="single"/>
          <w:lang w:val="zh-CN" w:eastAsia="zh-CN"/>
        </w:rPr>
        <w:t>年—202</w:t>
      </w:r>
      <w:r>
        <w:rPr>
          <w:rFonts w:hint="eastAsia" w:ascii="仿宋_GB2312" w:hAnsi="仿宋_GB2312" w:eastAsia="仿宋_GB2312" w:cs="仿宋_GB2312"/>
          <w:bCs/>
          <w:u w:val="single"/>
          <w:lang w:val="en-US" w:eastAsia="zh-CN"/>
        </w:rPr>
        <w:t>7</w:t>
      </w:r>
      <w:r>
        <w:rPr>
          <w:rFonts w:hint="eastAsia" w:ascii="仿宋_GB2312" w:hAnsi="仿宋_GB2312" w:eastAsia="仿宋_GB2312" w:cs="仿宋_GB2312"/>
          <w:bCs/>
          <w:u w:val="single"/>
          <w:lang w:val="zh-CN" w:eastAsia="zh-CN"/>
        </w:rPr>
        <w:t>年微信公众号服务</w:t>
      </w:r>
      <w:r>
        <w:rPr>
          <w:rFonts w:hint="eastAsia" w:ascii="仿宋_GB2312" w:hAnsi="仿宋_GB2312" w:eastAsia="仿宋_GB2312" w:cs="仿宋_GB2312"/>
          <w:highlight w:val="none"/>
          <w:u w:val="single"/>
          <w:lang w:eastAsia="zh-CN"/>
        </w:rPr>
        <w:t>”项目</w:t>
      </w:r>
      <w:r>
        <w:rPr>
          <w:rFonts w:hint="eastAsia" w:ascii="仿宋_GB2312" w:hAnsi="仿宋_GB2312" w:eastAsia="仿宋_GB2312" w:cs="仿宋_GB2312"/>
          <w:highlight w:val="none"/>
        </w:rPr>
        <w:t>的</w:t>
      </w:r>
      <w:r>
        <w:rPr>
          <w:rFonts w:hint="eastAsia" w:ascii="仿宋_GB2312" w:hAnsi="仿宋_GB2312" w:eastAsia="仿宋_GB2312" w:cs="仿宋_GB2312"/>
          <w:highlight w:val="none"/>
          <w:lang w:eastAsia="zh-CN"/>
        </w:rPr>
        <w:t>采购</w:t>
      </w:r>
      <w:r>
        <w:rPr>
          <w:rFonts w:hint="eastAsia" w:ascii="仿宋_GB2312" w:hAnsi="仿宋_GB2312" w:eastAsia="仿宋_GB2312" w:cs="仿宋_GB2312"/>
          <w:highlight w:val="none"/>
        </w:rPr>
        <w:t>、签约等具体工作，并签署全部有关的文件、协议及合同。</w:t>
      </w:r>
    </w:p>
    <w:p w14:paraId="29FAAC6A">
      <w:pPr>
        <w:ind w:firstLine="0" w:firstLineChars="0"/>
        <w:rPr>
          <w:rFonts w:hint="eastAsia" w:ascii="仿宋_GB2312" w:hAnsi="仿宋_GB2312" w:eastAsia="仿宋_GB2312" w:cs="仿宋_GB2312"/>
          <w:highlight w:val="none"/>
        </w:rPr>
      </w:pPr>
      <w:r>
        <w:rPr>
          <w:rFonts w:hint="eastAsia" w:ascii="仿宋_GB2312" w:hAnsi="仿宋_GB2312" w:eastAsia="仿宋_GB2312" w:cs="仿宋_GB2312"/>
          <w:highlight w:val="none"/>
        </w:rPr>
        <w:tab/>
      </w:r>
      <w:r>
        <w:rPr>
          <w:rFonts w:hint="eastAsia" w:ascii="仿宋_GB2312" w:hAnsi="仿宋_GB2312" w:eastAsia="仿宋_GB2312" w:cs="仿宋_GB2312"/>
          <w:highlight w:val="none"/>
        </w:rPr>
        <w:t>我公司对被授权人在与贵公司</w:t>
      </w:r>
      <w:r>
        <w:rPr>
          <w:rFonts w:hint="eastAsia" w:ascii="仿宋_GB2312" w:hAnsi="仿宋_GB2312" w:eastAsia="仿宋_GB2312" w:cs="仿宋_GB2312"/>
          <w:highlight w:val="none"/>
          <w:lang w:eastAsia="zh-CN"/>
        </w:rPr>
        <w:t>询价</w:t>
      </w:r>
      <w:r>
        <w:rPr>
          <w:rFonts w:hint="eastAsia" w:ascii="仿宋_GB2312" w:hAnsi="仿宋_GB2312" w:eastAsia="仿宋_GB2312" w:cs="仿宋_GB2312"/>
          <w:highlight w:val="none"/>
        </w:rPr>
        <w:t>、签约等过程中的所有行为负全部责任。</w:t>
      </w:r>
    </w:p>
    <w:p w14:paraId="36A194B5">
      <w:pPr>
        <w:ind w:firstLine="0" w:firstLineChars="0"/>
        <w:rPr>
          <w:rFonts w:hint="eastAsia" w:ascii="仿宋_GB2312" w:hAnsi="仿宋_GB2312" w:eastAsia="仿宋_GB2312" w:cs="仿宋_GB2312"/>
          <w:highlight w:val="none"/>
        </w:rPr>
      </w:pPr>
      <w:r>
        <w:rPr>
          <w:rFonts w:hint="eastAsia" w:ascii="仿宋_GB2312" w:hAnsi="仿宋_GB2312" w:eastAsia="仿宋_GB2312" w:cs="仿宋_GB2312"/>
          <w:highlight w:val="none"/>
        </w:rPr>
        <w:tab/>
      </w:r>
      <w:r>
        <w:rPr>
          <w:rFonts w:hint="eastAsia" w:ascii="仿宋_GB2312" w:hAnsi="仿宋_GB2312" w:eastAsia="仿宋_GB2312" w:cs="仿宋_GB2312"/>
          <w:highlight w:val="none"/>
        </w:rPr>
        <w:t>在撤销授权的书面通知抵达贵方之前，本授权书始终有效。在授权书有效期内由被授权人签署的所有文件，不因授权的撤消而失效。</w:t>
      </w:r>
    </w:p>
    <w:p w14:paraId="2E4894FF">
      <w:pPr>
        <w:ind w:firstLine="0" w:firstLineChars="0"/>
        <w:rPr>
          <w:rFonts w:hint="eastAsia" w:ascii="仿宋_GB2312" w:hAnsi="仿宋_GB2312" w:eastAsia="仿宋_GB2312" w:cs="仿宋_GB2312"/>
          <w:highlight w:val="none"/>
        </w:rPr>
      </w:pPr>
      <w:r>
        <w:rPr>
          <w:rFonts w:hint="eastAsia" w:ascii="仿宋_GB2312" w:hAnsi="仿宋_GB2312" w:eastAsia="仿宋_GB2312" w:cs="仿宋_GB2312"/>
          <w:highlight w:val="none"/>
        </w:rPr>
        <w:tab/>
      </w:r>
      <w:r>
        <w:rPr>
          <w:rFonts w:hint="eastAsia" w:ascii="仿宋_GB2312" w:hAnsi="仿宋_GB2312" w:eastAsia="仿宋_GB2312" w:cs="仿宋_GB2312"/>
          <w:highlight w:val="none"/>
        </w:rPr>
        <w:t>本授权委托书于</w:t>
      </w:r>
      <w:r>
        <w:rPr>
          <w:rFonts w:hint="eastAsia" w:ascii="仿宋_GB2312" w:hAnsi="仿宋_GB2312" w:eastAsia="仿宋_GB2312" w:cs="仿宋_GB2312"/>
          <w:highlight w:val="none"/>
          <w:u w:val="single"/>
        </w:rPr>
        <w:t xml:space="preserve">    </w:t>
      </w:r>
      <w:r>
        <w:rPr>
          <w:rFonts w:hint="eastAsia" w:ascii="仿宋_GB2312" w:hAnsi="仿宋_GB2312" w:eastAsia="仿宋_GB2312" w:cs="仿宋_GB2312"/>
          <w:highlight w:val="none"/>
        </w:rPr>
        <w:t>年</w:t>
      </w:r>
      <w:r>
        <w:rPr>
          <w:rFonts w:hint="eastAsia" w:ascii="仿宋_GB2312" w:hAnsi="仿宋_GB2312" w:eastAsia="仿宋_GB2312" w:cs="仿宋_GB2312"/>
          <w:highlight w:val="none"/>
          <w:u w:val="single"/>
        </w:rPr>
        <w:t xml:space="preserve">   </w:t>
      </w:r>
      <w:r>
        <w:rPr>
          <w:rFonts w:hint="eastAsia" w:ascii="仿宋_GB2312" w:hAnsi="仿宋_GB2312" w:eastAsia="仿宋_GB2312" w:cs="仿宋_GB2312"/>
          <w:highlight w:val="none"/>
        </w:rPr>
        <w:t>月</w:t>
      </w:r>
      <w:r>
        <w:rPr>
          <w:rFonts w:hint="eastAsia" w:ascii="仿宋_GB2312" w:hAnsi="仿宋_GB2312" w:eastAsia="仿宋_GB2312" w:cs="仿宋_GB2312"/>
          <w:highlight w:val="none"/>
          <w:u w:val="single"/>
        </w:rPr>
        <w:t xml:space="preserve">    </w:t>
      </w:r>
      <w:r>
        <w:rPr>
          <w:rFonts w:hint="eastAsia" w:ascii="仿宋_GB2312" w:hAnsi="仿宋_GB2312" w:eastAsia="仿宋_GB2312" w:cs="仿宋_GB2312"/>
          <w:highlight w:val="none"/>
        </w:rPr>
        <w:t>日签字盖章生效，特此声明。</w:t>
      </w:r>
    </w:p>
    <w:p w14:paraId="67B9C3D2">
      <w:pPr>
        <w:ind w:firstLine="480"/>
        <w:rPr>
          <w:rFonts w:hint="eastAsia" w:ascii="仿宋_GB2312" w:hAnsi="仿宋_GB2312" w:eastAsia="仿宋_GB2312" w:cs="仿宋_GB2312"/>
          <w:highlight w:val="none"/>
        </w:rPr>
      </w:pPr>
    </w:p>
    <w:p w14:paraId="7FA22738">
      <w:pPr>
        <w:ind w:firstLine="480"/>
        <w:rPr>
          <w:rFonts w:hint="eastAsia" w:ascii="仿宋_GB2312" w:hAnsi="仿宋_GB2312" w:eastAsia="仿宋_GB2312" w:cs="仿宋_GB2312"/>
          <w:highlight w:val="none"/>
        </w:rPr>
      </w:pPr>
      <w:r>
        <w:rPr>
          <w:rFonts w:hint="eastAsia" w:ascii="仿宋_GB2312" w:hAnsi="仿宋_GB2312" w:eastAsia="仿宋_GB2312" w:cs="仿宋_GB2312"/>
          <w:highlight w:val="none"/>
        </w:rPr>
        <w:t xml:space="preserve">   授权人签名（章）：               被授权人签名（章）：</w:t>
      </w:r>
    </w:p>
    <w:p w14:paraId="6B7A8889">
      <w:pPr>
        <w:ind w:firstLine="480"/>
        <w:rPr>
          <w:rFonts w:hint="eastAsia" w:ascii="仿宋_GB2312" w:hAnsi="仿宋_GB2312" w:eastAsia="仿宋_GB2312" w:cs="仿宋_GB2312"/>
          <w:highlight w:val="none"/>
        </w:rPr>
      </w:pPr>
      <w:r>
        <w:rPr>
          <w:rFonts w:hint="eastAsia" w:ascii="仿宋_GB2312" w:hAnsi="仿宋_GB2312" w:eastAsia="仿宋_GB2312" w:cs="仿宋_GB2312"/>
          <w:highlight w:val="none"/>
        </w:rPr>
        <w:t xml:space="preserve">   职  务：                         职   务：</w:t>
      </w:r>
    </w:p>
    <w:p w14:paraId="243EDBE3">
      <w:pPr>
        <w:autoSpaceDE w:val="0"/>
        <w:autoSpaceDN w:val="0"/>
        <w:adjustRightInd w:val="0"/>
        <w:snapToGrid w:val="0"/>
        <w:ind w:firstLine="480"/>
        <w:rPr>
          <w:rFonts w:hint="eastAsia" w:ascii="仿宋_GB2312" w:hAnsi="仿宋_GB2312" w:eastAsia="仿宋_GB2312" w:cs="仿宋_GB2312"/>
          <w:highlight w:val="none"/>
        </w:rPr>
      </w:pPr>
    </w:p>
    <w:p w14:paraId="1DC13A79">
      <w:pPr>
        <w:autoSpaceDE w:val="0"/>
        <w:autoSpaceDN w:val="0"/>
        <w:adjustRightInd w:val="0"/>
        <w:snapToGrid w:val="0"/>
        <w:ind w:firstLine="480"/>
        <w:rPr>
          <w:rFonts w:hint="eastAsia" w:ascii="仿宋_GB2312" w:hAnsi="仿宋_GB2312" w:eastAsia="仿宋_GB2312" w:cs="仿宋_GB2312"/>
          <w:highlight w:val="none"/>
        </w:rPr>
      </w:pPr>
      <w:r>
        <w:rPr>
          <w:rFonts w:hint="eastAsia" w:ascii="仿宋_GB2312" w:hAnsi="仿宋_GB2312" w:eastAsia="仿宋_GB2312" w:cs="仿宋_GB2312"/>
          <w:highlight w:val="none"/>
        </w:rPr>
        <w:t>被授权人身份证复印件正反面粘贴处</w:t>
      </w:r>
    </w:p>
    <w:tbl>
      <w:tblPr>
        <w:tblStyle w:val="8"/>
        <w:tblW w:w="7595"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5"/>
      </w:tblGrid>
      <w:tr w14:paraId="1123B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2" w:hRule="atLeast"/>
        </w:trPr>
        <w:tc>
          <w:tcPr>
            <w:tcW w:w="7595" w:type="dxa"/>
            <w:noWrap w:val="0"/>
            <w:vAlign w:val="top"/>
          </w:tcPr>
          <w:p w14:paraId="38BF7C97">
            <w:pPr>
              <w:ind w:firstLine="480"/>
              <w:rPr>
                <w:rFonts w:hint="eastAsia" w:ascii="仿宋_GB2312" w:hAnsi="仿宋_GB2312" w:eastAsia="仿宋_GB2312" w:cs="仿宋_GB2312"/>
                <w:highlight w:val="none"/>
              </w:rPr>
            </w:pPr>
          </w:p>
        </w:tc>
      </w:tr>
    </w:tbl>
    <w:p w14:paraId="0479AF7A">
      <w:pPr>
        <w:autoSpaceDE w:val="0"/>
        <w:autoSpaceDN w:val="0"/>
        <w:adjustRightInd w:val="0"/>
        <w:snapToGrid w:val="0"/>
        <w:ind w:left="567" w:leftChars="270" w:firstLine="840" w:firstLineChars="400"/>
        <w:jc w:val="left"/>
        <w:rPr>
          <w:rFonts w:hint="eastAsia" w:ascii="仿宋_GB2312" w:hAnsi="仿宋_GB2312" w:eastAsia="仿宋_GB2312" w:cs="仿宋_GB2312"/>
          <w:snapToGrid w:val="0"/>
          <w:kern w:val="24"/>
          <w:highlight w:val="none"/>
        </w:rPr>
      </w:pPr>
    </w:p>
    <w:p w14:paraId="2A725F79">
      <w:pPr>
        <w:autoSpaceDE w:val="0"/>
        <w:autoSpaceDN w:val="0"/>
        <w:adjustRightInd w:val="0"/>
        <w:snapToGrid w:val="0"/>
        <w:ind w:left="567" w:leftChars="270" w:firstLine="840" w:firstLineChars="400"/>
        <w:jc w:val="center"/>
        <w:rPr>
          <w:rFonts w:hint="eastAsia" w:ascii="仿宋_GB2312" w:hAnsi="仿宋_GB2312" w:eastAsia="仿宋_GB2312" w:cs="仿宋_GB2312"/>
          <w:snapToGrid w:val="0"/>
          <w:kern w:val="24"/>
          <w:highlight w:val="none"/>
        </w:rPr>
      </w:pPr>
      <w:r>
        <w:rPr>
          <w:rFonts w:hint="eastAsia" w:ascii="仿宋_GB2312" w:hAnsi="仿宋_GB2312" w:eastAsia="仿宋_GB2312" w:cs="仿宋_GB2312"/>
          <w:snapToGrid w:val="0"/>
          <w:kern w:val="24"/>
          <w:highlight w:val="none"/>
        </w:rPr>
        <w:t xml:space="preserve">           公章:</w:t>
      </w:r>
    </w:p>
    <w:p w14:paraId="0F128968">
      <w:pPr>
        <w:bidi w:val="0"/>
        <w:ind w:firstLine="5250" w:firstLineChars="2500"/>
        <w:rPr>
          <w:rFonts w:hint="eastAsia" w:ascii="仿宋_GB2312" w:hAnsi="仿宋_GB2312" w:eastAsia="仿宋_GB2312" w:cs="仿宋_GB2312"/>
          <w:lang w:val="en-US" w:eastAsia="zh-CN"/>
        </w:rPr>
      </w:pPr>
      <w:r>
        <w:rPr>
          <w:rFonts w:hint="eastAsia" w:ascii="仿宋_GB2312" w:hAnsi="仿宋_GB2312" w:eastAsia="仿宋_GB2312" w:cs="仿宋_GB2312"/>
          <w:snapToGrid w:val="0"/>
          <w:kern w:val="24"/>
          <w:highlight w:val="none"/>
        </w:rPr>
        <w:t>日期：</w:t>
      </w:r>
      <w:r>
        <w:rPr>
          <w:rFonts w:hint="eastAsia" w:ascii="仿宋_GB2312" w:hAnsi="仿宋_GB2312" w:eastAsia="仿宋_GB2312" w:cs="仿宋_GB2312"/>
          <w:snapToGrid w:val="0"/>
          <w:kern w:val="24"/>
          <w:highlight w:val="none"/>
          <w:u w:val="single"/>
        </w:rPr>
        <w:t xml:space="preserve">     </w:t>
      </w:r>
      <w:r>
        <w:rPr>
          <w:rFonts w:hint="eastAsia" w:ascii="仿宋_GB2312" w:hAnsi="仿宋_GB2312" w:eastAsia="仿宋_GB2312" w:cs="仿宋_GB2312"/>
          <w:snapToGrid w:val="0"/>
          <w:kern w:val="24"/>
          <w:highlight w:val="none"/>
        </w:rPr>
        <w:t>年</w:t>
      </w:r>
      <w:r>
        <w:rPr>
          <w:rFonts w:hint="eastAsia" w:ascii="仿宋_GB2312" w:hAnsi="仿宋_GB2312" w:eastAsia="仿宋_GB2312" w:cs="仿宋_GB2312"/>
          <w:snapToGrid w:val="0"/>
          <w:kern w:val="24"/>
          <w:highlight w:val="none"/>
          <w:u w:val="single"/>
        </w:rPr>
        <w:t xml:space="preserve">    </w:t>
      </w:r>
      <w:r>
        <w:rPr>
          <w:rFonts w:hint="eastAsia" w:ascii="仿宋_GB2312" w:hAnsi="仿宋_GB2312" w:eastAsia="仿宋_GB2312" w:cs="仿宋_GB2312"/>
          <w:snapToGrid w:val="0"/>
          <w:kern w:val="24"/>
          <w:highlight w:val="none"/>
        </w:rPr>
        <w:t>月</w:t>
      </w:r>
      <w:r>
        <w:rPr>
          <w:rFonts w:hint="eastAsia" w:ascii="仿宋_GB2312" w:hAnsi="仿宋_GB2312" w:eastAsia="仿宋_GB2312" w:cs="仿宋_GB2312"/>
          <w:snapToGrid w:val="0"/>
          <w:kern w:val="24"/>
          <w:highlight w:val="none"/>
          <w:u w:val="single"/>
        </w:rPr>
        <w:t xml:space="preserve">    </w:t>
      </w:r>
      <w:r>
        <w:rPr>
          <w:rFonts w:hint="eastAsia" w:ascii="仿宋_GB2312" w:hAnsi="仿宋_GB2312" w:eastAsia="仿宋_GB2312" w:cs="仿宋_GB2312"/>
          <w:snapToGrid w:val="0"/>
          <w:kern w:val="24"/>
          <w:highlight w:val="none"/>
        </w:rPr>
        <w:t>日</w:t>
      </w:r>
    </w:p>
    <w:p w14:paraId="4D229888">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560" w:firstLineChars="0"/>
        <w:jc w:val="left"/>
        <w:textAlignment w:val="auto"/>
        <w:rPr>
          <w:rFonts w:hint="eastAsia" w:ascii="仿宋_GB2312" w:hAnsi="仿宋_GB2312" w:eastAsia="仿宋_GB2312" w:cs="仿宋_GB2312"/>
          <w:sz w:val="32"/>
          <w:szCs w:val="32"/>
          <w:lang w:val="en-US" w:eastAsia="zh-CN"/>
        </w:rPr>
      </w:pPr>
    </w:p>
    <w:p w14:paraId="708B0EEA">
      <w:pPr>
        <w:numPr>
          <w:ilvl w:val="0"/>
          <w:numId w:val="0"/>
        </w:numPr>
        <w:jc w:val="both"/>
        <w:rPr>
          <w:rFonts w:hint="default"/>
          <w:b w:val="0"/>
          <w:bCs w:val="0"/>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Wingdings 2"/>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Wingdings 2"/>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Calibri Light">
    <w:altName w:val="DejaVu Sans"/>
    <w:panose1 w:val="020F0302020204030204"/>
    <w:charset w:val="00"/>
    <w:family w:val="swiss"/>
    <w:pitch w:val="default"/>
    <w:sig w:usb0="00000000" w:usb1="00000000"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B8210B"/>
    <w:rsid w:val="006832FE"/>
    <w:rsid w:val="01583E5B"/>
    <w:rsid w:val="01794FD0"/>
    <w:rsid w:val="01B87A4C"/>
    <w:rsid w:val="02765034"/>
    <w:rsid w:val="02840CBC"/>
    <w:rsid w:val="04635211"/>
    <w:rsid w:val="04B2584A"/>
    <w:rsid w:val="04D71E69"/>
    <w:rsid w:val="0579147B"/>
    <w:rsid w:val="05A97689"/>
    <w:rsid w:val="06034576"/>
    <w:rsid w:val="062354B9"/>
    <w:rsid w:val="06697324"/>
    <w:rsid w:val="0715704A"/>
    <w:rsid w:val="084925AC"/>
    <w:rsid w:val="088A7F9D"/>
    <w:rsid w:val="08B64DE4"/>
    <w:rsid w:val="08C534D4"/>
    <w:rsid w:val="08DE7835"/>
    <w:rsid w:val="08F553F4"/>
    <w:rsid w:val="0B083D12"/>
    <w:rsid w:val="0BE40836"/>
    <w:rsid w:val="0BF25A4D"/>
    <w:rsid w:val="0C125C45"/>
    <w:rsid w:val="0C341773"/>
    <w:rsid w:val="0DFA1E01"/>
    <w:rsid w:val="0EE263B6"/>
    <w:rsid w:val="0F2611DF"/>
    <w:rsid w:val="0F3329A5"/>
    <w:rsid w:val="0F356FD9"/>
    <w:rsid w:val="0FCA5A1E"/>
    <w:rsid w:val="10866EBC"/>
    <w:rsid w:val="10884679"/>
    <w:rsid w:val="113223EB"/>
    <w:rsid w:val="1333151C"/>
    <w:rsid w:val="13C1178D"/>
    <w:rsid w:val="13FF6779"/>
    <w:rsid w:val="15011812"/>
    <w:rsid w:val="154614AA"/>
    <w:rsid w:val="160506E3"/>
    <w:rsid w:val="1795747E"/>
    <w:rsid w:val="17DC5987"/>
    <w:rsid w:val="19076DE8"/>
    <w:rsid w:val="19CC6BD7"/>
    <w:rsid w:val="1A100ABD"/>
    <w:rsid w:val="1A3800AF"/>
    <w:rsid w:val="1B125B41"/>
    <w:rsid w:val="1B8B2D99"/>
    <w:rsid w:val="1CF3362B"/>
    <w:rsid w:val="1D2C7929"/>
    <w:rsid w:val="1D992896"/>
    <w:rsid w:val="1DCD47BD"/>
    <w:rsid w:val="1E311198"/>
    <w:rsid w:val="1E501C47"/>
    <w:rsid w:val="1E5F6F45"/>
    <w:rsid w:val="20F11C58"/>
    <w:rsid w:val="2105480F"/>
    <w:rsid w:val="212E4147"/>
    <w:rsid w:val="22834A8B"/>
    <w:rsid w:val="22FA21F9"/>
    <w:rsid w:val="237614F9"/>
    <w:rsid w:val="24DC5829"/>
    <w:rsid w:val="24DF3E60"/>
    <w:rsid w:val="25A756F7"/>
    <w:rsid w:val="25D91568"/>
    <w:rsid w:val="26447B72"/>
    <w:rsid w:val="266D6247"/>
    <w:rsid w:val="26886044"/>
    <w:rsid w:val="26E73945"/>
    <w:rsid w:val="27644AF0"/>
    <w:rsid w:val="277751A1"/>
    <w:rsid w:val="27FA6DEE"/>
    <w:rsid w:val="282E30C1"/>
    <w:rsid w:val="29C15C39"/>
    <w:rsid w:val="2B031D6B"/>
    <w:rsid w:val="2C9133BC"/>
    <w:rsid w:val="2CC8580D"/>
    <w:rsid w:val="2DA3794B"/>
    <w:rsid w:val="2E8764C2"/>
    <w:rsid w:val="2EA73618"/>
    <w:rsid w:val="2EC810F1"/>
    <w:rsid w:val="2EF6101B"/>
    <w:rsid w:val="2EFC2DAA"/>
    <w:rsid w:val="2F721047"/>
    <w:rsid w:val="2FA173D6"/>
    <w:rsid w:val="300852DC"/>
    <w:rsid w:val="30A2282F"/>
    <w:rsid w:val="30E511F3"/>
    <w:rsid w:val="313A2F02"/>
    <w:rsid w:val="32F83B80"/>
    <w:rsid w:val="33811EF2"/>
    <w:rsid w:val="33C17B86"/>
    <w:rsid w:val="340C0F0C"/>
    <w:rsid w:val="344B593B"/>
    <w:rsid w:val="347B0C2D"/>
    <w:rsid w:val="349211AA"/>
    <w:rsid w:val="34A676CB"/>
    <w:rsid w:val="35114CFD"/>
    <w:rsid w:val="3520509E"/>
    <w:rsid w:val="366D225A"/>
    <w:rsid w:val="369B06A2"/>
    <w:rsid w:val="36F83540"/>
    <w:rsid w:val="36FBCF08"/>
    <w:rsid w:val="37285DF8"/>
    <w:rsid w:val="373B028E"/>
    <w:rsid w:val="384036C4"/>
    <w:rsid w:val="384E3F93"/>
    <w:rsid w:val="38545733"/>
    <w:rsid w:val="397F4F63"/>
    <w:rsid w:val="3985147D"/>
    <w:rsid w:val="3A0C5C2E"/>
    <w:rsid w:val="3A391F48"/>
    <w:rsid w:val="3A461637"/>
    <w:rsid w:val="3A9C6977"/>
    <w:rsid w:val="3BF038D2"/>
    <w:rsid w:val="3DC54039"/>
    <w:rsid w:val="3ED90D1D"/>
    <w:rsid w:val="3F1D6477"/>
    <w:rsid w:val="3FC07C41"/>
    <w:rsid w:val="3FFC00AB"/>
    <w:rsid w:val="401A5953"/>
    <w:rsid w:val="4099533F"/>
    <w:rsid w:val="41935646"/>
    <w:rsid w:val="42A3286F"/>
    <w:rsid w:val="42F8459D"/>
    <w:rsid w:val="43D14728"/>
    <w:rsid w:val="43DE01BA"/>
    <w:rsid w:val="46035028"/>
    <w:rsid w:val="47F40BC0"/>
    <w:rsid w:val="47F8987A"/>
    <w:rsid w:val="48321338"/>
    <w:rsid w:val="489A308A"/>
    <w:rsid w:val="494B1DF3"/>
    <w:rsid w:val="49643595"/>
    <w:rsid w:val="49D36F9E"/>
    <w:rsid w:val="4A887B31"/>
    <w:rsid w:val="4B0B0A9D"/>
    <w:rsid w:val="4B24141A"/>
    <w:rsid w:val="4B9873EF"/>
    <w:rsid w:val="4B9D0447"/>
    <w:rsid w:val="4C5F5E5B"/>
    <w:rsid w:val="4C8D0F3A"/>
    <w:rsid w:val="4DCA589B"/>
    <w:rsid w:val="4E325014"/>
    <w:rsid w:val="5004704B"/>
    <w:rsid w:val="505C2D9F"/>
    <w:rsid w:val="50623A30"/>
    <w:rsid w:val="509A7A00"/>
    <w:rsid w:val="51351227"/>
    <w:rsid w:val="515E67F1"/>
    <w:rsid w:val="51842B8E"/>
    <w:rsid w:val="51C77133"/>
    <w:rsid w:val="52016ABD"/>
    <w:rsid w:val="52526635"/>
    <w:rsid w:val="53B0714C"/>
    <w:rsid w:val="5412744E"/>
    <w:rsid w:val="55862B22"/>
    <w:rsid w:val="55871A45"/>
    <w:rsid w:val="55DB5F54"/>
    <w:rsid w:val="57452FE1"/>
    <w:rsid w:val="575416E3"/>
    <w:rsid w:val="57B558F1"/>
    <w:rsid w:val="594747E0"/>
    <w:rsid w:val="5A337459"/>
    <w:rsid w:val="5A8CCF3B"/>
    <w:rsid w:val="5AEA5CB1"/>
    <w:rsid w:val="5AF464DF"/>
    <w:rsid w:val="5B3322C2"/>
    <w:rsid w:val="5B344D7D"/>
    <w:rsid w:val="5B825892"/>
    <w:rsid w:val="5BB92EA5"/>
    <w:rsid w:val="5D4D78B2"/>
    <w:rsid w:val="5D5D1C7E"/>
    <w:rsid w:val="5DCF0C99"/>
    <w:rsid w:val="5E751D7E"/>
    <w:rsid w:val="5E8C6331"/>
    <w:rsid w:val="5EFB630D"/>
    <w:rsid w:val="5F1C56B8"/>
    <w:rsid w:val="5FF43034"/>
    <w:rsid w:val="61E2460A"/>
    <w:rsid w:val="62371049"/>
    <w:rsid w:val="625E2DB4"/>
    <w:rsid w:val="62656CC0"/>
    <w:rsid w:val="62966DA1"/>
    <w:rsid w:val="6315488D"/>
    <w:rsid w:val="634F0177"/>
    <w:rsid w:val="638F2299"/>
    <w:rsid w:val="64224D0D"/>
    <w:rsid w:val="642D5B49"/>
    <w:rsid w:val="6483301E"/>
    <w:rsid w:val="650F61B4"/>
    <w:rsid w:val="667B6002"/>
    <w:rsid w:val="6686630A"/>
    <w:rsid w:val="6733252F"/>
    <w:rsid w:val="67902C90"/>
    <w:rsid w:val="67916969"/>
    <w:rsid w:val="67F37E58"/>
    <w:rsid w:val="682873A8"/>
    <w:rsid w:val="68397238"/>
    <w:rsid w:val="68971735"/>
    <w:rsid w:val="68AD2507"/>
    <w:rsid w:val="68F80350"/>
    <w:rsid w:val="69AA3ECB"/>
    <w:rsid w:val="69AD1E2B"/>
    <w:rsid w:val="69CC4ADD"/>
    <w:rsid w:val="6A2D17E8"/>
    <w:rsid w:val="6AC41FD2"/>
    <w:rsid w:val="6B2A203F"/>
    <w:rsid w:val="6B970C08"/>
    <w:rsid w:val="6BBD5663"/>
    <w:rsid w:val="6BC61352"/>
    <w:rsid w:val="6BCC549B"/>
    <w:rsid w:val="6C7E7052"/>
    <w:rsid w:val="6D4C3B31"/>
    <w:rsid w:val="6E3E29F8"/>
    <w:rsid w:val="70187F41"/>
    <w:rsid w:val="703E6382"/>
    <w:rsid w:val="7177332B"/>
    <w:rsid w:val="717B3CBB"/>
    <w:rsid w:val="717F1275"/>
    <w:rsid w:val="718C6759"/>
    <w:rsid w:val="71B8210B"/>
    <w:rsid w:val="724916F9"/>
    <w:rsid w:val="72DE3EA2"/>
    <w:rsid w:val="7487168C"/>
    <w:rsid w:val="74BD570A"/>
    <w:rsid w:val="74CB5917"/>
    <w:rsid w:val="75343D47"/>
    <w:rsid w:val="75DD2560"/>
    <w:rsid w:val="764261EC"/>
    <w:rsid w:val="782078EF"/>
    <w:rsid w:val="78CE0040"/>
    <w:rsid w:val="79007088"/>
    <w:rsid w:val="799B3739"/>
    <w:rsid w:val="7A1E0991"/>
    <w:rsid w:val="7C3177C6"/>
    <w:rsid w:val="7C800451"/>
    <w:rsid w:val="7C8967DD"/>
    <w:rsid w:val="7CCA44D8"/>
    <w:rsid w:val="7D062A82"/>
    <w:rsid w:val="7D8A766D"/>
    <w:rsid w:val="7D993BEA"/>
    <w:rsid w:val="7E435D4A"/>
    <w:rsid w:val="7E9E4322"/>
    <w:rsid w:val="7F3A2CD7"/>
    <w:rsid w:val="7FD53E87"/>
    <w:rsid w:val="CDF7AFBE"/>
    <w:rsid w:val="EF7AF6BD"/>
    <w:rsid w:val="F5E951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Calibri Light" w:hAnsi="Calibri Light"/>
      <w:b/>
      <w:bCs/>
      <w:kern w:val="2"/>
      <w:sz w:val="32"/>
      <w:szCs w:val="32"/>
    </w:rPr>
  </w:style>
  <w:style w:type="paragraph" w:styleId="4">
    <w:name w:val="Plain Text"/>
    <w:basedOn w:val="1"/>
    <w:qFormat/>
    <w:uiPriority w:val="0"/>
    <w:rPr>
      <w:rFonts w:ascii="宋体" w:hAnsi="Courier New"/>
      <w:kern w:val="0"/>
      <w:sz w:val="20"/>
      <w:szCs w:val="20"/>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paragraph" w:styleId="7">
    <w:name w:val="Body Text First Indent"/>
    <w:basedOn w:val="1"/>
    <w:qFormat/>
    <w:uiPriority w:val="0"/>
    <w:pPr>
      <w:spacing w:beforeLines="50" w:line="360" w:lineRule="auto"/>
      <w:ind w:firstLine="200" w:firstLineChars="200"/>
    </w:pPr>
    <w:rPr>
      <w:rFonts w:ascii="Times New Roman" w:hAnsi="Times New Roman"/>
      <w:sz w:val="24"/>
      <w:szCs w:val="24"/>
    </w:rPr>
  </w:style>
  <w:style w:type="character" w:styleId="10">
    <w:name w:val="Strong"/>
    <w:basedOn w:val="9"/>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1391</Words>
  <Characters>1423</Characters>
  <Lines>0</Lines>
  <Paragraphs>0</Paragraphs>
  <TotalTime>6</TotalTime>
  <ScaleCrop>false</ScaleCrop>
  <LinksUpToDate>false</LinksUpToDate>
  <CharactersWithSpaces>1434</CharactersWithSpaces>
  <Application>WPS Office_12.1.2.22550_F1E327BC-269C-435d-A152-05C5408002CA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2025-05-31T08:40:00Z</dcterms:created>
  <dc:creator>chenxq</dc:creator>
  <cp:lastModifiedBy>JYZX035</cp:lastModifiedBy>
  <dcterms:modified xsi:type="dcterms:W3CDTF">2026-10-26T11:54:36Z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ICV">
    <vt:lpwstr>71556FD3109941F5AC4806C47C67995C_13</vt:lpwstr>
  </property>
  <property fmtid="{D5CDD505-2E9C-101B-9397-08002B2CF9AE}" pid="4" name="KSOTemplateDocerSaveRecord">
    <vt:lpwstr>eyJoZGlkIjoiYTAwOTc1OTJkZGI4Yzk3NGNkODU4NTYyYmM0M2IwNTkiLCJ1c2VySWQiOiI2NTkyNDI4NDcifQ==</vt:lpwstr>
  </property>
</Properties>
</file>