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00" w:lineRule="exact"/>
      </w:pPr>
      <w:bookmarkStart w:id="0" w:name="page1"/>
      <w:bookmarkEnd w:id="0"/>
      <w: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43815</wp:posOffset>
            </wp:positionH>
            <wp:positionV relativeFrom="page">
              <wp:posOffset>31750</wp:posOffset>
            </wp:positionV>
            <wp:extent cx="7548245" cy="6268085"/>
            <wp:effectExtent l="0" t="0" r="14605" b="184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245" cy="626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9" w:lineRule="exact"/>
      </w:pPr>
    </w:p>
    <w:p>
      <w:pPr>
        <w:spacing w:line="751" w:lineRule="exact"/>
        <w:jc w:val="both"/>
        <w:rPr>
          <w:rFonts w:hint="eastAsia"/>
          <w:w w:val="90"/>
          <w:sz w:val="20"/>
          <w:szCs w:val="20"/>
          <w:lang w:val="en-US" w:eastAsia="zh-CN"/>
        </w:rPr>
      </w:pPr>
      <w:r>
        <w:rPr>
          <w:rFonts w:hint="eastAsia"/>
          <w:w w:val="90"/>
          <w:sz w:val="20"/>
          <w:szCs w:val="20"/>
          <w:lang w:val="en-US" w:eastAsia="zh-CN"/>
        </w:rPr>
        <w:t xml:space="preserve">  </w:t>
      </w:r>
    </w:p>
    <w:p>
      <w:pPr>
        <w:spacing w:line="751" w:lineRule="exact"/>
        <w:jc w:val="both"/>
        <w:rPr>
          <w:rFonts w:hint="default"/>
          <w:w w:val="90"/>
          <w:sz w:val="20"/>
          <w:szCs w:val="20"/>
          <w:lang w:val="en-US"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751" w:lineRule="exact"/>
        <w:ind w:firstLine="468" w:firstLineChars="100"/>
        <w:jc w:val="both"/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南方电网贵州电动汽车服务有限公司202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6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年</w:t>
      </w:r>
    </w:p>
    <w:p>
      <w:pPr>
        <w:spacing w:line="751" w:lineRule="exact"/>
        <w:ind w:firstLine="936" w:firstLineChars="200"/>
        <w:jc w:val="both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公交模块零星采购项目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技术规范书</w:t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rFonts w:eastAsia="宋体"/>
          <w:lang w:eastAsia="zh-CN"/>
        </w:rPr>
      </w:pPr>
      <w:r>
        <w:rPr>
          <w:rFonts w:hint="eastAsia" w:eastAsia="宋体"/>
          <w:lang w:eastAsia="zh-CN"/>
        </w:rPr>
        <w:t xml:space="preserve">                   </w:t>
      </w:r>
    </w:p>
    <w:p>
      <w:pPr>
        <w:spacing w:line="200" w:lineRule="exact"/>
        <w:rPr>
          <w:rFonts w:eastAsia="宋体"/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57" w:lineRule="exact"/>
        <w:rPr>
          <w:lang w:eastAsia="zh-CN"/>
        </w:rPr>
      </w:pPr>
    </w:p>
    <w:p>
      <w:pPr>
        <w:spacing w:line="320" w:lineRule="exact"/>
        <w:ind w:firstLine="3080" w:firstLineChars="11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南方电网贵州电动汽车服务有限公司</w:t>
      </w:r>
    </w:p>
    <w:p>
      <w:pPr>
        <w:spacing w:line="305" w:lineRule="exact"/>
        <w:rPr>
          <w:rFonts w:ascii="黑体" w:hAnsi="黑体" w:eastAsia="黑体" w:cs="黑体"/>
          <w:lang w:eastAsia="zh-CN"/>
        </w:rPr>
      </w:pPr>
    </w:p>
    <w:p>
      <w:pPr>
        <w:spacing w:line="320" w:lineRule="exact"/>
        <w:ind w:left="47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202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6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年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10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月</w:t>
      </w:r>
    </w:p>
    <w:p>
      <w:pPr>
        <w:rPr>
          <w:sz w:val="22"/>
          <w:szCs w:val="22"/>
          <w:lang w:eastAsia="zh-CN"/>
        </w:rPr>
        <w:sectPr>
          <w:pgSz w:w="11900" w:h="16838"/>
          <w:pgMar w:top="1440" w:right="1306" w:bottom="1440" w:left="800" w:header="0" w:footer="0" w:gutter="0"/>
          <w:cols w:equalWidth="0" w:num="1">
            <w:col w:w="9800"/>
          </w:cols>
        </w:sectPr>
      </w:pPr>
    </w:p>
    <w:p>
      <w:pPr>
        <w:spacing w:line="229" w:lineRule="exact"/>
        <w:rPr>
          <w:sz w:val="20"/>
          <w:szCs w:val="20"/>
          <w:lang w:eastAsia="zh-CN"/>
        </w:rPr>
      </w:pPr>
      <w:bookmarkStart w:id="1" w:name="page2"/>
      <w:bookmarkEnd w:id="1"/>
    </w:p>
    <w:p>
      <w:pPr>
        <w:spacing w:line="502" w:lineRule="exact"/>
        <w:ind w:left="3560"/>
        <w:rPr>
          <w:rFonts w:ascii="宋体" w:hAnsi="宋体" w:eastAsia="宋体" w:cs="宋体"/>
          <w:sz w:val="44"/>
          <w:szCs w:val="44"/>
          <w:lang w:eastAsia="zh-CN"/>
        </w:rPr>
      </w:pPr>
    </w:p>
    <w:p>
      <w:pPr>
        <w:spacing w:line="502" w:lineRule="exact"/>
        <w:ind w:left="3560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44"/>
          <w:szCs w:val="44"/>
          <w:lang w:eastAsia="zh-CN"/>
        </w:rPr>
        <w:t>目 录</w:t>
      </w: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390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一、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总则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二、适用范围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、项目概况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rFonts w:eastAsiaTheme="minorEastAsia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、相关要求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（一）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采购范围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tabs>
          <w:tab w:val="left" w:leader="dot" w:pos="8500"/>
        </w:tabs>
        <w:spacing w:line="320" w:lineRule="atLeast"/>
        <w:ind w:left="360"/>
        <w:rPr>
          <w:rFonts w:ascii="黑体" w:hAnsi="黑体" w:eastAsia="黑体" w:cs="黑体"/>
          <w:sz w:val="28"/>
          <w:szCs w:val="28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二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报价方式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20" w:lineRule="atLeast"/>
        <w:rPr>
          <w:rFonts w:eastAsiaTheme="minorEastAsia"/>
          <w:lang w:eastAsia="zh-CN"/>
        </w:rPr>
      </w:pPr>
      <w:bookmarkStart w:id="2" w:name="page1_0"/>
      <w:bookmarkEnd w:id="2"/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服务地址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20" w:lineRule="atLeas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物资采购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</w:t>
      </w:r>
    </w:p>
    <w:p>
      <w:pPr>
        <w:spacing w:line="320" w:lineRule="atLeast"/>
        <w:rPr>
          <w:rFonts w:eastAsiaTheme="minorEastAsia"/>
          <w:lang w:eastAsia="zh-CN"/>
        </w:rPr>
      </w:pPr>
    </w:p>
    <w:p>
      <w:pPr>
        <w:spacing w:line="200" w:lineRule="exact"/>
        <w:rPr>
          <w:rFonts w:eastAsiaTheme="minorEastAsia"/>
          <w:lang w:eastAsia="zh-CN"/>
        </w:rPr>
      </w:pPr>
    </w:p>
    <w:p>
      <w:pPr>
        <w:spacing w:line="411" w:lineRule="exact"/>
        <w:ind w:right="6"/>
        <w:jc w:val="both"/>
        <w:rPr>
          <w:rFonts w:ascii="宋体" w:hAnsi="宋体" w:eastAsia="宋体" w:cs="宋体"/>
          <w:sz w:val="36"/>
          <w:szCs w:val="36"/>
          <w:lang w:eastAsia="zh-CN"/>
        </w:rPr>
      </w:pPr>
    </w:p>
    <w:p>
      <w:pPr>
        <w:spacing w:line="411" w:lineRule="exact"/>
        <w:ind w:right="6"/>
        <w:jc w:val="center"/>
        <w:rPr>
          <w:rFonts w:ascii="宋体" w:hAnsi="宋体" w:eastAsia="宋体" w:cs="宋体"/>
          <w:sz w:val="36"/>
          <w:szCs w:val="36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both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  <w:t>技术规范书</w:t>
      </w:r>
    </w:p>
    <w:p>
      <w:pPr>
        <w:spacing w:line="20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205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336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一、总则</w:t>
      </w:r>
    </w:p>
    <w:p>
      <w:pPr>
        <w:spacing w:line="520" w:lineRule="exact"/>
        <w:ind w:left="360" w:right="22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为了规范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南方电网贵州电动汽车服务有限公司2026年公交模块零星采购项目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技术规范书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（以下简称“项目”）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质量，保证项目正常运行，特制定本规范。</w:t>
      </w: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二、适用范围</w:t>
      </w:r>
    </w:p>
    <w:p>
      <w:pPr>
        <w:spacing w:line="520" w:lineRule="exact"/>
        <w:ind w:left="360" w:right="36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适用于采购编号：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南方电网贵州电动汽车服务有限公司2026年公交模块零星采购项目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三、项目概况</w:t>
      </w:r>
    </w:p>
    <w:p>
      <w:pPr>
        <w:spacing w:line="520" w:lineRule="exact"/>
        <w:ind w:left="278" w:leftChars="116" w:firstLine="800" w:firstLineChars="250"/>
        <w:jc w:val="both"/>
        <w:textAlignment w:val="baseline"/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贵阳公交充电站内充电设备采用优优绿能充电模块（均已过保），该模块为优优绿能厂家自行设计，充电接口、控制程序与市面其它品牌</w:t>
      </w:r>
      <w:bookmarkStart w:id="3" w:name="_GoBack"/>
      <w:bookmarkEnd w:id="3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型号不相兼容。为保障贵阳公交充电站的正常运行，需零星采购兼容充电模块，用于更换充电站内故障模块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numPr>
          <w:ilvl w:val="0"/>
          <w:numId w:val="1"/>
        </w:numPr>
        <w:spacing w:line="520" w:lineRule="exact"/>
        <w:ind w:firstLine="964" w:firstLineChars="3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相关要求</w:t>
      </w:r>
    </w:p>
    <w:p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（一）采购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明细</w:t>
      </w:r>
    </w:p>
    <w:tbl>
      <w:tblPr>
        <w:tblStyle w:val="3"/>
        <w:tblpPr w:leftFromText="180" w:rightFromText="180" w:vertAnchor="text" w:tblpXSpec="center" w:tblpY="52"/>
        <w:tblOverlap w:val="never"/>
        <w:tblW w:w="85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1"/>
        <w:gridCol w:w="4144"/>
        <w:gridCol w:w="1643"/>
        <w:gridCol w:w="1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序号</w:t>
            </w:r>
          </w:p>
        </w:tc>
        <w:tc>
          <w:tcPr>
            <w:tcW w:w="4144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标的名称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采购清单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最高限价（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含税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0" w:hRule="atLeast"/>
          <w:jc w:val="center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1</w:t>
            </w:r>
          </w:p>
        </w:tc>
        <w:tc>
          <w:tcPr>
            <w:tcW w:w="4144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南方电网贵州电动汽车服务有限公司2026年公交模块零星采购项目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详见附件1《物资采购清单</w:t>
            </w:r>
          </w:p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》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49920元</w:t>
            </w:r>
          </w:p>
        </w:tc>
      </w:tr>
    </w:tbl>
    <w:p>
      <w:pPr>
        <w:spacing w:line="520" w:lineRule="exac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物资采购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物资符合国家/行业标准，电气类产品需提供CCC认证，工具类需提供出厂合格证及质保书。严格按照表格标注规格、数量、备注要求采购，品牌、款式以附件图片为准。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货品需全新正品、无破损、无过期、无包装污损，符合国家安全生产、环保相关行业标准到货可正常验收。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供应商需在中标后10个工作日内完成发货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4.供应商所提供物资，质保期5年。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5.供应商应提供免费的技术支持及货品程序调试服务，并确保所供物资可与采购方充电站内已有的优优绿能UR100030-SW (SP)充电模块实现混插使用。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6.物资技术参数</w:t>
      </w:r>
    </w:p>
    <w:p>
      <w:pPr>
        <w:tabs>
          <w:tab w:val="left" w:pos="5252"/>
        </w:tabs>
        <w:bidi w:val="0"/>
        <w:jc w:val="left"/>
        <w:rPr>
          <w:rFonts w:hint="eastAsia"/>
          <w:lang w:val="en-US" w:eastAsia="zh-CN"/>
        </w:rPr>
      </w:pPr>
    </w:p>
    <w:tbl>
      <w:tblPr>
        <w:tblStyle w:val="2"/>
        <w:tblW w:w="501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2"/>
        <w:gridCol w:w="2000"/>
        <w:gridCol w:w="3651"/>
        <w:gridCol w:w="2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160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优优绿能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160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产品型号</w:t>
            </w: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UR100030-SW（SP）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环境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条件</w:t>
            </w: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工作温度</w:t>
            </w: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-40℃～+70℃； 40C (±4℃)模块起机；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55℃ (±2 C)以上降额使用；70℃(±4℃)以上关机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贮存温度</w:t>
            </w: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-40℃～85℃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相对湿度</w:t>
            </w: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≤95%,无冷凝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大气压力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海拔高度</w:t>
            </w: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79kpa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～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106kpa;海拔高度&lt;2000m;2000m以上需要考虑降额使用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冷却方式</w:t>
            </w: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智能风冷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输入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特性</w:t>
            </w: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输入电压</w:t>
            </w: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三相线电压260Vac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～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485Vac;260Vac以下欠压,485V 以上过压,  260V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～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320V 降额,320V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～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485V满载输出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输入频率</w:t>
            </w: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55HZ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±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10HZ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输入功率因数</w:t>
            </w: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≥0.98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输入电流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总谐波畸变率</w:t>
            </w: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≤5%  (半载以上)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效率</w:t>
            </w: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≥95%  (25度额定输入输出满载效率)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待机功耗</w:t>
            </w: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&lt;10W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输入电流过冲</w:t>
            </w: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峰值输入电流≤额定输入电流 110%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相数</w:t>
            </w: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三相+保护地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输出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特性</w:t>
            </w: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模式</w:t>
            </w:r>
          </w:p>
        </w:tc>
        <w:tc>
          <w:tcPr>
            <w:tcW w:w="19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高压模式</w:t>
            </w:r>
          </w:p>
        </w:tc>
        <w:tc>
          <w:tcPr>
            <w:tcW w:w="14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低压模式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稳压输出电压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调节范围</w:t>
            </w:r>
          </w:p>
        </w:tc>
        <w:tc>
          <w:tcPr>
            <w:tcW w:w="19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(200～1000)Vdc</w:t>
            </w:r>
          </w:p>
        </w:tc>
        <w:tc>
          <w:tcPr>
            <w:tcW w:w="14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(150～500)Vdc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额定输出电压</w:t>
            </w:r>
          </w:p>
        </w:tc>
        <w:tc>
          <w:tcPr>
            <w:tcW w:w="19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1000V</w:t>
            </w:r>
          </w:p>
        </w:tc>
        <w:tc>
          <w:tcPr>
            <w:tcW w:w="14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500V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额定输出电流</w:t>
            </w:r>
          </w:p>
        </w:tc>
        <w:tc>
          <w:tcPr>
            <w:tcW w:w="19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30A</w:t>
            </w:r>
          </w:p>
        </w:tc>
        <w:tc>
          <w:tcPr>
            <w:tcW w:w="14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60A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限流值调节范围</w:t>
            </w:r>
          </w:p>
        </w:tc>
        <w:tc>
          <w:tcPr>
            <w:tcW w:w="19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0A≤I≤60A</w:t>
            </w:r>
          </w:p>
        </w:tc>
        <w:tc>
          <w:tcPr>
            <w:tcW w:w="14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0A≤I≤100A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输出电压纹波因数(25℃)</w:t>
            </w:r>
          </w:p>
        </w:tc>
        <w:tc>
          <w:tcPr>
            <w:tcW w:w="19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≤1% (500Vdc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～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1000Vdc)</w:t>
            </w:r>
          </w:p>
        </w:tc>
        <w:tc>
          <w:tcPr>
            <w:tcW w:w="14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≤1%(200Vdc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～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500Vdc)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正常开机模式: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启动时间</w:t>
            </w:r>
          </w:p>
        </w:tc>
        <w:tc>
          <w:tcPr>
            <w:tcW w:w="19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3s≤t≤8s</w:t>
            </w:r>
          </w:p>
        </w:tc>
        <w:tc>
          <w:tcPr>
            <w:tcW w:w="14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3s≤t≤8s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稳流精度</w:t>
            </w:r>
          </w:p>
        </w:tc>
        <w:tc>
          <w:tcPr>
            <w:tcW w:w="19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≤±1%</w:t>
            </w:r>
          </w:p>
        </w:tc>
        <w:tc>
          <w:tcPr>
            <w:tcW w:w="14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≤±1%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稳压精度</w:t>
            </w:r>
          </w:p>
        </w:tc>
        <w:tc>
          <w:tcPr>
            <w:tcW w:w="19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≤±0.5%</w:t>
            </w:r>
          </w:p>
        </w:tc>
        <w:tc>
          <w:tcPr>
            <w:tcW w:w="14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≤±0.5%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均流不平衡度</w:t>
            </w:r>
          </w:p>
        </w:tc>
        <w:tc>
          <w:tcPr>
            <w:tcW w:w="19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≤5%额定输出电流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(在10%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～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100%负载)</w:t>
            </w:r>
          </w:p>
        </w:tc>
        <w:tc>
          <w:tcPr>
            <w:tcW w:w="14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≤5%额定输出电流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(在10%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～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100%负载)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通讯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告警</w:t>
            </w: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通讯接口</w:t>
            </w: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CAN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最大并机数量</w:t>
            </w: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60个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告警与状态</w:t>
            </w: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通过 CAN总线上报监控后台或在面板 LED 显示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物理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特性</w:t>
            </w: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噪音</w:t>
            </w: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&lt;68dB  (20℃,满载额定输出)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冷却方式</w:t>
            </w: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智能风冷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外形尺寸</w:t>
            </w: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84mm*300mm 437.5mm  (宽*高*深)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重量</w:t>
            </w: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≤17kg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MTBF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(平均无故障时间)</w:t>
            </w: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500000 小时  (40℃)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防护等级</w:t>
            </w: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IP20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安规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及EMC标准</w:t>
            </w:r>
          </w:p>
        </w:tc>
        <w:tc>
          <w:tcPr>
            <w:tcW w:w="107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中国</w:t>
            </w: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NB/T33001-2018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NB/T 33008.1-2018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" w:hRule="atLeast"/>
        </w:trPr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7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GB/T 18487.2-2017</w:t>
            </w:r>
          </w:p>
        </w:tc>
      </w:tr>
    </w:tbl>
    <w:p>
      <w:pPr>
        <w:rPr>
          <w:lang w:val="en-US" w:eastAsia="zh-CN"/>
        </w:rPr>
      </w:pPr>
      <w:r>
        <w:rPr>
          <w:lang w:val="en-US" w:eastAsia="zh-CN"/>
        </w:rPr>
        <w:br w:type="page"/>
      </w:r>
    </w:p>
    <w:p>
      <w:pPr>
        <w:tabs>
          <w:tab w:val="left" w:pos="5252"/>
        </w:tabs>
        <w:bidi w:val="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附件1</w:t>
      </w:r>
    </w:p>
    <w:p>
      <w:pPr>
        <w:tabs>
          <w:tab w:val="left" w:pos="5252"/>
        </w:tabs>
        <w:bidi w:val="0"/>
        <w:jc w:val="left"/>
        <w:rPr>
          <w:rFonts w:hint="eastAsia" w:ascii="仿宋_GB2312" w:hAnsi="仿宋_GB2312" w:eastAsia="仿宋_GB2312" w:cs="仿宋_GB2312"/>
          <w:sz w:val="18"/>
          <w:szCs w:val="18"/>
          <w:lang w:val="en-US" w:eastAsia="zh-CN"/>
        </w:rPr>
      </w:pPr>
    </w:p>
    <w:p>
      <w:pPr>
        <w:tabs>
          <w:tab w:val="left" w:pos="5252"/>
        </w:tabs>
        <w:bidi w:val="0"/>
        <w:jc w:val="left"/>
        <w:rPr>
          <w:rFonts w:hint="eastAsia" w:ascii="仿宋_GB2312" w:hAnsi="仿宋_GB2312" w:eastAsia="仿宋_GB2312" w:cs="仿宋_GB2312"/>
          <w:sz w:val="18"/>
          <w:szCs w:val="18"/>
          <w:lang w:val="en-US" w:eastAsia="zh-CN"/>
        </w:rPr>
      </w:pPr>
    </w:p>
    <w:p>
      <w:pPr>
        <w:tabs>
          <w:tab w:val="left" w:pos="5252"/>
        </w:tabs>
        <w:bidi w:val="0"/>
        <w:jc w:val="left"/>
        <w:rPr>
          <w:rFonts w:hint="eastAsia" w:ascii="仿宋_GB2312" w:hAnsi="仿宋_GB2312" w:eastAsia="仿宋_GB2312" w:cs="仿宋_GB2312"/>
          <w:sz w:val="18"/>
          <w:szCs w:val="18"/>
          <w:lang w:val="en-US" w:eastAsia="zh-CN"/>
        </w:rPr>
      </w:pPr>
    </w:p>
    <w:p>
      <w:pPr>
        <w:tabs>
          <w:tab w:val="left" w:pos="5252"/>
        </w:tabs>
        <w:bidi w:val="0"/>
        <w:jc w:val="center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物资采购清单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4"/>
        <w:gridCol w:w="2085"/>
        <w:gridCol w:w="2243"/>
        <w:gridCol w:w="1027"/>
        <w:gridCol w:w="908"/>
        <w:gridCol w:w="21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4" w:type="dxa"/>
            <w:vAlign w:val="center"/>
          </w:tcPr>
          <w:p>
            <w:pPr>
              <w:widowControl w:val="0"/>
              <w:tabs>
                <w:tab w:val="left" w:pos="5252"/>
              </w:tabs>
              <w:bidi w:val="0"/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序号</w:t>
            </w:r>
          </w:p>
        </w:tc>
        <w:tc>
          <w:tcPr>
            <w:tcW w:w="2085" w:type="dxa"/>
            <w:vAlign w:val="center"/>
          </w:tcPr>
          <w:p>
            <w:pPr>
              <w:widowControl w:val="0"/>
              <w:tabs>
                <w:tab w:val="left" w:pos="5252"/>
              </w:tabs>
              <w:bidi w:val="0"/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名称</w:t>
            </w:r>
          </w:p>
        </w:tc>
        <w:tc>
          <w:tcPr>
            <w:tcW w:w="2243" w:type="dxa"/>
            <w:vAlign w:val="center"/>
          </w:tcPr>
          <w:p>
            <w:pPr>
              <w:widowControl w:val="0"/>
              <w:tabs>
                <w:tab w:val="left" w:pos="5252"/>
              </w:tabs>
              <w:bidi w:val="0"/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型号</w:t>
            </w:r>
          </w:p>
        </w:tc>
        <w:tc>
          <w:tcPr>
            <w:tcW w:w="1027" w:type="dxa"/>
            <w:vAlign w:val="center"/>
          </w:tcPr>
          <w:p>
            <w:pPr>
              <w:widowControl w:val="0"/>
              <w:tabs>
                <w:tab w:val="left" w:pos="5252"/>
              </w:tabs>
              <w:bidi w:val="0"/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单位</w:t>
            </w:r>
          </w:p>
        </w:tc>
        <w:tc>
          <w:tcPr>
            <w:tcW w:w="908" w:type="dxa"/>
            <w:vAlign w:val="center"/>
          </w:tcPr>
          <w:p>
            <w:pPr>
              <w:widowControl w:val="0"/>
              <w:tabs>
                <w:tab w:val="left" w:pos="5252"/>
              </w:tabs>
              <w:bidi w:val="0"/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数量</w:t>
            </w:r>
          </w:p>
        </w:tc>
        <w:tc>
          <w:tcPr>
            <w:tcW w:w="2152" w:type="dxa"/>
            <w:vAlign w:val="center"/>
          </w:tcPr>
          <w:p>
            <w:pPr>
              <w:widowControl w:val="0"/>
              <w:tabs>
                <w:tab w:val="left" w:pos="5252"/>
              </w:tabs>
              <w:bidi w:val="0"/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4" w:type="dxa"/>
            <w:vAlign w:val="center"/>
          </w:tcPr>
          <w:p>
            <w:pPr>
              <w:widowControl w:val="0"/>
              <w:tabs>
                <w:tab w:val="left" w:pos="5252"/>
              </w:tabs>
              <w:bidi w:val="0"/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2085" w:type="dxa"/>
            <w:vAlign w:val="center"/>
          </w:tcPr>
          <w:p>
            <w:pPr>
              <w:widowControl w:val="0"/>
              <w:tabs>
                <w:tab w:val="left" w:pos="5252"/>
              </w:tabs>
              <w:bidi w:val="0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超宽恒功率</w:t>
            </w:r>
          </w:p>
          <w:p>
            <w:pPr>
              <w:widowControl w:val="0"/>
              <w:tabs>
                <w:tab w:val="left" w:pos="5252"/>
              </w:tabs>
              <w:bidi w:val="0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30kW充电模块</w:t>
            </w:r>
          </w:p>
        </w:tc>
        <w:tc>
          <w:tcPr>
            <w:tcW w:w="2243" w:type="dxa"/>
            <w:vAlign w:val="center"/>
          </w:tcPr>
          <w:p>
            <w:pPr>
              <w:widowControl w:val="0"/>
              <w:tabs>
                <w:tab w:val="left" w:pos="5252"/>
              </w:tabs>
              <w:bidi w:val="0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UR100030-SW（SP）</w:t>
            </w:r>
          </w:p>
        </w:tc>
        <w:tc>
          <w:tcPr>
            <w:tcW w:w="1027" w:type="dxa"/>
            <w:vAlign w:val="center"/>
          </w:tcPr>
          <w:p>
            <w:pPr>
              <w:widowControl w:val="0"/>
              <w:tabs>
                <w:tab w:val="left" w:pos="5252"/>
              </w:tabs>
              <w:bidi w:val="0"/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块</w:t>
            </w:r>
          </w:p>
        </w:tc>
        <w:tc>
          <w:tcPr>
            <w:tcW w:w="908" w:type="dxa"/>
            <w:vAlign w:val="center"/>
          </w:tcPr>
          <w:p>
            <w:pPr>
              <w:widowControl w:val="0"/>
              <w:tabs>
                <w:tab w:val="left" w:pos="5252"/>
              </w:tabs>
              <w:bidi w:val="0"/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26</w:t>
            </w:r>
          </w:p>
        </w:tc>
        <w:tc>
          <w:tcPr>
            <w:tcW w:w="2152" w:type="dxa"/>
            <w:vAlign w:val="center"/>
          </w:tcPr>
          <w:p>
            <w:pPr>
              <w:widowControl w:val="0"/>
              <w:tabs>
                <w:tab w:val="left" w:pos="5252"/>
              </w:tabs>
              <w:bidi w:val="0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</w:p>
        </w:tc>
      </w:tr>
    </w:tbl>
    <w:p>
      <w:pPr>
        <w:tabs>
          <w:tab w:val="left" w:pos="5252"/>
        </w:tabs>
        <w:bidi w:val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type w:val="continuous"/>
      <w:pgSz w:w="11900" w:h="16838"/>
      <w:pgMar w:top="1439" w:right="1440" w:bottom="435" w:left="1440" w:header="0" w:footer="0" w:gutter="0"/>
      <w:cols w:equalWidth="0" w:num="1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7C6B35"/>
    <w:multiLevelType w:val="singleLevel"/>
    <w:tmpl w:val="3B7C6B3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5015BD"/>
    <w:rsid w:val="00A77B3E"/>
    <w:rsid w:val="00B93C2A"/>
    <w:rsid w:val="00BB1461"/>
    <w:rsid w:val="00C9241A"/>
    <w:rsid w:val="00CA2A55"/>
    <w:rsid w:val="013B3F63"/>
    <w:rsid w:val="025A6C04"/>
    <w:rsid w:val="036F56D2"/>
    <w:rsid w:val="037262BA"/>
    <w:rsid w:val="039068BB"/>
    <w:rsid w:val="05B74771"/>
    <w:rsid w:val="068E3B66"/>
    <w:rsid w:val="06FC21E7"/>
    <w:rsid w:val="072764A5"/>
    <w:rsid w:val="07DE7D68"/>
    <w:rsid w:val="08D46A3F"/>
    <w:rsid w:val="091273FA"/>
    <w:rsid w:val="09750994"/>
    <w:rsid w:val="0ADB7398"/>
    <w:rsid w:val="0AEE5262"/>
    <w:rsid w:val="0B1B4E9F"/>
    <w:rsid w:val="0B3E3A9A"/>
    <w:rsid w:val="0C557F73"/>
    <w:rsid w:val="0CB3217A"/>
    <w:rsid w:val="0CC63922"/>
    <w:rsid w:val="0D1302A2"/>
    <w:rsid w:val="0D3005FB"/>
    <w:rsid w:val="0E02296D"/>
    <w:rsid w:val="0F870469"/>
    <w:rsid w:val="0FBB392A"/>
    <w:rsid w:val="10A75CBA"/>
    <w:rsid w:val="11C80677"/>
    <w:rsid w:val="11CF1B67"/>
    <w:rsid w:val="127C300E"/>
    <w:rsid w:val="13074197"/>
    <w:rsid w:val="13C12381"/>
    <w:rsid w:val="14FD0079"/>
    <w:rsid w:val="15E8637F"/>
    <w:rsid w:val="160B17F4"/>
    <w:rsid w:val="16B46750"/>
    <w:rsid w:val="16BE50DE"/>
    <w:rsid w:val="19994B83"/>
    <w:rsid w:val="1A722BCA"/>
    <w:rsid w:val="1C4F189B"/>
    <w:rsid w:val="1CA478F2"/>
    <w:rsid w:val="1CBA0934"/>
    <w:rsid w:val="1DAF24FC"/>
    <w:rsid w:val="1E373BC3"/>
    <w:rsid w:val="1E7B3D90"/>
    <w:rsid w:val="1F0176A1"/>
    <w:rsid w:val="1F9272C7"/>
    <w:rsid w:val="1FDE0DC4"/>
    <w:rsid w:val="20F416FE"/>
    <w:rsid w:val="213D3949"/>
    <w:rsid w:val="21924A2D"/>
    <w:rsid w:val="22017E7D"/>
    <w:rsid w:val="246057D0"/>
    <w:rsid w:val="263404C4"/>
    <w:rsid w:val="26A45974"/>
    <w:rsid w:val="27420C7A"/>
    <w:rsid w:val="27671AAF"/>
    <w:rsid w:val="27CB12A0"/>
    <w:rsid w:val="27DE7716"/>
    <w:rsid w:val="28670FF6"/>
    <w:rsid w:val="288B53D5"/>
    <w:rsid w:val="28ED6E43"/>
    <w:rsid w:val="292827B1"/>
    <w:rsid w:val="296F777A"/>
    <w:rsid w:val="2A810D6A"/>
    <w:rsid w:val="2AAE5541"/>
    <w:rsid w:val="2BAB03D4"/>
    <w:rsid w:val="2CA376BD"/>
    <w:rsid w:val="2DE051B2"/>
    <w:rsid w:val="2E5F169A"/>
    <w:rsid w:val="2EBB13D0"/>
    <w:rsid w:val="2F0F0A9F"/>
    <w:rsid w:val="2F81180C"/>
    <w:rsid w:val="2F996FA3"/>
    <w:rsid w:val="303B7C0D"/>
    <w:rsid w:val="30883239"/>
    <w:rsid w:val="32DC56D7"/>
    <w:rsid w:val="335740A1"/>
    <w:rsid w:val="33E1511F"/>
    <w:rsid w:val="346A38C2"/>
    <w:rsid w:val="3479276E"/>
    <w:rsid w:val="350C6214"/>
    <w:rsid w:val="351A453A"/>
    <w:rsid w:val="368A2987"/>
    <w:rsid w:val="377A733E"/>
    <w:rsid w:val="37A3652C"/>
    <w:rsid w:val="38F33B5D"/>
    <w:rsid w:val="399860D0"/>
    <w:rsid w:val="39D266CC"/>
    <w:rsid w:val="3A1E01E9"/>
    <w:rsid w:val="3A9A5EF5"/>
    <w:rsid w:val="3ADC2450"/>
    <w:rsid w:val="3AEA378B"/>
    <w:rsid w:val="3B5D2396"/>
    <w:rsid w:val="3B6A7F86"/>
    <w:rsid w:val="3C593E8B"/>
    <w:rsid w:val="3D157D0E"/>
    <w:rsid w:val="3D7B4329"/>
    <w:rsid w:val="3ED55C68"/>
    <w:rsid w:val="3EDB2255"/>
    <w:rsid w:val="40256E36"/>
    <w:rsid w:val="40C34785"/>
    <w:rsid w:val="413C1A66"/>
    <w:rsid w:val="415B1C43"/>
    <w:rsid w:val="4209153A"/>
    <w:rsid w:val="422A2598"/>
    <w:rsid w:val="425671FB"/>
    <w:rsid w:val="42BF630F"/>
    <w:rsid w:val="42E01CE1"/>
    <w:rsid w:val="44191A5F"/>
    <w:rsid w:val="443E2003"/>
    <w:rsid w:val="44890DFE"/>
    <w:rsid w:val="45280308"/>
    <w:rsid w:val="459D0CC6"/>
    <w:rsid w:val="4650193A"/>
    <w:rsid w:val="46684A41"/>
    <w:rsid w:val="46F179F6"/>
    <w:rsid w:val="477618A5"/>
    <w:rsid w:val="48030BB8"/>
    <w:rsid w:val="48FD4B4F"/>
    <w:rsid w:val="49A61540"/>
    <w:rsid w:val="4A2E1CF6"/>
    <w:rsid w:val="4B542EFC"/>
    <w:rsid w:val="4B652E77"/>
    <w:rsid w:val="4D940C96"/>
    <w:rsid w:val="4D9F28D5"/>
    <w:rsid w:val="4DFC10F3"/>
    <w:rsid w:val="4F545534"/>
    <w:rsid w:val="500320DD"/>
    <w:rsid w:val="509A6463"/>
    <w:rsid w:val="51802646"/>
    <w:rsid w:val="518A3749"/>
    <w:rsid w:val="51C32D2F"/>
    <w:rsid w:val="53066D20"/>
    <w:rsid w:val="53247FF4"/>
    <w:rsid w:val="539E4BBE"/>
    <w:rsid w:val="560222CE"/>
    <w:rsid w:val="57BF3DE5"/>
    <w:rsid w:val="57D1104A"/>
    <w:rsid w:val="57D34F8E"/>
    <w:rsid w:val="58263B33"/>
    <w:rsid w:val="597B335B"/>
    <w:rsid w:val="59E146C5"/>
    <w:rsid w:val="59FF13B5"/>
    <w:rsid w:val="5A8339BE"/>
    <w:rsid w:val="5AD7045C"/>
    <w:rsid w:val="5ADB2963"/>
    <w:rsid w:val="5C642423"/>
    <w:rsid w:val="5E1D57DC"/>
    <w:rsid w:val="5EB3020E"/>
    <w:rsid w:val="5ED81A8D"/>
    <w:rsid w:val="601A502E"/>
    <w:rsid w:val="602760F8"/>
    <w:rsid w:val="602D01DB"/>
    <w:rsid w:val="607362D2"/>
    <w:rsid w:val="60DF3EFC"/>
    <w:rsid w:val="613278D8"/>
    <w:rsid w:val="61AA75FB"/>
    <w:rsid w:val="629D1A5E"/>
    <w:rsid w:val="62F0280B"/>
    <w:rsid w:val="63CF6D0D"/>
    <w:rsid w:val="64B66ACB"/>
    <w:rsid w:val="64D13754"/>
    <w:rsid w:val="64EA6203"/>
    <w:rsid w:val="65DA53F3"/>
    <w:rsid w:val="66D71736"/>
    <w:rsid w:val="679715F1"/>
    <w:rsid w:val="67C831C2"/>
    <w:rsid w:val="68346129"/>
    <w:rsid w:val="692E1C97"/>
    <w:rsid w:val="6AE622DC"/>
    <w:rsid w:val="6B43565C"/>
    <w:rsid w:val="6CBC13F4"/>
    <w:rsid w:val="6CE15CFC"/>
    <w:rsid w:val="6D271805"/>
    <w:rsid w:val="6D2B1985"/>
    <w:rsid w:val="6DC53E25"/>
    <w:rsid w:val="6F4A3401"/>
    <w:rsid w:val="6F6B5B5E"/>
    <w:rsid w:val="708C1A0F"/>
    <w:rsid w:val="70E055B2"/>
    <w:rsid w:val="71920D35"/>
    <w:rsid w:val="72087E35"/>
    <w:rsid w:val="72345596"/>
    <w:rsid w:val="72B8133A"/>
    <w:rsid w:val="737F6B89"/>
    <w:rsid w:val="73804B68"/>
    <w:rsid w:val="74CF5D3A"/>
    <w:rsid w:val="759872A9"/>
    <w:rsid w:val="78FF00D3"/>
    <w:rsid w:val="798930D3"/>
    <w:rsid w:val="79E51582"/>
    <w:rsid w:val="7AD65EB3"/>
    <w:rsid w:val="7B865FEC"/>
    <w:rsid w:val="7C122E07"/>
    <w:rsid w:val="7C3F770A"/>
    <w:rsid w:val="7CB06092"/>
    <w:rsid w:val="7CBB4DB2"/>
    <w:rsid w:val="7E304914"/>
    <w:rsid w:val="7ED0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character" w:customStyle="1" w:styleId="7">
    <w:name w:val="font121"/>
    <w:basedOn w:val="4"/>
    <w:qFormat/>
    <w:uiPriority w:val="0"/>
    <w:rPr>
      <w:rFonts w:hint="eastAsia" w:ascii="微软雅黑" w:hAnsi="微软雅黑" w:eastAsia="微软雅黑" w:cs="微软雅黑"/>
      <w:color w:val="000000"/>
      <w:sz w:val="20"/>
      <w:szCs w:val="20"/>
      <w:u w:val="none"/>
    </w:rPr>
  </w:style>
  <w:style w:type="character" w:customStyle="1" w:styleId="8">
    <w:name w:val="font131"/>
    <w:basedOn w:val="4"/>
    <w:qFormat/>
    <w:uiPriority w:val="0"/>
    <w:rPr>
      <w:rFonts w:hint="default" w:ascii="Arial" w:hAnsi="Arial" w:cs="Arial"/>
      <w:color w:val="000000"/>
      <w:sz w:val="16"/>
      <w:szCs w:val="16"/>
      <w:u w:val="none"/>
    </w:rPr>
  </w:style>
  <w:style w:type="character" w:customStyle="1" w:styleId="9">
    <w:name w:val="font141"/>
    <w:basedOn w:val="4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10">
    <w:name w:val="font31"/>
    <w:basedOn w:val="4"/>
    <w:qFormat/>
    <w:uiPriority w:val="0"/>
    <w:rPr>
      <w:rFonts w:hint="default" w:ascii="Arial" w:hAnsi="Arial" w:cs="Arial"/>
      <w:color w:val="6E6E6E"/>
      <w:sz w:val="16"/>
      <w:szCs w:val="16"/>
      <w:u w:val="none"/>
    </w:rPr>
  </w:style>
  <w:style w:type="character" w:customStyle="1" w:styleId="11">
    <w:name w:val="font151"/>
    <w:basedOn w:val="4"/>
    <w:qFormat/>
    <w:uiPriority w:val="0"/>
    <w:rPr>
      <w:rFonts w:hint="default" w:ascii="Arial" w:hAnsi="Arial" w:cs="Arial"/>
      <w:color w:val="000000"/>
      <w:sz w:val="18"/>
      <w:szCs w:val="18"/>
      <w:u w:val="none"/>
    </w:rPr>
  </w:style>
  <w:style w:type="character" w:customStyle="1" w:styleId="12">
    <w:name w:val="font161"/>
    <w:basedOn w:val="4"/>
    <w:qFormat/>
    <w:uiPriority w:val="0"/>
    <w:rPr>
      <w:rFonts w:hint="eastAsia" w:ascii="微软雅黑" w:hAnsi="微软雅黑" w:eastAsia="微软雅黑" w:cs="微软雅黑"/>
      <w:color w:val="000000"/>
      <w:sz w:val="18"/>
      <w:szCs w:val="18"/>
      <w:u w:val="none"/>
    </w:rPr>
  </w:style>
  <w:style w:type="character" w:customStyle="1" w:styleId="13">
    <w:name w:val="font41"/>
    <w:basedOn w:val="4"/>
    <w:qFormat/>
    <w:uiPriority w:val="0"/>
    <w:rPr>
      <w:rFonts w:hint="eastAsia" w:ascii="微软雅黑" w:hAnsi="微软雅黑" w:eastAsia="微软雅黑" w:cs="微软雅黑"/>
      <w:color w:val="0C0C0C"/>
      <w:sz w:val="16"/>
      <w:szCs w:val="16"/>
      <w:u w:val="none"/>
    </w:rPr>
  </w:style>
  <w:style w:type="character" w:customStyle="1" w:styleId="14">
    <w:name w:val="font171"/>
    <w:basedOn w:val="4"/>
    <w:qFormat/>
    <w:uiPriority w:val="0"/>
    <w:rPr>
      <w:rFonts w:hint="eastAsia" w:ascii="微软雅黑" w:hAnsi="微软雅黑" w:eastAsia="微软雅黑" w:cs="微软雅黑"/>
      <w:color w:val="000000"/>
      <w:sz w:val="16"/>
      <w:szCs w:val="16"/>
      <w:u w:val="none"/>
    </w:rPr>
  </w:style>
  <w:style w:type="character" w:customStyle="1" w:styleId="15">
    <w:name w:val="font81"/>
    <w:basedOn w:val="4"/>
    <w:qFormat/>
    <w:uiPriority w:val="0"/>
    <w:rPr>
      <w:rFonts w:hint="eastAsia" w:ascii="微软雅黑" w:hAnsi="微软雅黑" w:eastAsia="微软雅黑" w:cs="微软雅黑"/>
      <w:color w:val="5E5E5E"/>
      <w:sz w:val="16"/>
      <w:szCs w:val="16"/>
      <w:u w:val="none"/>
    </w:rPr>
  </w:style>
  <w:style w:type="character" w:customStyle="1" w:styleId="16">
    <w:name w:val="font91"/>
    <w:basedOn w:val="4"/>
    <w:qFormat/>
    <w:uiPriority w:val="0"/>
    <w:rPr>
      <w:rFonts w:hint="eastAsia" w:ascii="微软雅黑" w:hAnsi="微软雅黑" w:eastAsia="微软雅黑" w:cs="微软雅黑"/>
      <w:color w:val="5D5D5D"/>
      <w:sz w:val="16"/>
      <w:szCs w:val="16"/>
      <w:u w:val="none"/>
    </w:rPr>
  </w:style>
  <w:style w:type="character" w:customStyle="1" w:styleId="17">
    <w:name w:val="font181"/>
    <w:basedOn w:val="4"/>
    <w:qFormat/>
    <w:uiPriority w:val="0"/>
    <w:rPr>
      <w:rFonts w:hint="default" w:ascii="Arial" w:hAnsi="Arial" w:cs="Arial"/>
      <w:color w:val="000000"/>
      <w:sz w:val="22"/>
      <w:szCs w:val="22"/>
      <w:u w:val="none"/>
    </w:rPr>
  </w:style>
  <w:style w:type="character" w:customStyle="1" w:styleId="18">
    <w:name w:val="font191"/>
    <w:basedOn w:val="4"/>
    <w:qFormat/>
    <w:uiPriority w:val="0"/>
    <w:rPr>
      <w:rFonts w:hint="eastAsia" w:ascii="微软雅黑" w:hAnsi="微软雅黑" w:eastAsia="微软雅黑" w:cs="微软雅黑"/>
      <w:color w:val="000000"/>
      <w:sz w:val="22"/>
      <w:szCs w:val="22"/>
      <w:u w:val="none"/>
    </w:rPr>
  </w:style>
  <w:style w:type="character" w:customStyle="1" w:styleId="19">
    <w:name w:val="font201"/>
    <w:basedOn w:val="4"/>
    <w:qFormat/>
    <w:uiPriority w:val="0"/>
    <w:rPr>
      <w:rFonts w:hint="eastAsia" w:ascii="微软雅黑" w:hAnsi="微软雅黑" w:eastAsia="微软雅黑" w:cs="微软雅黑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120</Words>
  <Characters>126</Characters>
  <Lines>7</Lines>
  <Paragraphs>2</Paragraphs>
  <TotalTime>46</TotalTime>
  <ScaleCrop>false</ScaleCrop>
  <LinksUpToDate>false</LinksUpToDate>
  <CharactersWithSpaces>156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2024-07-23T06:48:00Z</dcterms:created>
  <dc:creator>Administrator</dc:creator>
  <cp:lastModifiedBy>孔令鹏</cp:lastModifiedBy>
  <dcterms:modified xsi:type="dcterms:W3CDTF">2026-10-26T10:15:01Z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A13DB3E8F4334586A52B3857A0136A08_13</vt:lpwstr>
  </property>
  <property fmtid="{D5CDD505-2E9C-101B-9397-08002B2CF9AE}" pid="4" name="KSOTemplateDocerSaveRecord">
    <vt:lpwstr>eyJoZGlkIjoiMmM4OGFhNmM1MzIxZDE1OWRkMWY0OTYyYTlkMzBjZWQiLCJ1c2VySWQiOiIxMTA1MzcwODg0In0=</vt:lpwstr>
  </property>
</Properties>
</file>