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2710C31">
      <w:pPr>
        <w:spacing w:beforeLines="200" w:line="360" w:lineRule="auto"/>
        <w:rPr>
          <w:rFonts w:asciiTheme="minorEastAsia" w:hAnsiTheme="minorEastAsia" w:eastAsiaTheme="minorEastAsia"/>
        </w:rPr>
      </w:pPr>
      <w:r>
        <w:rPr>
          <w:rFonts w:asciiTheme="minorEastAsia" w:hAnsiTheme="minorEastAsia" w:eastAsiaTheme="minorEastAsia"/>
          <w:b/>
          <w:sz w:val="52"/>
          <w:szCs w:val="22"/>
        </w:rPr>
        <w:drawing>
          <wp:anchor distT="0" distB="0" distL="114300" distR="114300" simplePos="0" relativeHeight="251659264" behindDoc="1" locked="0" layoutInCell="1" allowOverlap="1">
            <wp:simplePos x="0" y="0"/>
            <wp:positionH relativeFrom="column">
              <wp:posOffset>-1139190</wp:posOffset>
            </wp:positionH>
            <wp:positionV relativeFrom="paragraph">
              <wp:posOffset>-955040</wp:posOffset>
            </wp:positionV>
            <wp:extent cx="8915400" cy="2736850"/>
            <wp:effectExtent l="0" t="0" r="0" b="6350"/>
            <wp:wrapTight wrapText="bothSides">
              <wp:wrapPolygon>
                <wp:start x="-23" y="0"/>
                <wp:lineTo x="-23" y="21525"/>
                <wp:lineTo x="21600" y="21525"/>
                <wp:lineTo x="21600" y="0"/>
                <wp:lineTo x="-23" y="0"/>
              </wp:wrapPolygon>
            </wp:wrapTight>
            <wp:docPr id="2" name="Picture 68"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8" descr="模板-3"/>
                    <pic:cNvPicPr>
                      <a:picLocks noChangeAspect="1"/>
                    </pic:cNvPicPr>
                  </pic:nvPicPr>
                  <pic:blipFill>
                    <a:blip r:embed="rId6"/>
                    <a:stretch>
                      <a:fillRect/>
                    </a:stretch>
                  </pic:blipFill>
                  <pic:spPr>
                    <a:xfrm>
                      <a:off x="0" y="0"/>
                      <a:ext cx="8915400" cy="2736850"/>
                    </a:xfrm>
                    <a:prstGeom prst="rect">
                      <a:avLst/>
                    </a:prstGeom>
                    <a:noFill/>
                    <a:ln w="9525">
                      <a:noFill/>
                    </a:ln>
                  </pic:spPr>
                </pic:pic>
              </a:graphicData>
            </a:graphic>
          </wp:anchor>
        </w:drawing>
      </w:r>
    </w:p>
    <w:p w14:paraId="6FC51CA8">
      <w:pPr>
        <w:tabs>
          <w:tab w:val="left" w:pos="480"/>
        </w:tabs>
        <w:adjustRightInd w:val="0"/>
        <w:snapToGrid w:val="0"/>
        <w:spacing w:line="360" w:lineRule="auto"/>
        <w:jc w:val="center"/>
        <w:rPr>
          <w:rFonts w:hint="eastAsia" w:asciiTheme="minorEastAsia" w:hAnsiTheme="minorEastAsia" w:eastAsiaTheme="minorEastAsia"/>
          <w:b/>
          <w:bCs/>
          <w:sz w:val="44"/>
          <w:szCs w:val="44"/>
        </w:rPr>
      </w:pPr>
      <w:r>
        <w:rPr>
          <w:rFonts w:hint="eastAsia" w:asciiTheme="minorEastAsia" w:hAnsiTheme="minorEastAsia" w:eastAsiaTheme="minorEastAsia"/>
          <w:b/>
          <w:bCs/>
          <w:sz w:val="44"/>
          <w:szCs w:val="44"/>
          <w:lang w:val="en-US" w:eastAsia="zh-CN"/>
        </w:rPr>
        <w:t>河源</w:t>
      </w:r>
      <w:r>
        <w:rPr>
          <w:rFonts w:hint="eastAsia" w:asciiTheme="minorEastAsia" w:hAnsiTheme="minorEastAsia" w:eastAsiaTheme="minorEastAsia"/>
          <w:b/>
          <w:bCs/>
          <w:sz w:val="44"/>
          <w:szCs w:val="44"/>
        </w:rPr>
        <w:t>供电局</w:t>
      </w:r>
    </w:p>
    <w:p w14:paraId="1D08B899">
      <w:pPr>
        <w:tabs>
          <w:tab w:val="left" w:pos="480"/>
        </w:tabs>
        <w:adjustRightInd w:val="0"/>
        <w:snapToGrid w:val="0"/>
        <w:spacing w:line="360" w:lineRule="auto"/>
        <w:jc w:val="center"/>
        <w:rPr>
          <w:rFonts w:hint="default" w:asciiTheme="minorEastAsia" w:hAnsiTheme="minorEastAsia" w:eastAsiaTheme="minorEastAsia"/>
          <w:b/>
          <w:bCs/>
          <w:sz w:val="44"/>
          <w:szCs w:val="44"/>
          <w:lang w:val="en-US"/>
        </w:rPr>
      </w:pPr>
      <w:r>
        <w:rPr>
          <w:rFonts w:hint="eastAsia" w:asciiTheme="minorEastAsia" w:hAnsiTheme="minorEastAsia" w:eastAsiaTheme="minorEastAsia"/>
          <w:b/>
          <w:bCs/>
          <w:sz w:val="44"/>
          <w:szCs w:val="44"/>
          <w:lang w:val="en-US" w:eastAsia="zh-CN"/>
        </w:rPr>
        <w:t>基于大疆御3机型的遥控器前端视频采集与智慧安监系统融合传输装置项目材料采购</w:t>
      </w:r>
    </w:p>
    <w:p w14:paraId="3EADA4C7">
      <w:pPr>
        <w:pStyle w:val="3"/>
        <w:spacing w:line="360" w:lineRule="auto"/>
        <w:ind w:right="210"/>
        <w:jc w:val="center"/>
        <w:rPr>
          <w:rFonts w:asciiTheme="minorEastAsia" w:hAnsiTheme="minorEastAsia" w:eastAsiaTheme="minorEastAsia"/>
          <w:sz w:val="44"/>
          <w:szCs w:val="44"/>
        </w:rPr>
      </w:pPr>
      <w:bookmarkStart w:id="0" w:name="_Toc490827275"/>
      <w:bookmarkStart w:id="1" w:name="_Toc490992882"/>
      <w:bookmarkStart w:id="2" w:name="_Toc490836508"/>
      <w:bookmarkStart w:id="3" w:name="_Toc490836987"/>
      <w:bookmarkStart w:id="4" w:name="_Toc490828824"/>
      <w:bookmarkStart w:id="5" w:name="_Toc490828342"/>
      <w:bookmarkStart w:id="6" w:name="_Toc529463209"/>
      <w:bookmarkStart w:id="7" w:name="_Toc490836685"/>
      <w:bookmarkStart w:id="8" w:name="_Toc490994883"/>
      <w:bookmarkStart w:id="9" w:name="_Toc490836196"/>
      <w:bookmarkStart w:id="10" w:name="_Toc490993881"/>
      <w:bookmarkStart w:id="11" w:name="_Toc490993917"/>
      <w:bookmarkStart w:id="12" w:name="_Toc490833902"/>
      <w:r>
        <w:rPr>
          <w:rFonts w:asciiTheme="minorEastAsia" w:hAnsiTheme="minorEastAsia" w:eastAsiaTheme="minorEastAsia"/>
          <w:sz w:val="44"/>
          <w:szCs w:val="44"/>
        </w:rPr>
        <w:t>技术</w:t>
      </w:r>
      <w:r>
        <w:rPr>
          <w:rFonts w:hint="eastAsia" w:asciiTheme="minorEastAsia" w:hAnsiTheme="minorEastAsia" w:eastAsiaTheme="minorEastAsia"/>
          <w:sz w:val="44"/>
          <w:szCs w:val="44"/>
        </w:rPr>
        <w:t>规范书</w:t>
      </w:r>
      <w:bookmarkEnd w:id="0"/>
      <w:bookmarkEnd w:id="1"/>
      <w:bookmarkEnd w:id="2"/>
      <w:bookmarkEnd w:id="3"/>
      <w:bookmarkEnd w:id="4"/>
      <w:bookmarkEnd w:id="5"/>
      <w:bookmarkEnd w:id="6"/>
      <w:bookmarkEnd w:id="7"/>
      <w:bookmarkEnd w:id="8"/>
      <w:bookmarkEnd w:id="9"/>
      <w:bookmarkEnd w:id="10"/>
      <w:bookmarkEnd w:id="11"/>
      <w:bookmarkEnd w:id="12"/>
    </w:p>
    <w:p w14:paraId="7AAEE63C">
      <w:pPr>
        <w:spacing w:beforeLines="200"/>
        <w:rPr>
          <w:rFonts w:asciiTheme="minorEastAsia" w:hAnsiTheme="minorEastAsia" w:eastAsiaTheme="minorEastAsia"/>
          <w:b/>
          <w:sz w:val="52"/>
          <w:szCs w:val="22"/>
        </w:rPr>
      </w:pPr>
    </w:p>
    <w:p w14:paraId="13647B79">
      <w:pPr>
        <w:spacing w:beforeLines="200"/>
        <w:rPr>
          <w:rFonts w:asciiTheme="minorEastAsia" w:hAnsiTheme="minorEastAsia" w:eastAsiaTheme="minorEastAsia"/>
          <w:b/>
          <w:sz w:val="52"/>
          <w:szCs w:val="22"/>
        </w:rPr>
      </w:pPr>
    </w:p>
    <w:p w14:paraId="258BF684">
      <w:pPr>
        <w:jc w:val="center"/>
        <w:rPr>
          <w:rFonts w:hint="eastAsia"/>
          <w:b/>
          <w:sz w:val="30"/>
          <w:szCs w:val="30"/>
          <w:lang w:eastAsia="zh-CN"/>
        </w:rPr>
      </w:pPr>
      <w:r>
        <w:rPr>
          <w:rFonts w:hint="eastAsia"/>
          <w:b/>
          <w:sz w:val="30"/>
          <w:szCs w:val="30"/>
          <w:lang w:val="en-US" w:eastAsia="zh-CN"/>
        </w:rPr>
        <w:t>河源</w:t>
      </w:r>
      <w:r>
        <w:rPr>
          <w:rFonts w:hint="eastAsia"/>
          <w:b/>
          <w:sz w:val="30"/>
          <w:szCs w:val="30"/>
          <w:lang w:eastAsia="zh-CN"/>
        </w:rPr>
        <w:t>供电局</w:t>
      </w:r>
    </w:p>
    <w:p w14:paraId="508541B9">
      <w:pPr>
        <w:jc w:val="center"/>
        <w:rPr>
          <w:rFonts w:hint="default"/>
          <w:b/>
          <w:sz w:val="30"/>
          <w:szCs w:val="30"/>
          <w:lang w:val="en-US"/>
        </w:rPr>
      </w:pPr>
      <w:r>
        <w:rPr>
          <w:b/>
          <w:sz w:val="30"/>
          <w:szCs w:val="30"/>
        </w:rPr>
        <w:t>二〇</w:t>
      </w:r>
      <w:r>
        <w:rPr>
          <w:rFonts w:hint="eastAsia"/>
          <w:b/>
          <w:sz w:val="30"/>
          <w:szCs w:val="30"/>
          <w:lang w:eastAsia="zh-CN"/>
        </w:rPr>
        <w:t>二</w:t>
      </w:r>
      <w:r>
        <w:rPr>
          <w:rFonts w:hint="eastAsia"/>
          <w:b/>
          <w:sz w:val="30"/>
          <w:szCs w:val="30"/>
          <w:lang w:val="en-US" w:eastAsia="zh-CN"/>
        </w:rPr>
        <w:t>六</w:t>
      </w:r>
      <w:r>
        <w:rPr>
          <w:b/>
          <w:sz w:val="30"/>
          <w:szCs w:val="30"/>
        </w:rPr>
        <w:t>年</w:t>
      </w:r>
      <w:r>
        <w:rPr>
          <w:rFonts w:hint="eastAsia"/>
          <w:b/>
          <w:sz w:val="30"/>
          <w:szCs w:val="30"/>
          <w:lang w:val="en-US" w:eastAsia="zh-CN"/>
        </w:rPr>
        <w:t>X月</w:t>
      </w:r>
    </w:p>
    <w:p w14:paraId="0D268915">
      <w:pPr>
        <w:jc w:val="both"/>
        <w:rPr>
          <w:rFonts w:hint="default" w:eastAsia="宋体"/>
          <w:b/>
          <w:sz w:val="30"/>
          <w:szCs w:val="30"/>
          <w:lang w:val="en-US" w:eastAsia="zh-CN"/>
        </w:rPr>
      </w:pPr>
    </w:p>
    <w:p w14:paraId="562EC30B">
      <w:pPr>
        <w:rPr>
          <w:rFonts w:hint="eastAsia"/>
        </w:rPr>
      </w:pPr>
      <w:bookmarkStart w:id="13" w:name="_Toc490993882"/>
    </w:p>
    <w:p w14:paraId="35E240A1">
      <w:pPr>
        <w:pStyle w:val="21"/>
        <w:rPr>
          <w:rFonts w:hint="eastAsia"/>
        </w:rPr>
      </w:pPr>
    </w:p>
    <w:p w14:paraId="26794F53">
      <w:pPr>
        <w:pStyle w:val="3"/>
        <w:pageBreakBefore w:val="0"/>
        <w:kinsoku/>
        <w:wordWrap/>
        <w:overflowPunct/>
        <w:autoSpaceDE/>
        <w:autoSpaceDN/>
        <w:bidi w:val="0"/>
        <w:spacing w:line="560" w:lineRule="exact"/>
        <w:ind w:right="0" w:rightChars="0"/>
        <w:rPr>
          <w:sz w:val="32"/>
          <w:szCs w:val="32"/>
        </w:rPr>
      </w:pPr>
      <w:bookmarkStart w:id="14" w:name="_Toc529463210"/>
      <w:r>
        <w:rPr>
          <w:rFonts w:hint="eastAsia"/>
          <w:sz w:val="32"/>
          <w:szCs w:val="32"/>
        </w:rPr>
        <w:t>1.总则</w:t>
      </w:r>
      <w:bookmarkEnd w:id="13"/>
      <w:bookmarkEnd w:id="14"/>
    </w:p>
    <w:p w14:paraId="2E02BFFF">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ascii="宋体" w:hAnsi="宋体" w:eastAsia="宋体" w:cs="宋体"/>
          <w:sz w:val="24"/>
          <w:szCs w:val="24"/>
        </w:rPr>
        <w:t>本技术规范书适用于</w:t>
      </w:r>
      <w:r>
        <w:rPr>
          <w:rStyle w:val="26"/>
          <w:rFonts w:ascii="宋体" w:hAnsi="宋体" w:eastAsia="宋体" w:cs="宋体"/>
          <w:b w:val="0"/>
          <w:bCs/>
          <w:sz w:val="24"/>
          <w:szCs w:val="24"/>
        </w:rPr>
        <w:t>基于大疆御 3 机型的遥控器前端视频采集与智慧安监系统融合传输装置</w:t>
      </w:r>
      <w:r>
        <w:rPr>
          <w:rFonts w:ascii="宋体" w:hAnsi="宋体" w:eastAsia="宋体" w:cs="宋体"/>
          <w:sz w:val="24"/>
          <w:szCs w:val="24"/>
        </w:rPr>
        <w:t>样机研制项目所需定制电子模块、结构件材料采购</w:t>
      </w:r>
      <w:r>
        <w:rPr>
          <w:rFonts w:hint="eastAsia" w:asciiTheme="minorEastAsia" w:hAnsiTheme="minorEastAsia" w:eastAsiaTheme="minorEastAsia" w:cstheme="minorEastAsia"/>
          <w:sz w:val="24"/>
          <w:szCs w:val="24"/>
        </w:rPr>
        <w:t>。</w:t>
      </w:r>
    </w:p>
    <w:p w14:paraId="1F7F15F0">
      <w:pPr>
        <w:pageBreakBefore w:val="0"/>
        <w:kinsoku/>
        <w:wordWrap/>
        <w:overflowPunct/>
        <w:autoSpaceDE/>
        <w:autoSpaceDN/>
        <w:bidi w:val="0"/>
        <w:spacing w:line="560" w:lineRule="exact"/>
        <w:ind w:right="0" w:rightChars="0"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1.1本技术规范书规定了</w:t>
      </w:r>
      <w:r>
        <w:rPr>
          <w:rFonts w:hint="eastAsia" w:asciiTheme="minorEastAsia" w:hAnsiTheme="minorEastAsia" w:eastAsiaTheme="minorEastAsia" w:cstheme="minorEastAsia"/>
          <w:sz w:val="24"/>
          <w:szCs w:val="24"/>
          <w:lang w:val="en-US" w:eastAsia="zh-CN"/>
        </w:rPr>
        <w:t>基于大疆御3机型的遥控器前端视频采集与智慧安监系统融合传输装置项目所需材料的</w:t>
      </w:r>
      <w:r>
        <w:rPr>
          <w:rFonts w:hint="eastAsia" w:asciiTheme="minorEastAsia" w:hAnsiTheme="minorEastAsia" w:eastAsiaTheme="minorEastAsia" w:cstheme="minorEastAsia"/>
          <w:sz w:val="24"/>
          <w:szCs w:val="24"/>
          <w:lang w:eastAsia="zh-CN"/>
        </w:rPr>
        <w:t>界限</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技术要求、</w:t>
      </w:r>
      <w:r>
        <w:rPr>
          <w:rFonts w:hint="eastAsia" w:asciiTheme="minorEastAsia" w:hAnsiTheme="minorEastAsia" w:eastAsiaTheme="minorEastAsia" w:cstheme="minorEastAsia"/>
          <w:sz w:val="24"/>
          <w:szCs w:val="24"/>
          <w:lang w:val="en-US" w:eastAsia="zh-CN"/>
        </w:rPr>
        <w:t>安全</w:t>
      </w:r>
      <w:r>
        <w:rPr>
          <w:rFonts w:hint="eastAsia" w:asciiTheme="minorEastAsia" w:hAnsiTheme="minorEastAsia" w:eastAsiaTheme="minorEastAsia" w:cstheme="minorEastAsia"/>
          <w:sz w:val="24"/>
          <w:szCs w:val="24"/>
          <w:lang w:eastAsia="zh-CN"/>
        </w:rPr>
        <w:t>要求等</w:t>
      </w:r>
      <w:r>
        <w:rPr>
          <w:rFonts w:hint="eastAsia" w:asciiTheme="minorEastAsia" w:hAnsiTheme="minorEastAsia" w:eastAsiaTheme="minorEastAsia" w:cstheme="minorEastAsia"/>
          <w:sz w:val="24"/>
          <w:szCs w:val="24"/>
        </w:rPr>
        <w:t>具体内容。</w:t>
      </w:r>
    </w:p>
    <w:p w14:paraId="75112424">
      <w:pPr>
        <w:pageBreakBefore w:val="0"/>
        <w:kinsoku/>
        <w:wordWrap/>
        <w:overflowPunct/>
        <w:autoSpaceDE/>
        <w:autoSpaceDN/>
        <w:bidi w:val="0"/>
        <w:spacing w:line="560" w:lineRule="exact"/>
        <w:ind w:right="0" w:rightChars="0" w:firstLine="480" w:firstLineChars="200"/>
        <w:rPr>
          <w:rFonts w:hint="eastAsia"/>
          <w:sz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本技术规范书提出的技术要求。除技术规范书中规定的技术参数和要求外，其余均遵循最新版本的国家标准（GB）、电力行业标准（DL）、IEC标准和国际单位（SI）。</w:t>
      </w:r>
    </w:p>
    <w:p w14:paraId="55C3B25E">
      <w:pPr>
        <w:pStyle w:val="3"/>
        <w:pageBreakBefore w:val="0"/>
        <w:kinsoku/>
        <w:wordWrap/>
        <w:overflowPunct/>
        <w:autoSpaceDE/>
        <w:autoSpaceDN/>
        <w:bidi w:val="0"/>
        <w:spacing w:line="560" w:lineRule="exact"/>
        <w:ind w:right="0" w:rightChars="0"/>
        <w:rPr>
          <w:sz w:val="32"/>
          <w:szCs w:val="32"/>
        </w:rPr>
      </w:pPr>
      <w:bookmarkStart w:id="15" w:name="_Toc490993883"/>
      <w:bookmarkStart w:id="16" w:name="_Toc529463211"/>
      <w:r>
        <w:rPr>
          <w:rFonts w:hint="eastAsia"/>
          <w:sz w:val="32"/>
          <w:szCs w:val="32"/>
        </w:rPr>
        <w:t>2.</w:t>
      </w:r>
      <w:bookmarkEnd w:id="15"/>
      <w:bookmarkStart w:id="17" w:name="_Toc476060462"/>
      <w:bookmarkStart w:id="18" w:name="_Toc351722589"/>
      <w:bookmarkStart w:id="19" w:name="_Toc445396910"/>
      <w:r>
        <w:rPr>
          <w:rFonts w:hint="eastAsia"/>
          <w:sz w:val="32"/>
          <w:szCs w:val="32"/>
        </w:rPr>
        <w:t>项目目标</w:t>
      </w:r>
      <w:bookmarkEnd w:id="16"/>
      <w:bookmarkEnd w:id="17"/>
      <w:bookmarkEnd w:id="18"/>
      <w:bookmarkEnd w:id="19"/>
    </w:p>
    <w:p w14:paraId="1B85894F">
      <w:pPr>
        <w:spacing w:line="360" w:lineRule="auto"/>
        <w:ind w:firstLine="480" w:firstLineChars="200"/>
        <w:rPr>
          <w:rFonts w:hint="eastAsia" w:asciiTheme="minorEastAsia" w:hAnsiTheme="minorEastAsia" w:eastAsiaTheme="minorEastAsia" w:cstheme="minorEastAsia"/>
          <w:sz w:val="24"/>
          <w:szCs w:val="24"/>
          <w:lang w:val="en-US" w:eastAsia="zh-CN"/>
        </w:rPr>
      </w:pPr>
      <w:bookmarkStart w:id="20" w:name="_Toc291690055"/>
      <w:bookmarkStart w:id="21" w:name="_Toc351722590"/>
      <w:r>
        <w:rPr>
          <w:rFonts w:hint="eastAsia" w:asciiTheme="minorEastAsia" w:hAnsiTheme="minorEastAsia" w:eastAsiaTheme="minorEastAsia" w:cstheme="minorEastAsia"/>
          <w:sz w:val="24"/>
          <w:szCs w:val="24"/>
          <w:lang w:val="en-US" w:eastAsia="zh-CN"/>
        </w:rPr>
        <w:t>本项目采购整套定制化硬件物料，用于研制适配大疆御 3 无人机遥控器的前端视频采集与智慧安监系统融合传输装置；完成 HDMI 视频采集编码、5G 电力 APN 专网通信、GB28181 音视频推流、断线自动重连功能样机开发。</w:t>
      </w:r>
    </w:p>
    <w:p w14:paraId="4035C848">
      <w:pPr>
        <w:spacing w:line="360" w:lineRule="auto"/>
        <w:ind w:firstLine="480" w:firstLineChars="200"/>
        <w:rPr>
          <w:rFonts w:hint="eastAsia" w:ascii="宋体" w:hAnsi="宋体" w:eastAsia="宋体" w:cs="Times New Roman"/>
          <w:sz w:val="24"/>
          <w:szCs w:val="24"/>
        </w:rPr>
      </w:pPr>
      <w:r>
        <w:rPr>
          <w:rFonts w:hint="eastAsia" w:asciiTheme="minorEastAsia" w:hAnsiTheme="minorEastAsia" w:eastAsiaTheme="minorEastAsia" w:cstheme="minorEastAsia"/>
          <w:sz w:val="24"/>
          <w:szCs w:val="24"/>
          <w:lang w:val="en-US" w:eastAsia="zh-CN"/>
        </w:rPr>
        <w:t>采购的全部物料需满足户外输电、变电站现场宽温、强电磁干扰使用环境，保障样机硬件完整、功能可调试，支撑职工技术创新项目试验验证</w:t>
      </w:r>
      <w:r>
        <w:rPr>
          <w:rFonts w:hint="eastAsia" w:ascii="宋体" w:hAnsi="宋体" w:eastAsia="宋体" w:cs="Times New Roman"/>
          <w:sz w:val="24"/>
          <w:szCs w:val="24"/>
        </w:rPr>
        <w:t>。</w:t>
      </w:r>
    </w:p>
    <w:p w14:paraId="25E800A6">
      <w:pPr>
        <w:pStyle w:val="3"/>
        <w:keepNext/>
        <w:keepLines/>
        <w:pageBreakBefore w:val="0"/>
        <w:widowControl w:val="0"/>
        <w:kinsoku/>
        <w:wordWrap/>
        <w:overflowPunct/>
        <w:topLinePunct w:val="0"/>
        <w:autoSpaceDE/>
        <w:autoSpaceDN/>
        <w:bidi w:val="0"/>
        <w:adjustRightInd/>
        <w:snapToGrid/>
        <w:spacing w:before="0" w:beforeLines="0" w:after="0" w:afterLines="0" w:line="560" w:lineRule="exact"/>
        <w:textAlignment w:val="auto"/>
        <w:rPr>
          <w:rFonts w:hint="eastAsia" w:ascii="宋体" w:hAnsi="宋体" w:eastAsia="宋体" w:cs="宋体"/>
          <w:color w:val="auto"/>
          <w:sz w:val="32"/>
          <w:szCs w:val="32"/>
          <w:highlight w:val="none"/>
        </w:rPr>
      </w:pPr>
      <w:bookmarkStart w:id="22" w:name="_Toc114177936"/>
      <w:bookmarkStart w:id="23" w:name="_Toc8978"/>
      <w:bookmarkStart w:id="24" w:name="_Toc15654"/>
      <w:bookmarkStart w:id="25" w:name="_Toc470168814"/>
      <w:bookmarkStart w:id="26" w:name="_Toc11752"/>
      <w:r>
        <w:rPr>
          <w:rFonts w:hint="eastAsia" w:cs="宋体"/>
          <w:sz w:val="32"/>
          <w:szCs w:val="32"/>
          <w:lang w:val="en-US" w:eastAsia="zh-CN"/>
        </w:rPr>
        <w:t>3</w:t>
      </w:r>
      <w:r>
        <w:rPr>
          <w:rFonts w:hint="eastAsia" w:ascii="宋体" w:hAnsi="宋体" w:eastAsia="宋体" w:cs="宋体"/>
          <w:color w:val="auto"/>
          <w:sz w:val="32"/>
          <w:szCs w:val="32"/>
          <w:highlight w:val="none"/>
        </w:rPr>
        <w:t>. 供货需求</w:t>
      </w:r>
      <w:bookmarkEnd w:id="22"/>
      <w:bookmarkEnd w:id="23"/>
      <w:bookmarkEnd w:id="24"/>
      <w:bookmarkEnd w:id="25"/>
      <w:bookmarkEnd w:id="26"/>
    </w:p>
    <w:p w14:paraId="1F24215D">
      <w:pPr>
        <w:adjustRightInd w:val="0"/>
        <w:snapToGrid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sz w:val="24"/>
          <w:szCs w:val="24"/>
          <w:lang w:val="en-US" w:eastAsia="zh-CN"/>
        </w:rPr>
        <w:t>所需</w:t>
      </w:r>
      <w:r>
        <w:rPr>
          <w:rFonts w:hint="eastAsia" w:asciiTheme="minorEastAsia" w:hAnsiTheme="minorEastAsia" w:eastAsiaTheme="minorEastAsia" w:cstheme="minorEastAsia"/>
          <w:color w:val="auto"/>
          <w:sz w:val="24"/>
          <w:szCs w:val="24"/>
          <w:highlight w:val="none"/>
          <w:lang w:val="en-US" w:eastAsia="zh-CN"/>
        </w:rPr>
        <w:t>材料明细</w:t>
      </w:r>
      <w:r>
        <w:rPr>
          <w:rFonts w:hint="eastAsia" w:asciiTheme="minorEastAsia" w:hAnsiTheme="minorEastAsia" w:eastAsiaTheme="minorEastAsia" w:cstheme="minorEastAsia"/>
          <w:color w:val="auto"/>
          <w:sz w:val="24"/>
          <w:szCs w:val="24"/>
          <w:highlight w:val="none"/>
        </w:rPr>
        <w:t>见表</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 供货范围</w:t>
      </w:r>
      <w:r>
        <w:rPr>
          <w:rFonts w:hint="eastAsia" w:asciiTheme="minorEastAsia" w:hAnsiTheme="minorEastAsia" w:eastAsiaTheme="minorEastAsia" w:cstheme="minorEastAsia"/>
          <w:sz w:val="24"/>
          <w:szCs w:val="24"/>
          <w:lang w:eastAsia="zh-CN"/>
        </w:rPr>
        <w:t>。</w:t>
      </w:r>
    </w:p>
    <w:p w14:paraId="1D836FF2">
      <w:pPr>
        <w:jc w:val="center"/>
        <w:rPr>
          <w:rFonts w:eastAsia="宋体"/>
          <w:color w:val="auto"/>
          <w:sz w:val="24"/>
          <w:szCs w:val="24"/>
          <w:highlight w:val="none"/>
        </w:rPr>
      </w:pPr>
      <w:r>
        <w:rPr>
          <w:rFonts w:eastAsia="宋体"/>
          <w:color w:val="auto"/>
          <w:sz w:val="24"/>
          <w:szCs w:val="24"/>
          <w:highlight w:val="none"/>
        </w:rPr>
        <w:t>表</w:t>
      </w:r>
      <w:r>
        <w:rPr>
          <w:rFonts w:hint="eastAsia"/>
          <w:color w:val="auto"/>
          <w:sz w:val="24"/>
          <w:szCs w:val="24"/>
          <w:highlight w:val="none"/>
          <w:lang w:val="en-US" w:eastAsia="zh-CN"/>
        </w:rPr>
        <w:t>1</w:t>
      </w:r>
      <w:r>
        <w:rPr>
          <w:rFonts w:eastAsia="宋体"/>
          <w:color w:val="auto"/>
          <w:sz w:val="24"/>
          <w:szCs w:val="24"/>
          <w:highlight w:val="none"/>
        </w:rPr>
        <w:t xml:space="preserve"> 供货范围</w:t>
      </w:r>
    </w:p>
    <w:tbl>
      <w:tblPr>
        <w:tblStyle w:val="23"/>
        <w:tblW w:w="8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055"/>
        <w:gridCol w:w="2035"/>
        <w:gridCol w:w="1748"/>
        <w:gridCol w:w="1014"/>
        <w:gridCol w:w="2899"/>
      </w:tblGrid>
      <w:tr w14:paraId="1956D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1055" w:type="dxa"/>
            <w:noWrap w:val="0"/>
            <w:vAlign w:val="center"/>
          </w:tcPr>
          <w:p w14:paraId="6214F083">
            <w:pPr>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序号</w:t>
            </w:r>
          </w:p>
        </w:tc>
        <w:tc>
          <w:tcPr>
            <w:tcW w:w="2035" w:type="dxa"/>
            <w:noWrap w:val="0"/>
            <w:vAlign w:val="center"/>
          </w:tcPr>
          <w:p w14:paraId="411F8D9D">
            <w:pPr>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名称</w:t>
            </w:r>
          </w:p>
        </w:tc>
        <w:tc>
          <w:tcPr>
            <w:tcW w:w="1748" w:type="dxa"/>
            <w:noWrap w:val="0"/>
            <w:vAlign w:val="center"/>
          </w:tcPr>
          <w:p w14:paraId="1FE75E22">
            <w:pPr>
              <w:jc w:val="center"/>
              <w:rPr>
                <w:rFonts w:hint="default" w:ascii="Times New Roman" w:hAnsi="Times New Roman" w:eastAsia="宋体"/>
                <w:color w:val="auto"/>
                <w:sz w:val="24"/>
                <w:szCs w:val="24"/>
                <w:highlight w:val="none"/>
                <w:lang w:val="en-US" w:eastAsia="zh-CN"/>
              </w:rPr>
            </w:pPr>
            <w:r>
              <w:rPr>
                <w:rFonts w:hint="default" w:ascii="Times New Roman" w:hAnsi="Times New Roman"/>
                <w:color w:val="auto"/>
                <w:sz w:val="24"/>
                <w:szCs w:val="24"/>
                <w:highlight w:val="none"/>
                <w:lang w:val="en-US" w:eastAsia="zh-CN"/>
              </w:rPr>
              <w:t>型号规格</w:t>
            </w:r>
          </w:p>
        </w:tc>
        <w:tc>
          <w:tcPr>
            <w:tcW w:w="1014" w:type="dxa"/>
            <w:noWrap w:val="0"/>
            <w:vAlign w:val="center"/>
          </w:tcPr>
          <w:p w14:paraId="31453988">
            <w:pPr>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单位</w:t>
            </w:r>
          </w:p>
        </w:tc>
        <w:tc>
          <w:tcPr>
            <w:tcW w:w="2899" w:type="dxa"/>
            <w:noWrap w:val="0"/>
            <w:vAlign w:val="center"/>
          </w:tcPr>
          <w:p w14:paraId="61A3F16A">
            <w:pPr>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项目</w:t>
            </w:r>
            <w:r>
              <w:rPr>
                <w:rFonts w:hint="eastAsia" w:ascii="Times New Roman" w:hAnsi="Times New Roman"/>
                <w:color w:val="auto"/>
                <w:sz w:val="24"/>
                <w:szCs w:val="24"/>
                <w:highlight w:val="none"/>
                <w:lang w:val="en-US" w:eastAsia="zh-CN"/>
              </w:rPr>
              <w:t>需求</w:t>
            </w:r>
            <w:r>
              <w:rPr>
                <w:rFonts w:hint="default" w:ascii="Times New Roman" w:hAnsi="Times New Roman" w:eastAsia="宋体"/>
                <w:color w:val="auto"/>
                <w:sz w:val="24"/>
                <w:szCs w:val="24"/>
                <w:highlight w:val="none"/>
              </w:rPr>
              <w:t>数量</w:t>
            </w:r>
          </w:p>
        </w:tc>
      </w:tr>
      <w:tr w14:paraId="19D6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3427DF86">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1</w:t>
            </w:r>
          </w:p>
        </w:tc>
        <w:tc>
          <w:tcPr>
            <w:tcW w:w="2035" w:type="dxa"/>
            <w:noWrap w:val="0"/>
            <w:vAlign w:val="center"/>
          </w:tcPr>
          <w:p w14:paraId="23E63C81">
            <w:pPr>
              <w:keepNext w:val="0"/>
              <w:keepLines w:val="0"/>
              <w:widowControl/>
              <w:suppressLineNumbers w:val="0"/>
              <w:jc w:val="center"/>
              <w:textAlignment w:val="center"/>
              <w:rPr>
                <w:rFonts w:hint="default" w:ascii="Times New Roman" w:hAnsi="Times New Roman" w:eastAsia="宋体"/>
                <w:color w:val="auto"/>
                <w:sz w:val="24"/>
                <w:szCs w:val="24"/>
                <w:highlight w:val="none"/>
                <w:lang w:val="en-US"/>
              </w:rPr>
            </w:pPr>
            <w:r>
              <w:rPr>
                <w:rFonts w:ascii="宋体" w:hAnsi="宋体" w:eastAsia="宋体" w:cs="宋体"/>
                <w:sz w:val="24"/>
                <w:szCs w:val="24"/>
              </w:rPr>
              <w:t>5G 通信模块</w:t>
            </w:r>
          </w:p>
        </w:tc>
        <w:tc>
          <w:tcPr>
            <w:tcW w:w="1748" w:type="dxa"/>
            <w:noWrap w:val="0"/>
            <w:vAlign w:val="center"/>
          </w:tcPr>
          <w:p w14:paraId="62ADD1DB">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cs="宋体"/>
                <w:sz w:val="22"/>
                <w:szCs w:val="22"/>
                <w:lang w:val="en-US" w:eastAsia="zh-CN"/>
              </w:rPr>
              <w:t>定制</w:t>
            </w:r>
            <w:r>
              <w:rPr>
                <w:rFonts w:ascii="宋体" w:hAnsi="宋体" w:eastAsia="宋体" w:cs="宋体"/>
                <w:sz w:val="22"/>
                <w:szCs w:val="22"/>
              </w:rPr>
              <w:t>工业级 M.2 接口全网通 5G 模组</w:t>
            </w:r>
          </w:p>
        </w:tc>
        <w:tc>
          <w:tcPr>
            <w:tcW w:w="1014" w:type="dxa"/>
            <w:noWrap w:val="0"/>
            <w:vAlign w:val="center"/>
          </w:tcPr>
          <w:p w14:paraId="3F9CAFAC">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37A1BA59">
            <w:pPr>
              <w:widowControl/>
              <w:jc w:val="center"/>
              <w:textAlignment w:val="center"/>
              <w:rPr>
                <w:rFonts w:hint="default" w:ascii="Times New Roman" w:hAnsi="Times New Roman" w:eastAsia="宋体"/>
                <w:color w:val="auto"/>
                <w:sz w:val="24"/>
                <w:szCs w:val="24"/>
                <w:highlight w:val="none"/>
                <w:lang w:val="en-US" w:eastAsia="zh-CN"/>
              </w:rPr>
            </w:pPr>
            <w:r>
              <w:rPr>
                <w:rFonts w:hint="eastAsia" w:ascii="宋体" w:hAnsi="宋体" w:cs="宋体"/>
                <w:i w:val="0"/>
                <w:iCs w:val="0"/>
                <w:color w:val="000000"/>
                <w:kern w:val="0"/>
                <w:sz w:val="24"/>
                <w:szCs w:val="24"/>
                <w:u w:val="none"/>
                <w:lang w:val="en-US" w:eastAsia="zh-CN" w:bidi="ar"/>
              </w:rPr>
              <w:t>1</w:t>
            </w:r>
          </w:p>
        </w:tc>
      </w:tr>
      <w:tr w14:paraId="66196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68FC2EC6">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2</w:t>
            </w:r>
          </w:p>
        </w:tc>
        <w:tc>
          <w:tcPr>
            <w:tcW w:w="2035" w:type="dxa"/>
            <w:noWrap w:val="0"/>
            <w:vAlign w:val="center"/>
          </w:tcPr>
          <w:p w14:paraId="49B4D50D">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2"/>
                <w:szCs w:val="22"/>
                <w:u w:val="none"/>
                <w:lang w:val="en-US" w:eastAsia="zh-CN" w:bidi="ar"/>
              </w:rPr>
              <w:t>主控模块</w:t>
            </w:r>
          </w:p>
        </w:tc>
        <w:tc>
          <w:tcPr>
            <w:tcW w:w="1748" w:type="dxa"/>
            <w:noWrap w:val="0"/>
            <w:vAlign w:val="center"/>
          </w:tcPr>
          <w:p w14:paraId="646315B6">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cs="宋体"/>
                <w:sz w:val="22"/>
                <w:szCs w:val="22"/>
                <w:lang w:val="en-US" w:eastAsia="zh-CN"/>
              </w:rPr>
              <w:t>定制</w:t>
            </w:r>
            <w:r>
              <w:rPr>
                <w:rFonts w:ascii="宋体" w:hAnsi="宋体" w:eastAsia="宋体" w:cs="宋体"/>
                <w:sz w:val="22"/>
                <w:szCs w:val="22"/>
              </w:rPr>
              <w:t>RK3588 工业级核心板，16GB+128GB</w:t>
            </w:r>
          </w:p>
        </w:tc>
        <w:tc>
          <w:tcPr>
            <w:tcW w:w="1014" w:type="dxa"/>
            <w:noWrap w:val="0"/>
            <w:vAlign w:val="center"/>
          </w:tcPr>
          <w:p w14:paraId="6F179FCF">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76BD7D12">
            <w:pPr>
              <w:widowControl/>
              <w:jc w:val="center"/>
              <w:textAlignment w:val="center"/>
              <w:rPr>
                <w:rFonts w:hint="default" w:ascii="Times New Roman" w:hAnsi="Times New Roman" w:eastAsia="宋体"/>
                <w:color w:val="auto"/>
                <w:sz w:val="24"/>
                <w:szCs w:val="24"/>
                <w:highlight w:val="none"/>
                <w:lang w:val="en-US" w:eastAsia="zh-CN"/>
              </w:rPr>
            </w:pPr>
            <w:r>
              <w:rPr>
                <w:rFonts w:hint="eastAsia" w:ascii="宋体" w:hAnsi="宋体" w:cs="宋体"/>
                <w:i w:val="0"/>
                <w:iCs w:val="0"/>
                <w:color w:val="000000"/>
                <w:kern w:val="0"/>
                <w:sz w:val="24"/>
                <w:szCs w:val="24"/>
                <w:u w:val="none"/>
                <w:lang w:val="en-US" w:eastAsia="zh-CN" w:bidi="ar"/>
              </w:rPr>
              <w:t>1</w:t>
            </w:r>
          </w:p>
        </w:tc>
      </w:tr>
      <w:tr w14:paraId="75E77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3E9395FC">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3</w:t>
            </w:r>
          </w:p>
        </w:tc>
        <w:tc>
          <w:tcPr>
            <w:tcW w:w="2035" w:type="dxa"/>
            <w:noWrap w:val="0"/>
            <w:vAlign w:val="center"/>
          </w:tcPr>
          <w:p w14:paraId="0B2C82FA">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2"/>
                <w:szCs w:val="22"/>
                <w:u w:val="none"/>
                <w:lang w:val="en-US" w:eastAsia="zh-CN" w:bidi="ar"/>
              </w:rPr>
              <w:t>显示模块</w:t>
            </w:r>
          </w:p>
        </w:tc>
        <w:tc>
          <w:tcPr>
            <w:tcW w:w="1748" w:type="dxa"/>
            <w:noWrap w:val="0"/>
            <w:vAlign w:val="center"/>
          </w:tcPr>
          <w:p w14:paraId="43106ADD">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cs="宋体"/>
                <w:sz w:val="22"/>
                <w:szCs w:val="22"/>
                <w:lang w:val="en-US" w:eastAsia="zh-CN"/>
              </w:rPr>
              <w:t>定制</w:t>
            </w:r>
            <w:r>
              <w:rPr>
                <w:rFonts w:ascii="宋体" w:hAnsi="宋体" w:eastAsia="宋体" w:cs="宋体"/>
                <w:sz w:val="22"/>
                <w:szCs w:val="22"/>
              </w:rPr>
              <w:t>0.96 寸工业级 OLED</w:t>
            </w:r>
          </w:p>
        </w:tc>
        <w:tc>
          <w:tcPr>
            <w:tcW w:w="1014" w:type="dxa"/>
            <w:noWrap w:val="0"/>
            <w:vAlign w:val="center"/>
          </w:tcPr>
          <w:p w14:paraId="723FA8E2">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13A2836A">
            <w:pPr>
              <w:widowControl/>
              <w:jc w:val="center"/>
              <w:textAlignment w:val="center"/>
              <w:rPr>
                <w:rFonts w:hint="default" w:ascii="Times New Roman" w:hAnsi="Times New Roman" w:eastAsia="宋体"/>
                <w:color w:val="auto"/>
                <w:sz w:val="24"/>
                <w:szCs w:val="24"/>
                <w:highlight w:val="none"/>
                <w:lang w:val="en-US" w:eastAsia="zh-CN"/>
              </w:rPr>
            </w:pPr>
            <w:r>
              <w:rPr>
                <w:rFonts w:hint="eastAsia" w:ascii="宋体" w:hAnsi="宋体" w:cs="宋体"/>
                <w:i w:val="0"/>
                <w:iCs w:val="0"/>
                <w:color w:val="000000"/>
                <w:kern w:val="0"/>
                <w:sz w:val="24"/>
                <w:szCs w:val="24"/>
                <w:u w:val="none"/>
                <w:lang w:val="en-US" w:eastAsia="zh-CN" w:bidi="ar"/>
              </w:rPr>
              <w:t>1</w:t>
            </w:r>
          </w:p>
        </w:tc>
      </w:tr>
      <w:tr w14:paraId="6BDF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7C51D390">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4</w:t>
            </w:r>
          </w:p>
        </w:tc>
        <w:tc>
          <w:tcPr>
            <w:tcW w:w="2035" w:type="dxa"/>
            <w:noWrap w:val="0"/>
            <w:vAlign w:val="center"/>
          </w:tcPr>
          <w:p w14:paraId="18BD2157">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ascii="宋体" w:hAnsi="宋体" w:eastAsia="宋体" w:cs="宋体"/>
                <w:sz w:val="24"/>
                <w:szCs w:val="24"/>
              </w:rPr>
              <w:t>SIM 卡座模块</w:t>
            </w:r>
          </w:p>
        </w:tc>
        <w:tc>
          <w:tcPr>
            <w:tcW w:w="1748" w:type="dxa"/>
            <w:noWrap w:val="0"/>
            <w:vAlign w:val="center"/>
          </w:tcPr>
          <w:p w14:paraId="63D07A61">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cs="宋体"/>
                <w:sz w:val="22"/>
                <w:szCs w:val="22"/>
                <w:lang w:val="en-US" w:eastAsia="zh-CN"/>
              </w:rPr>
              <w:t>定制</w:t>
            </w:r>
            <w:r>
              <w:rPr>
                <w:rFonts w:ascii="宋体" w:hAnsi="宋体" w:eastAsia="宋体" w:cs="宋体"/>
                <w:sz w:val="22"/>
                <w:szCs w:val="22"/>
              </w:rPr>
              <w:t>工业级双 Nano</w:t>
            </w:r>
            <w:r>
              <w:rPr>
                <w:rFonts w:ascii="宋体" w:hAnsi="宋体" w:eastAsia="宋体" w:cs="宋体"/>
                <w:sz w:val="22"/>
                <w:szCs w:val="22"/>
              </w:rPr>
              <w:noBreakHyphen/>
            </w:r>
            <w:r>
              <w:rPr>
                <w:rFonts w:ascii="宋体" w:hAnsi="宋体" w:eastAsia="宋体" w:cs="宋体"/>
                <w:sz w:val="22"/>
                <w:szCs w:val="22"/>
              </w:rPr>
              <w:t>SIM 卡座</w:t>
            </w:r>
          </w:p>
        </w:tc>
        <w:tc>
          <w:tcPr>
            <w:tcW w:w="1014" w:type="dxa"/>
            <w:noWrap w:val="0"/>
            <w:vAlign w:val="center"/>
          </w:tcPr>
          <w:p w14:paraId="75409579">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57294138">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cs="宋体"/>
                <w:i w:val="0"/>
                <w:iCs w:val="0"/>
                <w:color w:val="000000"/>
                <w:kern w:val="0"/>
                <w:sz w:val="24"/>
                <w:szCs w:val="24"/>
                <w:u w:val="none"/>
                <w:lang w:val="en-US" w:eastAsia="zh-CN" w:bidi="ar"/>
              </w:rPr>
              <w:t>1</w:t>
            </w:r>
          </w:p>
        </w:tc>
      </w:tr>
      <w:tr w14:paraId="58414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36F26327">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5</w:t>
            </w:r>
          </w:p>
        </w:tc>
        <w:tc>
          <w:tcPr>
            <w:tcW w:w="2035" w:type="dxa"/>
            <w:noWrap w:val="0"/>
            <w:vAlign w:val="center"/>
          </w:tcPr>
          <w:p w14:paraId="799780ED">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ascii="宋体" w:hAnsi="宋体" w:eastAsia="宋体" w:cs="宋体"/>
                <w:sz w:val="24"/>
                <w:szCs w:val="24"/>
              </w:rPr>
              <w:t>4G/5G 天线</w:t>
            </w:r>
          </w:p>
        </w:tc>
        <w:tc>
          <w:tcPr>
            <w:tcW w:w="1748" w:type="dxa"/>
            <w:noWrap w:val="0"/>
            <w:vAlign w:val="center"/>
          </w:tcPr>
          <w:p w14:paraId="62CE92D5">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cs="宋体"/>
                <w:sz w:val="22"/>
                <w:szCs w:val="22"/>
                <w:lang w:val="en-US" w:eastAsia="zh-CN"/>
              </w:rPr>
              <w:t>定制</w:t>
            </w:r>
            <w:r>
              <w:rPr>
                <w:rFonts w:ascii="宋体" w:hAnsi="宋体" w:eastAsia="宋体" w:cs="宋体"/>
                <w:sz w:val="22"/>
                <w:szCs w:val="22"/>
              </w:rPr>
              <w:t>工业级 SMA 全向高增益防水天线</w:t>
            </w:r>
          </w:p>
        </w:tc>
        <w:tc>
          <w:tcPr>
            <w:tcW w:w="1014" w:type="dxa"/>
            <w:noWrap w:val="0"/>
            <w:vAlign w:val="center"/>
          </w:tcPr>
          <w:p w14:paraId="0B84DE40">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64A80180">
            <w:pPr>
              <w:keepNext w:val="0"/>
              <w:keepLines w:val="0"/>
              <w:widowControl/>
              <w:suppressLineNumbers w:val="0"/>
              <w:jc w:val="center"/>
              <w:textAlignment w:val="center"/>
              <w:rPr>
                <w:rFonts w:hint="default" w:ascii="Times New Roman" w:hAnsi="Times New Roman" w:eastAsia="宋体"/>
                <w:color w:val="auto"/>
                <w:sz w:val="24"/>
                <w:szCs w:val="24"/>
                <w:highlight w:val="none"/>
              </w:rPr>
            </w:pPr>
            <w:r>
              <w:rPr>
                <w:rFonts w:hint="eastAsia" w:ascii="宋体" w:hAnsi="宋体" w:cs="宋体"/>
                <w:i w:val="0"/>
                <w:iCs w:val="0"/>
                <w:color w:val="000000"/>
                <w:kern w:val="0"/>
                <w:sz w:val="24"/>
                <w:szCs w:val="24"/>
                <w:u w:val="none"/>
                <w:lang w:val="en-US" w:eastAsia="zh-CN" w:bidi="ar"/>
              </w:rPr>
              <w:t>4</w:t>
            </w:r>
          </w:p>
        </w:tc>
      </w:tr>
      <w:tr w14:paraId="0613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0B4E93CD">
            <w:pPr>
              <w:keepNext w:val="0"/>
              <w:keepLines w:val="0"/>
              <w:widowControl/>
              <w:suppressLineNumbers w:val="0"/>
              <w:jc w:val="center"/>
              <w:textAlignment w:val="center"/>
              <w:rPr>
                <w:rFonts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6</w:t>
            </w:r>
          </w:p>
        </w:tc>
        <w:tc>
          <w:tcPr>
            <w:tcW w:w="2035" w:type="dxa"/>
            <w:noWrap w:val="0"/>
            <w:vAlign w:val="center"/>
          </w:tcPr>
          <w:p w14:paraId="012BD463">
            <w:pPr>
              <w:keepNext w:val="0"/>
              <w:keepLines w:val="0"/>
              <w:widowControl/>
              <w:suppressLineNumbers w:val="0"/>
              <w:jc w:val="center"/>
              <w:textAlignment w:val="center"/>
              <w:rPr>
                <w:rFonts w:eastAsia="宋体"/>
                <w:color w:val="auto"/>
                <w:sz w:val="24"/>
                <w:szCs w:val="24"/>
                <w:highlight w:val="none"/>
              </w:rPr>
            </w:pPr>
            <w:r>
              <w:rPr>
                <w:rFonts w:ascii="宋体" w:hAnsi="宋体" w:eastAsia="宋体" w:cs="宋体"/>
                <w:sz w:val="24"/>
                <w:szCs w:val="24"/>
              </w:rPr>
              <w:t>按键模块</w:t>
            </w:r>
          </w:p>
        </w:tc>
        <w:tc>
          <w:tcPr>
            <w:tcW w:w="1748" w:type="dxa"/>
            <w:noWrap w:val="0"/>
            <w:vAlign w:val="center"/>
          </w:tcPr>
          <w:p w14:paraId="63CA8C6F">
            <w:pPr>
              <w:keepNext w:val="0"/>
              <w:keepLines w:val="0"/>
              <w:widowControl/>
              <w:suppressLineNumbers w:val="0"/>
              <w:jc w:val="center"/>
              <w:textAlignment w:val="center"/>
              <w:rPr>
                <w:rFonts w:eastAsia="宋体"/>
                <w:color w:val="auto"/>
                <w:sz w:val="24"/>
                <w:szCs w:val="24"/>
                <w:highlight w:val="none"/>
              </w:rPr>
            </w:pPr>
            <w:r>
              <w:rPr>
                <w:rFonts w:hint="eastAsia" w:ascii="宋体" w:hAnsi="宋体" w:cs="宋体"/>
                <w:sz w:val="22"/>
                <w:szCs w:val="22"/>
                <w:lang w:val="en-US" w:eastAsia="zh-CN"/>
              </w:rPr>
              <w:t>定制</w:t>
            </w:r>
            <w:r>
              <w:rPr>
                <w:rFonts w:ascii="宋体" w:hAnsi="宋体" w:eastAsia="宋体" w:cs="宋体"/>
                <w:sz w:val="22"/>
                <w:szCs w:val="22"/>
              </w:rPr>
              <w:t>工业防水轻触按键 2 路</w:t>
            </w:r>
          </w:p>
        </w:tc>
        <w:tc>
          <w:tcPr>
            <w:tcW w:w="1014" w:type="dxa"/>
            <w:noWrap w:val="0"/>
            <w:vAlign w:val="center"/>
          </w:tcPr>
          <w:p w14:paraId="7178CE5D">
            <w:pPr>
              <w:keepNext w:val="0"/>
              <w:keepLines w:val="0"/>
              <w:widowControl/>
              <w:suppressLineNumbers w:val="0"/>
              <w:jc w:val="center"/>
              <w:textAlignment w:val="center"/>
              <w:rPr>
                <w:rFonts w:hint="eastAsia" w:eastAsia="宋体"/>
                <w:color w:val="auto"/>
                <w:sz w:val="24"/>
                <w:szCs w:val="24"/>
                <w:highlight w:val="none"/>
                <w:lang w:val="en-US" w:eastAsia="zh-CN"/>
              </w:rPr>
            </w:pPr>
            <w:r>
              <w:rPr>
                <w:rFonts w:hint="eastAsia"/>
                <w:color w:val="auto"/>
                <w:sz w:val="24"/>
                <w:szCs w:val="24"/>
                <w:highlight w:val="none"/>
                <w:lang w:val="en-US" w:eastAsia="zh-CN"/>
              </w:rPr>
              <w:t>套</w:t>
            </w:r>
          </w:p>
        </w:tc>
        <w:tc>
          <w:tcPr>
            <w:tcW w:w="2899" w:type="dxa"/>
            <w:noWrap w:val="0"/>
            <w:vAlign w:val="center"/>
          </w:tcPr>
          <w:p w14:paraId="206996A2">
            <w:pPr>
              <w:keepNext w:val="0"/>
              <w:keepLines w:val="0"/>
              <w:widowControl/>
              <w:suppressLineNumbers w:val="0"/>
              <w:jc w:val="center"/>
              <w:textAlignment w:val="center"/>
              <w:rPr>
                <w:rFonts w:eastAsia="宋体"/>
                <w:color w:val="auto"/>
                <w:sz w:val="24"/>
                <w:szCs w:val="24"/>
                <w:highlight w:val="none"/>
              </w:rPr>
            </w:pPr>
            <w:r>
              <w:rPr>
                <w:rFonts w:hint="eastAsia" w:ascii="宋体" w:hAnsi="宋体" w:eastAsia="宋体" w:cs="宋体"/>
                <w:i w:val="0"/>
                <w:iCs w:val="0"/>
                <w:color w:val="000000"/>
                <w:kern w:val="0"/>
                <w:sz w:val="24"/>
                <w:szCs w:val="24"/>
                <w:u w:val="none"/>
                <w:lang w:val="en-US" w:eastAsia="zh-CN" w:bidi="ar"/>
              </w:rPr>
              <w:t>1</w:t>
            </w:r>
          </w:p>
        </w:tc>
      </w:tr>
      <w:tr w14:paraId="248B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58F6970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2035" w:type="dxa"/>
            <w:noWrap w:val="0"/>
            <w:vAlign w:val="center"/>
          </w:tcPr>
          <w:p w14:paraId="21B3D5F1">
            <w:pPr>
              <w:keepNext w:val="0"/>
              <w:keepLines w:val="0"/>
              <w:widowControl/>
              <w:suppressLineNumbers w:val="0"/>
              <w:jc w:val="center"/>
              <w:textAlignment w:val="center"/>
              <w:rPr>
                <w:rFonts w:ascii="宋体" w:hAnsi="宋体" w:eastAsia="宋体" w:cs="宋体"/>
                <w:sz w:val="24"/>
                <w:szCs w:val="24"/>
              </w:rPr>
            </w:pPr>
            <w:r>
              <w:rPr>
                <w:rFonts w:ascii="宋体" w:hAnsi="宋体" w:eastAsia="宋体" w:cs="宋体"/>
                <w:sz w:val="24"/>
                <w:szCs w:val="24"/>
              </w:rPr>
              <w:t>DC 电源座模块</w:t>
            </w:r>
          </w:p>
        </w:tc>
        <w:tc>
          <w:tcPr>
            <w:tcW w:w="1748" w:type="dxa"/>
            <w:noWrap w:val="0"/>
            <w:vAlign w:val="center"/>
          </w:tcPr>
          <w:p w14:paraId="7DC23CBF">
            <w:pPr>
              <w:keepNext w:val="0"/>
              <w:keepLines w:val="0"/>
              <w:widowControl/>
              <w:suppressLineNumbers w:val="0"/>
              <w:jc w:val="center"/>
              <w:textAlignment w:val="center"/>
              <w:rPr>
                <w:rFonts w:hint="eastAsia" w:ascii="宋体" w:hAnsi="宋体" w:cs="宋体"/>
                <w:sz w:val="22"/>
                <w:szCs w:val="22"/>
                <w:lang w:val="en-US" w:eastAsia="zh-CN"/>
              </w:rPr>
            </w:pPr>
            <w:r>
              <w:rPr>
                <w:rFonts w:hint="eastAsia" w:ascii="宋体" w:hAnsi="宋体" w:cs="宋体"/>
                <w:sz w:val="22"/>
                <w:szCs w:val="22"/>
                <w:lang w:val="en-US" w:eastAsia="zh-CN"/>
              </w:rPr>
              <w:t>定制</w:t>
            </w:r>
            <w:r>
              <w:rPr>
                <w:rFonts w:ascii="宋体" w:hAnsi="宋体" w:eastAsia="宋体" w:cs="宋体"/>
                <w:sz w:val="22"/>
                <w:szCs w:val="22"/>
              </w:rPr>
              <w:t>工业防水 DC 电源座 12V</w:t>
            </w:r>
          </w:p>
        </w:tc>
        <w:tc>
          <w:tcPr>
            <w:tcW w:w="1014" w:type="dxa"/>
            <w:noWrap w:val="0"/>
            <w:vAlign w:val="center"/>
          </w:tcPr>
          <w:p w14:paraId="6E0A576F">
            <w:pPr>
              <w:keepNext w:val="0"/>
              <w:keepLines w:val="0"/>
              <w:widowControl/>
              <w:suppressLineNumbers w:val="0"/>
              <w:jc w:val="center"/>
              <w:textAlignment w:val="center"/>
              <w:rPr>
                <w:rFonts w:hint="eastAsia"/>
                <w:color w:val="auto"/>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2F91A1A3">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r>
      <w:tr w14:paraId="7E2C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14E6E1A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2035" w:type="dxa"/>
            <w:noWrap w:val="0"/>
            <w:vAlign w:val="center"/>
          </w:tcPr>
          <w:p w14:paraId="41C073C5">
            <w:pPr>
              <w:keepNext w:val="0"/>
              <w:keepLines w:val="0"/>
              <w:widowControl/>
              <w:suppressLineNumbers w:val="0"/>
              <w:jc w:val="center"/>
              <w:textAlignment w:val="center"/>
              <w:rPr>
                <w:rFonts w:ascii="宋体" w:hAnsi="宋体" w:eastAsia="宋体" w:cs="宋体"/>
                <w:sz w:val="24"/>
                <w:szCs w:val="24"/>
              </w:rPr>
            </w:pPr>
            <w:r>
              <w:rPr>
                <w:rFonts w:ascii="宋体" w:hAnsi="宋体" w:eastAsia="宋体" w:cs="宋体"/>
                <w:sz w:val="24"/>
                <w:szCs w:val="24"/>
              </w:rPr>
              <w:t>RJ45 网口模块</w:t>
            </w:r>
          </w:p>
        </w:tc>
        <w:tc>
          <w:tcPr>
            <w:tcW w:w="1748" w:type="dxa"/>
            <w:noWrap w:val="0"/>
            <w:vAlign w:val="center"/>
          </w:tcPr>
          <w:p w14:paraId="2699084C">
            <w:pPr>
              <w:keepNext w:val="0"/>
              <w:keepLines w:val="0"/>
              <w:widowControl/>
              <w:suppressLineNumbers w:val="0"/>
              <w:jc w:val="center"/>
              <w:textAlignment w:val="center"/>
              <w:rPr>
                <w:rFonts w:hint="eastAsia" w:ascii="宋体" w:hAnsi="宋体" w:cs="宋体"/>
                <w:sz w:val="22"/>
                <w:szCs w:val="22"/>
                <w:lang w:val="en-US" w:eastAsia="zh-CN"/>
              </w:rPr>
            </w:pPr>
            <w:r>
              <w:rPr>
                <w:rFonts w:hint="eastAsia" w:ascii="宋体" w:hAnsi="宋体" w:cs="宋体"/>
                <w:sz w:val="22"/>
                <w:szCs w:val="22"/>
                <w:lang w:val="en-US" w:eastAsia="zh-CN"/>
              </w:rPr>
              <w:t>定制</w:t>
            </w:r>
            <w:r>
              <w:rPr>
                <w:rFonts w:ascii="宋体" w:hAnsi="宋体" w:eastAsia="宋体" w:cs="宋体"/>
                <w:sz w:val="22"/>
                <w:szCs w:val="22"/>
              </w:rPr>
              <w:t>工业级 IP67 防水 RJ45 百兆网口</w:t>
            </w:r>
          </w:p>
        </w:tc>
        <w:tc>
          <w:tcPr>
            <w:tcW w:w="1014" w:type="dxa"/>
            <w:noWrap w:val="0"/>
            <w:vAlign w:val="center"/>
          </w:tcPr>
          <w:p w14:paraId="19E09BE4">
            <w:pPr>
              <w:keepNext w:val="0"/>
              <w:keepLines w:val="0"/>
              <w:widowControl/>
              <w:suppressLineNumbers w:val="0"/>
              <w:jc w:val="center"/>
              <w:textAlignment w:val="center"/>
              <w:rPr>
                <w:rFonts w:hint="eastAsia"/>
                <w:color w:val="auto"/>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723AA84D">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r>
      <w:tr w14:paraId="5FC7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7D34102E">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2035" w:type="dxa"/>
            <w:noWrap w:val="0"/>
            <w:vAlign w:val="center"/>
          </w:tcPr>
          <w:p w14:paraId="27965543">
            <w:pPr>
              <w:keepNext w:val="0"/>
              <w:keepLines w:val="0"/>
              <w:widowControl/>
              <w:suppressLineNumbers w:val="0"/>
              <w:jc w:val="center"/>
              <w:textAlignment w:val="center"/>
              <w:rPr>
                <w:rFonts w:ascii="宋体" w:hAnsi="宋体" w:eastAsia="宋体" w:cs="宋体"/>
                <w:sz w:val="24"/>
                <w:szCs w:val="24"/>
              </w:rPr>
            </w:pPr>
            <w:r>
              <w:rPr>
                <w:rFonts w:ascii="宋体" w:hAnsi="宋体" w:eastAsia="宋体" w:cs="宋体"/>
                <w:sz w:val="24"/>
                <w:szCs w:val="24"/>
              </w:rPr>
              <w:t>音频输入模块</w:t>
            </w:r>
          </w:p>
        </w:tc>
        <w:tc>
          <w:tcPr>
            <w:tcW w:w="1748" w:type="dxa"/>
            <w:noWrap w:val="0"/>
            <w:vAlign w:val="center"/>
          </w:tcPr>
          <w:p w14:paraId="74EC8C45">
            <w:pPr>
              <w:keepNext w:val="0"/>
              <w:keepLines w:val="0"/>
              <w:widowControl/>
              <w:suppressLineNumbers w:val="0"/>
              <w:jc w:val="center"/>
              <w:textAlignment w:val="center"/>
              <w:rPr>
                <w:rFonts w:hint="eastAsia" w:ascii="宋体" w:hAnsi="宋体" w:cs="宋体"/>
                <w:sz w:val="22"/>
                <w:szCs w:val="22"/>
                <w:lang w:val="en-US" w:eastAsia="zh-CN"/>
              </w:rPr>
            </w:pPr>
            <w:r>
              <w:rPr>
                <w:rFonts w:hint="eastAsia" w:ascii="宋体" w:hAnsi="宋体" w:cs="宋体"/>
                <w:sz w:val="22"/>
                <w:szCs w:val="22"/>
                <w:lang w:val="en-US" w:eastAsia="zh-CN"/>
              </w:rPr>
              <w:t>定制</w:t>
            </w:r>
            <w:r>
              <w:rPr>
                <w:rFonts w:ascii="宋体" w:hAnsi="宋体" w:eastAsia="宋体" w:cs="宋体"/>
                <w:sz w:val="22"/>
                <w:szCs w:val="22"/>
              </w:rPr>
              <w:t>工业隔离型 3.5mm 音频采集模块</w:t>
            </w:r>
          </w:p>
        </w:tc>
        <w:tc>
          <w:tcPr>
            <w:tcW w:w="1014" w:type="dxa"/>
            <w:noWrap w:val="0"/>
            <w:vAlign w:val="center"/>
          </w:tcPr>
          <w:p w14:paraId="52D0F330">
            <w:pPr>
              <w:keepNext w:val="0"/>
              <w:keepLines w:val="0"/>
              <w:widowControl/>
              <w:suppressLineNumbers w:val="0"/>
              <w:jc w:val="center"/>
              <w:textAlignment w:val="center"/>
              <w:rPr>
                <w:rFonts w:hint="eastAsia"/>
                <w:color w:val="auto"/>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个</w:t>
            </w:r>
          </w:p>
        </w:tc>
        <w:tc>
          <w:tcPr>
            <w:tcW w:w="2899" w:type="dxa"/>
            <w:noWrap w:val="0"/>
            <w:vAlign w:val="center"/>
          </w:tcPr>
          <w:p w14:paraId="135CCB1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r>
      <w:tr w14:paraId="7DC68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08BEC54B">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10</w:t>
            </w:r>
          </w:p>
        </w:tc>
        <w:tc>
          <w:tcPr>
            <w:tcW w:w="2035" w:type="dxa"/>
            <w:noWrap w:val="0"/>
            <w:vAlign w:val="center"/>
          </w:tcPr>
          <w:p w14:paraId="03D91A16">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sz w:val="24"/>
                <w:szCs w:val="24"/>
                <w:lang w:val="en-US" w:eastAsia="zh-CN"/>
              </w:rPr>
              <w:t>NP-F970电池</w:t>
            </w:r>
          </w:p>
        </w:tc>
        <w:tc>
          <w:tcPr>
            <w:tcW w:w="1748" w:type="dxa"/>
            <w:noWrap w:val="0"/>
            <w:vAlign w:val="center"/>
          </w:tcPr>
          <w:p w14:paraId="22D1D061">
            <w:pPr>
              <w:keepNext w:val="0"/>
              <w:keepLines w:val="0"/>
              <w:widowControl/>
              <w:suppressLineNumbers w:val="0"/>
              <w:jc w:val="center"/>
              <w:textAlignment w:val="center"/>
              <w:rPr>
                <w:rFonts w:hint="eastAsia" w:ascii="宋体" w:hAnsi="宋体" w:cs="宋体"/>
                <w:sz w:val="22"/>
                <w:szCs w:val="22"/>
                <w:lang w:val="en-US" w:eastAsia="zh-CN"/>
              </w:rPr>
            </w:pPr>
            <w:r>
              <w:rPr>
                <w:rFonts w:hint="eastAsia" w:ascii="宋体" w:hAnsi="宋体" w:cs="宋体"/>
                <w:sz w:val="22"/>
                <w:szCs w:val="22"/>
                <w:lang w:val="en-US" w:eastAsia="zh-CN"/>
              </w:rPr>
              <w:t>定制</w:t>
            </w:r>
            <w:r>
              <w:rPr>
                <w:rFonts w:ascii="宋体" w:hAnsi="宋体" w:eastAsia="宋体" w:cs="宋体"/>
                <w:sz w:val="22"/>
                <w:szCs w:val="22"/>
              </w:rPr>
              <w:t>工业级大容量 NP</w:t>
            </w:r>
            <w:r>
              <w:rPr>
                <w:rFonts w:ascii="宋体" w:hAnsi="宋体" w:eastAsia="宋体" w:cs="宋体"/>
                <w:sz w:val="22"/>
                <w:szCs w:val="22"/>
              </w:rPr>
              <w:noBreakHyphen/>
            </w:r>
            <w:r>
              <w:rPr>
                <w:rFonts w:ascii="宋体" w:hAnsi="宋体" w:eastAsia="宋体" w:cs="宋体"/>
                <w:sz w:val="22"/>
                <w:szCs w:val="22"/>
              </w:rPr>
              <w:t>F970，10500mAh</w:t>
            </w:r>
          </w:p>
        </w:tc>
        <w:tc>
          <w:tcPr>
            <w:tcW w:w="1014" w:type="dxa"/>
            <w:noWrap w:val="0"/>
            <w:vAlign w:val="center"/>
          </w:tcPr>
          <w:p w14:paraId="7F8D123B">
            <w:pPr>
              <w:keepNext w:val="0"/>
              <w:keepLines w:val="0"/>
              <w:widowControl/>
              <w:suppressLineNumbers w:val="0"/>
              <w:jc w:val="center"/>
              <w:textAlignment w:val="center"/>
              <w:rPr>
                <w:rFonts w:hint="eastAsia"/>
                <w:color w:val="auto"/>
                <w:sz w:val="24"/>
                <w:szCs w:val="24"/>
                <w:highlight w:val="none"/>
                <w:lang w:val="en-US" w:eastAsia="zh-CN"/>
              </w:rPr>
            </w:pPr>
            <w:r>
              <w:rPr>
                <w:rFonts w:hint="eastAsia" w:ascii="宋体" w:hAnsi="宋体" w:eastAsia="宋体" w:cs="宋体"/>
                <w:i w:val="0"/>
                <w:iCs w:val="0"/>
                <w:color w:val="000000"/>
                <w:kern w:val="0"/>
                <w:sz w:val="21"/>
                <w:szCs w:val="21"/>
                <w:u w:val="none"/>
                <w:lang w:val="en-US" w:eastAsia="zh-CN" w:bidi="ar"/>
              </w:rPr>
              <w:t>个</w:t>
            </w:r>
          </w:p>
        </w:tc>
        <w:tc>
          <w:tcPr>
            <w:tcW w:w="2899" w:type="dxa"/>
            <w:noWrap w:val="0"/>
            <w:vAlign w:val="center"/>
          </w:tcPr>
          <w:p w14:paraId="3EF19829">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r>
      <w:tr w14:paraId="5C652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1055" w:type="dxa"/>
            <w:noWrap w:val="0"/>
            <w:vAlign w:val="center"/>
          </w:tcPr>
          <w:p w14:paraId="5132F35F">
            <w:pPr>
              <w:keepNext w:val="0"/>
              <w:keepLines w:val="0"/>
              <w:widowControl/>
              <w:suppressLineNumbers w:val="0"/>
              <w:jc w:val="center"/>
              <w:textAlignment w:val="center"/>
              <w:rPr>
                <w:rFonts w:hint="default" w:ascii="宋体" w:hAnsi="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11</w:t>
            </w:r>
          </w:p>
        </w:tc>
        <w:tc>
          <w:tcPr>
            <w:tcW w:w="2035" w:type="dxa"/>
            <w:noWrap w:val="0"/>
            <w:vAlign w:val="center"/>
          </w:tcPr>
          <w:p w14:paraId="15C655B2">
            <w:pPr>
              <w:keepNext w:val="0"/>
              <w:keepLines w:val="0"/>
              <w:widowControl/>
              <w:suppressLineNumbers w:val="0"/>
              <w:jc w:val="center"/>
              <w:textAlignment w:val="center"/>
              <w:rPr>
                <w:rFonts w:ascii="宋体" w:hAnsi="宋体" w:eastAsia="宋体" w:cs="宋体"/>
                <w:sz w:val="24"/>
                <w:szCs w:val="24"/>
              </w:rPr>
            </w:pPr>
            <w:r>
              <w:rPr>
                <w:rFonts w:hint="eastAsia" w:ascii="宋体" w:hAnsi="宋体" w:eastAsia="宋体" w:cs="宋体"/>
                <w:sz w:val="24"/>
                <w:szCs w:val="24"/>
                <w:lang w:val="en-US" w:eastAsia="zh-CN"/>
              </w:rPr>
              <w:t>3D打印机械外壳</w:t>
            </w:r>
          </w:p>
        </w:tc>
        <w:tc>
          <w:tcPr>
            <w:tcW w:w="1748" w:type="dxa"/>
            <w:noWrap w:val="0"/>
            <w:vAlign w:val="center"/>
          </w:tcPr>
          <w:p w14:paraId="122DC8F6">
            <w:pPr>
              <w:keepNext w:val="0"/>
              <w:keepLines w:val="0"/>
              <w:widowControl/>
              <w:suppressLineNumbers w:val="0"/>
              <w:jc w:val="center"/>
              <w:textAlignment w:val="center"/>
              <w:rPr>
                <w:rFonts w:hint="eastAsia" w:ascii="宋体" w:hAnsi="宋体" w:cs="宋体"/>
                <w:sz w:val="22"/>
                <w:szCs w:val="22"/>
                <w:lang w:val="en-US" w:eastAsia="zh-CN"/>
              </w:rPr>
            </w:pPr>
            <w:r>
              <w:rPr>
                <w:rFonts w:hint="eastAsia" w:ascii="宋体" w:hAnsi="宋体" w:cs="宋体"/>
                <w:sz w:val="22"/>
                <w:szCs w:val="22"/>
                <w:lang w:val="en-US" w:eastAsia="zh-CN"/>
              </w:rPr>
              <w:t>定制</w:t>
            </w:r>
            <w:r>
              <w:rPr>
                <w:rFonts w:ascii="宋体" w:hAnsi="宋体" w:eastAsia="宋体" w:cs="宋体"/>
                <w:sz w:val="24"/>
                <w:szCs w:val="24"/>
              </w:rPr>
              <w:t>工业 SLA 光固化树脂手板</w:t>
            </w:r>
          </w:p>
        </w:tc>
        <w:tc>
          <w:tcPr>
            <w:tcW w:w="1014" w:type="dxa"/>
            <w:noWrap w:val="0"/>
            <w:vAlign w:val="center"/>
          </w:tcPr>
          <w:p w14:paraId="74B7E80C">
            <w:pPr>
              <w:keepNext w:val="0"/>
              <w:keepLines w:val="0"/>
              <w:widowControl/>
              <w:suppressLineNumbers w:val="0"/>
              <w:jc w:val="center"/>
              <w:textAlignment w:val="center"/>
              <w:rPr>
                <w:rFonts w:hint="eastAsia"/>
                <w:color w:val="auto"/>
                <w:sz w:val="24"/>
                <w:szCs w:val="24"/>
                <w:highlight w:val="none"/>
                <w:lang w:val="en-US" w:eastAsia="zh-CN"/>
              </w:rPr>
            </w:pPr>
            <w:r>
              <w:rPr>
                <w:rFonts w:hint="eastAsia" w:ascii="宋体" w:hAnsi="宋体" w:cs="宋体"/>
                <w:i w:val="0"/>
                <w:iCs w:val="0"/>
                <w:color w:val="000000"/>
                <w:kern w:val="0"/>
                <w:sz w:val="21"/>
                <w:szCs w:val="21"/>
                <w:u w:val="none"/>
                <w:lang w:val="en-US" w:eastAsia="zh-CN" w:bidi="ar"/>
              </w:rPr>
              <w:t>套</w:t>
            </w:r>
          </w:p>
        </w:tc>
        <w:tc>
          <w:tcPr>
            <w:tcW w:w="2899" w:type="dxa"/>
            <w:noWrap w:val="0"/>
            <w:vAlign w:val="center"/>
          </w:tcPr>
          <w:p w14:paraId="1DC2681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r>
    </w:tbl>
    <w:p w14:paraId="7982D989">
      <w:pPr>
        <w:spacing w:line="360" w:lineRule="auto"/>
        <w:ind w:firstLine="480" w:firstLineChars="200"/>
        <w:rPr>
          <w:rFonts w:hint="default" w:ascii="宋体" w:hAnsi="宋体" w:eastAsia="宋体" w:cs="Times New Roman"/>
          <w:sz w:val="24"/>
          <w:szCs w:val="24"/>
          <w:lang w:val="en-US" w:eastAsia="zh-CN"/>
        </w:rPr>
      </w:pPr>
    </w:p>
    <w:p w14:paraId="62360F26">
      <w:pPr>
        <w:pStyle w:val="3"/>
        <w:pageBreakBefore w:val="0"/>
        <w:numPr>
          <w:ilvl w:val="0"/>
          <w:numId w:val="0"/>
        </w:numPr>
        <w:kinsoku/>
        <w:wordWrap/>
        <w:overflowPunct/>
        <w:autoSpaceDE/>
        <w:autoSpaceDN/>
        <w:bidi w:val="0"/>
        <w:spacing w:line="560" w:lineRule="exact"/>
        <w:ind w:right="0" w:rightChars="0"/>
        <w:rPr>
          <w:rFonts w:hint="eastAsia"/>
          <w:lang w:eastAsia="zh-CN"/>
        </w:rPr>
      </w:pPr>
      <w:bookmarkStart w:id="27" w:name="_Toc476060463"/>
      <w:bookmarkStart w:id="28" w:name="_Toc529463212"/>
      <w:bookmarkStart w:id="29" w:name="_Toc445396911"/>
      <w:r>
        <w:rPr>
          <w:rFonts w:hint="eastAsia"/>
          <w:sz w:val="32"/>
          <w:szCs w:val="32"/>
          <w:lang w:val="en-US" w:eastAsia="zh-CN"/>
        </w:rPr>
        <w:t>3.</w:t>
      </w:r>
      <w:r>
        <w:rPr>
          <w:rFonts w:hint="eastAsia"/>
          <w:sz w:val="32"/>
          <w:szCs w:val="32"/>
        </w:rPr>
        <w:t>服务</w:t>
      </w:r>
      <w:bookmarkEnd w:id="20"/>
      <w:bookmarkEnd w:id="21"/>
      <w:bookmarkEnd w:id="27"/>
      <w:bookmarkEnd w:id="28"/>
      <w:bookmarkEnd w:id="29"/>
      <w:r>
        <w:rPr>
          <w:rFonts w:hint="eastAsia"/>
          <w:sz w:val="32"/>
          <w:szCs w:val="32"/>
          <w:lang w:eastAsia="zh-CN"/>
        </w:rPr>
        <w:t>要求</w:t>
      </w:r>
    </w:p>
    <w:p w14:paraId="0D3D9A04">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bookmarkStart w:id="30" w:name="_Toc529463214"/>
      <w:bookmarkStart w:id="31" w:name="_Toc490993885"/>
      <w:r>
        <w:rPr>
          <w:rFonts w:hint="eastAsia" w:asciiTheme="minorEastAsia" w:hAnsiTheme="minorEastAsia" w:eastAsiaTheme="minorEastAsia" w:cstheme="minorEastAsia"/>
          <w:kern w:val="2"/>
          <w:sz w:val="24"/>
          <w:szCs w:val="24"/>
          <w:lang w:val="en-US" w:eastAsia="zh-CN" w:bidi="ar-SA"/>
        </w:rPr>
        <w:t>1. 供应商需保障定制硬件、手板加工的供应时效，按约定周期完成硬件改版、固件适配调试、结构手板交付；</w:t>
      </w:r>
    </w:p>
    <w:p w14:paraId="1A58F19C">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2. 提供物料基础技术资料，配合我方完成与大疆御 3 遥控器硬件适配调试；</w:t>
      </w:r>
    </w:p>
    <w:p w14:paraId="31367E7B">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3. 所有物料随货提供产品合格证、关键器件规格书；</w:t>
      </w:r>
    </w:p>
    <w:p w14:paraId="37815D16">
      <w:pPr>
        <w:pStyle w:val="47"/>
        <w:widowControl/>
        <w:numPr>
          <w:ilvl w:val="0"/>
          <w:numId w:val="0"/>
        </w:numPr>
        <w:shd w:val="clear" w:color="auto" w:fill="FFFFFF"/>
        <w:tabs>
          <w:tab w:val="left" w:pos="0"/>
        </w:tabs>
        <w:spacing w:before="105" w:beforeAutospacing="0" w:after="105" w:afterAutospacing="0" w:line="360" w:lineRule="auto"/>
        <w:ind w:firstLine="480" w:firstLineChars="200"/>
        <w:jc w:val="left"/>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kern w:val="2"/>
          <w:sz w:val="24"/>
          <w:szCs w:val="24"/>
          <w:lang w:val="en-US" w:eastAsia="zh-CN" w:bidi="ar-SA"/>
        </w:rPr>
        <w:t>4. 对定制件存在的加工、硬件缺陷，供应商应提供售后更换、整改服务</w:t>
      </w:r>
    </w:p>
    <w:p w14:paraId="28DBA453">
      <w:pPr>
        <w:pStyle w:val="3"/>
        <w:pageBreakBefore w:val="0"/>
        <w:numPr>
          <w:ilvl w:val="0"/>
          <w:numId w:val="2"/>
        </w:numPr>
        <w:kinsoku/>
        <w:wordWrap/>
        <w:overflowPunct/>
        <w:autoSpaceDE/>
        <w:autoSpaceDN/>
        <w:bidi w:val="0"/>
        <w:spacing w:line="560" w:lineRule="exact"/>
        <w:ind w:right="0" w:rightChars="0"/>
        <w:rPr>
          <w:rFonts w:hint="eastAsia"/>
          <w:sz w:val="32"/>
          <w:szCs w:val="32"/>
        </w:rPr>
      </w:pPr>
      <w:r>
        <w:rPr>
          <w:rFonts w:hint="eastAsia"/>
          <w:sz w:val="32"/>
          <w:szCs w:val="32"/>
        </w:rPr>
        <w:t>技术要求</w:t>
      </w:r>
      <w:bookmarkEnd w:id="30"/>
      <w:bookmarkEnd w:id="31"/>
    </w:p>
    <w:p w14:paraId="75729DC4">
      <w:pPr>
        <w:pStyle w:val="47"/>
        <w:numPr>
          <w:numId w:val="0"/>
        </w:numPr>
        <w:shd w:val="clear" w:color="auto" w:fill="FFFFFF"/>
        <w:tabs>
          <w:tab w:val="left" w:pos="0"/>
        </w:tabs>
        <w:spacing w:before="105" w:beforeAutospacing="0" w:after="105" w:afterAutospacing="0" w:line="435" w:lineRule="atLeast"/>
        <w:ind w:left="403" w:left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4.1 所有采购物料整体适配大疆御 3 遥控器外挂安装使用，整套装置可挂载于遥控器背部，实现遥控器 HDMI 视频信号接入处理；</w:t>
      </w:r>
    </w:p>
    <w:p w14:paraId="0B7E028A">
      <w:pPr>
        <w:pStyle w:val="47"/>
        <w:numPr>
          <w:numId w:val="0"/>
        </w:numPr>
        <w:shd w:val="clear" w:color="auto" w:fill="FFFFFF"/>
        <w:tabs>
          <w:tab w:val="left" w:pos="0"/>
        </w:tabs>
        <w:spacing w:before="105" w:beforeAutospacing="0" w:after="105" w:afterAutospacing="0" w:line="435" w:lineRule="atLeast"/>
        <w:ind w:left="403" w:left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4.2 环境适应性：模块工作温度覆盖‑40℃～+75℃，满足户外电力现场高低温工作条件；天线、接口类部件具备防水防尘能力，可适应野外潮湿、盐雾环境；</w:t>
      </w:r>
    </w:p>
    <w:p w14:paraId="02A7D026">
      <w:pPr>
        <w:pStyle w:val="47"/>
        <w:numPr>
          <w:numId w:val="0"/>
        </w:numPr>
        <w:shd w:val="clear" w:color="auto" w:fill="FFFFFF"/>
        <w:tabs>
          <w:tab w:val="left" w:pos="0"/>
        </w:tabs>
        <w:spacing w:before="105" w:beforeAutospacing="0" w:after="105" w:afterAutospacing="0" w:line="435" w:lineRule="atLeast"/>
        <w:ind w:left="403" w:left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4.3 射频通信：5G 模组支持电力 APN 专网拨号，支持双卡链路备份切换；4G/5G 天线为 MIMO 全频段高增益，适配变电站强电磁环境；</w:t>
      </w:r>
    </w:p>
    <w:p w14:paraId="52C6220C">
      <w:pPr>
        <w:pStyle w:val="47"/>
        <w:numPr>
          <w:numId w:val="0"/>
        </w:numPr>
        <w:shd w:val="clear" w:color="auto" w:fill="FFFFFF"/>
        <w:tabs>
          <w:tab w:val="left" w:pos="0"/>
        </w:tabs>
        <w:spacing w:before="105" w:beforeAutospacing="0" w:after="105" w:afterAutospacing="0" w:line="435" w:lineRule="atLeast"/>
        <w:ind w:left="403" w:left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4.4 电气性能：DC 供电接口支持 2A 电流输入，具备防反接、过压过流保护；网口具备电气隔离，音频模块具备电磁隔离抗干扰能力；</w:t>
      </w:r>
    </w:p>
    <w:p w14:paraId="13A14E2D">
      <w:pPr>
        <w:pStyle w:val="47"/>
        <w:numPr>
          <w:numId w:val="0"/>
        </w:numPr>
        <w:shd w:val="clear" w:color="auto" w:fill="FFFFFF"/>
        <w:tabs>
          <w:tab w:val="left" w:pos="0"/>
        </w:tabs>
        <w:spacing w:before="105" w:beforeAutospacing="0" w:after="105" w:afterAutospacing="0" w:line="435" w:lineRule="atLeast"/>
        <w:ind w:left="403" w:left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4.5 总体规格偏差：定制电路板、结构外壳尺寸总体规格偏差不大于 ±5%，结构开孔位置偏差不大于 ±0.5mm；</w:t>
      </w:r>
    </w:p>
    <w:p w14:paraId="7531DCE8">
      <w:pPr>
        <w:pStyle w:val="47"/>
        <w:numPr>
          <w:numId w:val="0"/>
        </w:numPr>
        <w:shd w:val="clear" w:color="auto" w:fill="FFFFFF"/>
        <w:tabs>
          <w:tab w:val="left" w:pos="0"/>
        </w:tabs>
        <w:spacing w:before="105" w:beforeAutospacing="0" w:after="105" w:afterAutospacing="0" w:line="435" w:lineRule="atLeast"/>
        <w:ind w:left="403" w:left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4.6 所有定制硬件、电池元器件需要提供出厂合格证明、器件规格资料；</w:t>
      </w:r>
    </w:p>
    <w:p w14:paraId="42EEDE0C">
      <w:pPr>
        <w:pStyle w:val="47"/>
        <w:numPr>
          <w:numId w:val="0"/>
        </w:numPr>
        <w:shd w:val="clear" w:color="auto" w:fill="FFFFFF"/>
        <w:tabs>
          <w:tab w:val="left" w:pos="0"/>
        </w:tabs>
        <w:spacing w:before="105" w:beforeAutospacing="0" w:after="105" w:afterAutospacing="0" w:line="435" w:lineRule="atLeast"/>
        <w:ind w:left="403" w:leftChars="0"/>
        <w:rPr>
          <w:rFonts w:hint="eastAsia"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4.7 主控硬件需支持 H.265 硬编码，可完成 GB28181 协议部署调试，满足安监平台视频推送业务开发条件。</w:t>
      </w:r>
    </w:p>
    <w:p w14:paraId="0E391CB0">
      <w:pPr>
        <w:pStyle w:val="3"/>
        <w:pageBreakBefore w:val="0"/>
        <w:kinsoku/>
        <w:wordWrap/>
        <w:overflowPunct/>
        <w:autoSpaceDE/>
        <w:autoSpaceDN/>
        <w:bidi w:val="0"/>
        <w:spacing w:line="560" w:lineRule="exact"/>
        <w:ind w:right="0" w:rightChars="0"/>
        <w:rPr>
          <w:rFonts w:hint="eastAsia"/>
          <w:sz w:val="32"/>
          <w:szCs w:val="32"/>
        </w:rPr>
      </w:pPr>
      <w:r>
        <w:rPr>
          <w:rFonts w:hint="eastAsia"/>
          <w:sz w:val="32"/>
          <w:szCs w:val="32"/>
          <w:lang w:val="en-US" w:eastAsia="zh-CN"/>
        </w:rPr>
        <w:t>5</w:t>
      </w:r>
      <w:r>
        <w:rPr>
          <w:rFonts w:hint="eastAsia"/>
          <w:sz w:val="32"/>
          <w:szCs w:val="32"/>
        </w:rPr>
        <w:t>.</w:t>
      </w:r>
      <w:r>
        <w:rPr>
          <w:rFonts w:hint="eastAsia"/>
          <w:sz w:val="32"/>
          <w:szCs w:val="32"/>
          <w:lang w:eastAsia="zh-CN"/>
        </w:rPr>
        <w:t>安全责任</w:t>
      </w:r>
      <w:r>
        <w:rPr>
          <w:rFonts w:hint="eastAsia"/>
          <w:sz w:val="32"/>
          <w:szCs w:val="32"/>
        </w:rPr>
        <w:t>要求</w:t>
      </w:r>
    </w:p>
    <w:p w14:paraId="6D113A67">
      <w:pPr>
        <w:pageBreakBefore w:val="0"/>
        <w:kinsoku/>
        <w:wordWrap/>
        <w:overflowPunct/>
        <w:autoSpaceDE/>
        <w:autoSpaceDN/>
        <w:bidi w:val="0"/>
        <w:spacing w:line="560" w:lineRule="exact"/>
        <w:ind w:right="0" w:rightChars="0" w:firstLine="480" w:firstLineChars="200"/>
        <w:contextualSpacing/>
        <w:rPr>
          <w:rFonts w:hint="eastAsia" w:asciiTheme="minorEastAsia" w:hAnsiTheme="minorEastAsia" w:eastAsiaTheme="minorEastAsia" w:cstheme="minorEastAsia"/>
          <w:kern w:val="0"/>
          <w:sz w:val="24"/>
          <w:lang w:val="en-US" w:eastAsia="zh-CN"/>
        </w:rPr>
      </w:pPr>
      <w:r>
        <w:rPr>
          <w:rFonts w:hint="eastAsia" w:asciiTheme="minorEastAsia" w:hAnsiTheme="minorEastAsia" w:eastAsiaTheme="minorEastAsia" w:cstheme="minorEastAsia"/>
          <w:kern w:val="0"/>
          <w:sz w:val="24"/>
          <w:lang w:val="en-US" w:eastAsia="zh-CN"/>
        </w:rPr>
        <w:t>5.1 供应商须供应满足本技术规范技术、质量要求的优质定制器件及结构件，元器件、锂电池必须符合国家相关安全标准，杜绝劣质元器件。</w:t>
      </w:r>
    </w:p>
    <w:p w14:paraId="448E498F">
      <w:pPr>
        <w:pageBreakBefore w:val="0"/>
        <w:kinsoku/>
        <w:wordWrap/>
        <w:overflowPunct/>
        <w:autoSpaceDE/>
        <w:autoSpaceDN/>
        <w:bidi w:val="0"/>
        <w:spacing w:line="560" w:lineRule="exact"/>
        <w:ind w:right="0" w:rightChars="0" w:firstLine="480" w:firstLineChars="200"/>
        <w:contextualSpacing/>
        <w:rPr>
          <w:rFonts w:hint="eastAsia" w:asciiTheme="minorEastAsia" w:hAnsiTheme="minorEastAsia" w:eastAsiaTheme="minorEastAsia" w:cstheme="minorEastAsia"/>
          <w:kern w:val="0"/>
          <w:sz w:val="24"/>
          <w:lang w:val="en-US" w:eastAsia="zh-CN"/>
        </w:rPr>
      </w:pPr>
      <w:r>
        <w:rPr>
          <w:rFonts w:hint="eastAsia" w:asciiTheme="minorEastAsia" w:hAnsiTheme="minorEastAsia" w:eastAsiaTheme="minorEastAsia" w:cstheme="minorEastAsia"/>
          <w:kern w:val="0"/>
          <w:sz w:val="24"/>
          <w:lang w:val="en-US" w:eastAsia="zh-CN"/>
        </w:rPr>
        <w:t>5.2 锂电池需具备过充、过放、短路保护功能，满足宽温环境下使用安全要求。</w:t>
      </w:r>
    </w:p>
    <w:p w14:paraId="22B009D0">
      <w:pPr>
        <w:pageBreakBefore w:val="0"/>
        <w:kinsoku/>
        <w:wordWrap/>
        <w:overflowPunct/>
        <w:autoSpaceDE/>
        <w:autoSpaceDN/>
        <w:bidi w:val="0"/>
        <w:spacing w:line="560" w:lineRule="exact"/>
        <w:ind w:right="0" w:rightChars="0" w:firstLine="480" w:firstLineChars="200"/>
        <w:contextualSpacing/>
        <w:rPr>
          <w:rFonts w:hint="eastAsia" w:asciiTheme="minorEastAsia" w:hAnsiTheme="minorEastAsia" w:eastAsiaTheme="minorEastAsia" w:cstheme="minorEastAsia"/>
          <w:kern w:val="0"/>
          <w:sz w:val="24"/>
          <w:lang w:val="en-US" w:eastAsia="zh-CN"/>
        </w:rPr>
      </w:pPr>
      <w:r>
        <w:rPr>
          <w:rFonts w:hint="eastAsia" w:asciiTheme="minorEastAsia" w:hAnsiTheme="minorEastAsia" w:eastAsiaTheme="minorEastAsia" w:cstheme="minorEastAsia"/>
          <w:kern w:val="0"/>
          <w:sz w:val="24"/>
          <w:lang w:val="en-US" w:eastAsia="zh-CN"/>
        </w:rPr>
        <w:t>5.3 供货物料在硬件设计、加工层面应充分考虑电力现场电磁防护，避免出现短路、打火等安全隐患。</w:t>
      </w:r>
    </w:p>
    <w:p w14:paraId="469A713F">
      <w:pPr>
        <w:pageBreakBefore w:val="0"/>
        <w:kinsoku/>
        <w:wordWrap/>
        <w:overflowPunct/>
        <w:autoSpaceDE/>
        <w:autoSpaceDN/>
        <w:bidi w:val="0"/>
        <w:spacing w:line="560" w:lineRule="exact"/>
        <w:ind w:right="0" w:rightChars="0" w:firstLine="480" w:firstLineChars="200"/>
        <w:contextualSpacing/>
        <w:rPr>
          <w:rFonts w:hint="eastAsia" w:asciiTheme="minorEastAsia" w:hAnsiTheme="minorEastAsia" w:eastAsiaTheme="minorEastAsia" w:cstheme="minorEastAsia"/>
          <w:kern w:val="0"/>
          <w:sz w:val="24"/>
          <w:lang w:val="en-US" w:eastAsia="zh-CN"/>
        </w:rPr>
      </w:pPr>
      <w:r>
        <w:rPr>
          <w:rFonts w:hint="eastAsia" w:asciiTheme="minorEastAsia" w:hAnsiTheme="minorEastAsia" w:eastAsiaTheme="minorEastAsia" w:cstheme="minorEastAsia"/>
          <w:kern w:val="0"/>
          <w:sz w:val="24"/>
          <w:lang w:val="en-US" w:eastAsia="zh-CN"/>
        </w:rPr>
        <w:t>5.4 因物料本身质量不达标引发的硬件损坏、安全风险，由供货方承担对应责任。</w:t>
      </w:r>
      <w:bookmarkStart w:id="32" w:name="_GoBack"/>
      <w:bookmarkEnd w:id="32"/>
    </w:p>
    <w:sectPr>
      <w:headerReference r:id="rId3" w:type="default"/>
      <w:footerReference r:id="rId4" w:type="default"/>
      <w:pgSz w:w="11906" w:h="16838"/>
      <w:pgMar w:top="1670" w:right="1800" w:bottom="1440" w:left="1800" w:header="1135"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书宋简体">
    <w:altName w:val="宋体"/>
    <w:panose1 w:val="00000000000000000000"/>
    <w:charset w:val="86"/>
    <w:family w:val="auto"/>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5E632">
    <w:pPr>
      <w:pStyle w:val="42"/>
      <w:rPr>
        <w:sz w:val="21"/>
        <w:szCs w:val="21"/>
      </w:rPr>
    </w:pPr>
    <w:r>
      <w:rPr>
        <w:rFonts w:hint="eastAsia"/>
      </w:rPr>
      <w:t xml:space="preserve"> </w:t>
    </w:r>
    <w:r>
      <w:t xml:space="preserve">                     </w:t>
    </w:r>
    <w:r>
      <w:rPr>
        <w:sz w:val="21"/>
        <w:szCs w:val="21"/>
      </w:rPr>
      <w:t xml:space="preserve"> </w:t>
    </w:r>
    <w:r>
      <w:rPr>
        <w:sz w:val="21"/>
        <w:szCs w:val="21"/>
        <w:lang w:val="zh-CN"/>
      </w:rPr>
      <w:t xml:space="preserve">~ </w:t>
    </w:r>
    <w:r>
      <w:rPr>
        <w:rFonts w:asciiTheme="minorHAnsi" w:hAnsiTheme="minorHAnsi" w:eastAsiaTheme="minorEastAsia" w:cstheme="minorBidi"/>
        <w:sz w:val="21"/>
        <w:szCs w:val="21"/>
      </w:rPr>
      <w:fldChar w:fldCharType="begin"/>
    </w:r>
    <w:r>
      <w:rPr>
        <w:sz w:val="21"/>
        <w:szCs w:val="21"/>
      </w:rPr>
      <w:instrText xml:space="preserve">PAGE    \* MERGEFORMAT</w:instrText>
    </w:r>
    <w:r>
      <w:rPr>
        <w:rFonts w:asciiTheme="minorHAnsi" w:hAnsiTheme="minorHAnsi" w:eastAsiaTheme="minorEastAsia" w:cstheme="minorBidi"/>
        <w:sz w:val="21"/>
        <w:szCs w:val="21"/>
      </w:rPr>
      <w:fldChar w:fldCharType="separate"/>
    </w:r>
    <w:r>
      <w:rPr>
        <w:sz w:val="21"/>
        <w:szCs w:val="21"/>
        <w:lang w:val="zh-CN"/>
      </w:rPr>
      <w:t>1</w:t>
    </w:r>
    <w:r>
      <w:rPr>
        <w:sz w:val="21"/>
        <w:szCs w:val="21"/>
      </w:rPr>
      <w:fldChar w:fldCharType="end"/>
    </w:r>
    <w:r>
      <w:rPr>
        <w:sz w:val="21"/>
        <w:szCs w:val="21"/>
        <w:lang w:val="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5367F">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CBF1A"/>
    <w:multiLevelType w:val="singleLevel"/>
    <w:tmpl w:val="8A5CBF1A"/>
    <w:lvl w:ilvl="0" w:tentative="0">
      <w:start w:val="4"/>
      <w:numFmt w:val="decimal"/>
      <w:lvlText w:val="%1."/>
      <w:lvlJc w:val="left"/>
      <w:pPr>
        <w:tabs>
          <w:tab w:val="left" w:pos="312"/>
        </w:tabs>
      </w:pPr>
    </w:lvl>
  </w:abstractNum>
  <w:abstractNum w:abstractNumId="1">
    <w:nsid w:val="00000013"/>
    <w:multiLevelType w:val="multilevel"/>
    <w:tmpl w:val="00000013"/>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36"/>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35"/>
      <w:lvlText w:val="%1%2.%3"/>
      <w:lvlJc w:val="left"/>
      <w:pPr>
        <w:tabs>
          <w:tab w:val="left" w:pos="720"/>
        </w:tabs>
        <w:ind w:left="0" w:firstLine="0"/>
      </w:pPr>
      <w:rPr>
        <w:rFonts w:hint="eastAsia" w:ascii="黑体" w:hAnsi="Times New Roman" w:eastAsia="黑体"/>
        <w:b/>
        <w:i w:val="0"/>
        <w:sz w:val="21"/>
      </w:rPr>
    </w:lvl>
    <w:lvl w:ilvl="3" w:tentative="0">
      <w:start w:val="1"/>
      <w:numFmt w:val="decimal"/>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180014"/>
    <w:rsid w:val="000130DC"/>
    <w:rsid w:val="00013BEA"/>
    <w:rsid w:val="00017942"/>
    <w:rsid w:val="0002391A"/>
    <w:rsid w:val="00050526"/>
    <w:rsid w:val="00076B1C"/>
    <w:rsid w:val="00085CFF"/>
    <w:rsid w:val="000A7712"/>
    <w:rsid w:val="000D737C"/>
    <w:rsid w:val="00107F72"/>
    <w:rsid w:val="00132756"/>
    <w:rsid w:val="00172B95"/>
    <w:rsid w:val="001859E9"/>
    <w:rsid w:val="00185AA2"/>
    <w:rsid w:val="001A6D90"/>
    <w:rsid w:val="001C2E12"/>
    <w:rsid w:val="001C72F7"/>
    <w:rsid w:val="001D2314"/>
    <w:rsid w:val="001D3301"/>
    <w:rsid w:val="002100E8"/>
    <w:rsid w:val="00225A3C"/>
    <w:rsid w:val="00247834"/>
    <w:rsid w:val="00262BDA"/>
    <w:rsid w:val="00273884"/>
    <w:rsid w:val="00290A6F"/>
    <w:rsid w:val="00290F7D"/>
    <w:rsid w:val="002A538F"/>
    <w:rsid w:val="002F124B"/>
    <w:rsid w:val="0031179A"/>
    <w:rsid w:val="00347DDA"/>
    <w:rsid w:val="00383BE1"/>
    <w:rsid w:val="00384DA6"/>
    <w:rsid w:val="003A2B05"/>
    <w:rsid w:val="003A5992"/>
    <w:rsid w:val="003B1A44"/>
    <w:rsid w:val="003C0E5F"/>
    <w:rsid w:val="003D2ACE"/>
    <w:rsid w:val="00416E50"/>
    <w:rsid w:val="0042357C"/>
    <w:rsid w:val="004254C0"/>
    <w:rsid w:val="004544A0"/>
    <w:rsid w:val="0048080D"/>
    <w:rsid w:val="004D3D3B"/>
    <w:rsid w:val="004D7F27"/>
    <w:rsid w:val="004E63D7"/>
    <w:rsid w:val="004E6699"/>
    <w:rsid w:val="00541C16"/>
    <w:rsid w:val="005558F8"/>
    <w:rsid w:val="00591249"/>
    <w:rsid w:val="005D5321"/>
    <w:rsid w:val="005F6B46"/>
    <w:rsid w:val="00603106"/>
    <w:rsid w:val="00617DE6"/>
    <w:rsid w:val="00621AF7"/>
    <w:rsid w:val="00692926"/>
    <w:rsid w:val="00694FCF"/>
    <w:rsid w:val="006B0925"/>
    <w:rsid w:val="006B19F7"/>
    <w:rsid w:val="006B1FEE"/>
    <w:rsid w:val="006E0D21"/>
    <w:rsid w:val="006E4024"/>
    <w:rsid w:val="00712AEF"/>
    <w:rsid w:val="007410A1"/>
    <w:rsid w:val="00786671"/>
    <w:rsid w:val="007A14DC"/>
    <w:rsid w:val="007C2DAF"/>
    <w:rsid w:val="007E7481"/>
    <w:rsid w:val="007F34ED"/>
    <w:rsid w:val="007F7D2A"/>
    <w:rsid w:val="0080340F"/>
    <w:rsid w:val="008272FB"/>
    <w:rsid w:val="00840277"/>
    <w:rsid w:val="008463BB"/>
    <w:rsid w:val="008620D3"/>
    <w:rsid w:val="00885ABC"/>
    <w:rsid w:val="008B6C01"/>
    <w:rsid w:val="00903D7C"/>
    <w:rsid w:val="00906157"/>
    <w:rsid w:val="009103FD"/>
    <w:rsid w:val="00941A0A"/>
    <w:rsid w:val="00941E94"/>
    <w:rsid w:val="009505D1"/>
    <w:rsid w:val="00953977"/>
    <w:rsid w:val="00996538"/>
    <w:rsid w:val="009A7DBE"/>
    <w:rsid w:val="009D39F9"/>
    <w:rsid w:val="00A3574F"/>
    <w:rsid w:val="00A41CA2"/>
    <w:rsid w:val="00A43D49"/>
    <w:rsid w:val="00A521AC"/>
    <w:rsid w:val="00A548F0"/>
    <w:rsid w:val="00A6074C"/>
    <w:rsid w:val="00A64A3E"/>
    <w:rsid w:val="00A7401E"/>
    <w:rsid w:val="00AA194B"/>
    <w:rsid w:val="00AC5547"/>
    <w:rsid w:val="00AC5590"/>
    <w:rsid w:val="00AF2444"/>
    <w:rsid w:val="00B40611"/>
    <w:rsid w:val="00B42A4C"/>
    <w:rsid w:val="00B467BA"/>
    <w:rsid w:val="00B53DFC"/>
    <w:rsid w:val="00B560CE"/>
    <w:rsid w:val="00B720C7"/>
    <w:rsid w:val="00B845E1"/>
    <w:rsid w:val="00B93E0E"/>
    <w:rsid w:val="00BE3AF9"/>
    <w:rsid w:val="00BF1ED3"/>
    <w:rsid w:val="00C01920"/>
    <w:rsid w:val="00C0523B"/>
    <w:rsid w:val="00C154B8"/>
    <w:rsid w:val="00C321A1"/>
    <w:rsid w:val="00C734D9"/>
    <w:rsid w:val="00C73B3B"/>
    <w:rsid w:val="00C95E5D"/>
    <w:rsid w:val="00CC6F04"/>
    <w:rsid w:val="00D25086"/>
    <w:rsid w:val="00D25776"/>
    <w:rsid w:val="00D5709A"/>
    <w:rsid w:val="00D8670C"/>
    <w:rsid w:val="00DD1A75"/>
    <w:rsid w:val="00DE46ED"/>
    <w:rsid w:val="00E03840"/>
    <w:rsid w:val="00E04657"/>
    <w:rsid w:val="00E44A4B"/>
    <w:rsid w:val="00E564D4"/>
    <w:rsid w:val="00E66055"/>
    <w:rsid w:val="00E906D3"/>
    <w:rsid w:val="00EA153F"/>
    <w:rsid w:val="00EA2C97"/>
    <w:rsid w:val="00EC7232"/>
    <w:rsid w:val="00ED3B47"/>
    <w:rsid w:val="00ED78D5"/>
    <w:rsid w:val="00EE3C2F"/>
    <w:rsid w:val="00F07E86"/>
    <w:rsid w:val="00F54C14"/>
    <w:rsid w:val="00F75A56"/>
    <w:rsid w:val="00F822B1"/>
    <w:rsid w:val="00F95F26"/>
    <w:rsid w:val="00FD1C84"/>
    <w:rsid w:val="00FE45A4"/>
    <w:rsid w:val="01427513"/>
    <w:rsid w:val="021C1CD1"/>
    <w:rsid w:val="023175F6"/>
    <w:rsid w:val="03472883"/>
    <w:rsid w:val="035A08D4"/>
    <w:rsid w:val="043E60E5"/>
    <w:rsid w:val="044353B7"/>
    <w:rsid w:val="04445771"/>
    <w:rsid w:val="04B16F17"/>
    <w:rsid w:val="04D27709"/>
    <w:rsid w:val="05EB52BE"/>
    <w:rsid w:val="08011098"/>
    <w:rsid w:val="084E378E"/>
    <w:rsid w:val="08A27553"/>
    <w:rsid w:val="09152D91"/>
    <w:rsid w:val="09657434"/>
    <w:rsid w:val="09A228DE"/>
    <w:rsid w:val="0A2B721E"/>
    <w:rsid w:val="0B2240B4"/>
    <w:rsid w:val="0BE36F7D"/>
    <w:rsid w:val="0CE1665B"/>
    <w:rsid w:val="0D8211FB"/>
    <w:rsid w:val="0E5B6A37"/>
    <w:rsid w:val="0EA03C30"/>
    <w:rsid w:val="0ED50EC9"/>
    <w:rsid w:val="0F2B423C"/>
    <w:rsid w:val="11094C8A"/>
    <w:rsid w:val="11EF081B"/>
    <w:rsid w:val="12DA6698"/>
    <w:rsid w:val="137D3964"/>
    <w:rsid w:val="140830E5"/>
    <w:rsid w:val="15813DAC"/>
    <w:rsid w:val="16572D53"/>
    <w:rsid w:val="182E08BB"/>
    <w:rsid w:val="185537EF"/>
    <w:rsid w:val="18765555"/>
    <w:rsid w:val="18904609"/>
    <w:rsid w:val="1A4D5C8C"/>
    <w:rsid w:val="1A5A4A7F"/>
    <w:rsid w:val="1A6A5E0F"/>
    <w:rsid w:val="1A8C5B4B"/>
    <w:rsid w:val="1A9B1E8A"/>
    <w:rsid w:val="1B0808B7"/>
    <w:rsid w:val="1BA83F4D"/>
    <w:rsid w:val="1BF4530E"/>
    <w:rsid w:val="1CAA45F0"/>
    <w:rsid w:val="1DDD1B29"/>
    <w:rsid w:val="1FC573ED"/>
    <w:rsid w:val="208206D0"/>
    <w:rsid w:val="21C53406"/>
    <w:rsid w:val="22A9397E"/>
    <w:rsid w:val="235B3C3A"/>
    <w:rsid w:val="23687149"/>
    <w:rsid w:val="23B054A6"/>
    <w:rsid w:val="24F3732E"/>
    <w:rsid w:val="269246A6"/>
    <w:rsid w:val="2B401C9B"/>
    <w:rsid w:val="2B7E2BE1"/>
    <w:rsid w:val="2BA532A3"/>
    <w:rsid w:val="2CAA15D4"/>
    <w:rsid w:val="2D3B59AF"/>
    <w:rsid w:val="2DC85678"/>
    <w:rsid w:val="2DF974B1"/>
    <w:rsid w:val="2E016B8B"/>
    <w:rsid w:val="2E470960"/>
    <w:rsid w:val="2FD44A0C"/>
    <w:rsid w:val="301D1543"/>
    <w:rsid w:val="303C4EDB"/>
    <w:rsid w:val="303E26F6"/>
    <w:rsid w:val="30FC5D3E"/>
    <w:rsid w:val="318B21C8"/>
    <w:rsid w:val="329E24FB"/>
    <w:rsid w:val="32F35A40"/>
    <w:rsid w:val="34236D31"/>
    <w:rsid w:val="34B519E8"/>
    <w:rsid w:val="358B1B13"/>
    <w:rsid w:val="36724472"/>
    <w:rsid w:val="36A66572"/>
    <w:rsid w:val="36CC15FA"/>
    <w:rsid w:val="36F62CDD"/>
    <w:rsid w:val="37D27BEE"/>
    <w:rsid w:val="38865BFA"/>
    <w:rsid w:val="38F3706A"/>
    <w:rsid w:val="391B003F"/>
    <w:rsid w:val="3A5B065E"/>
    <w:rsid w:val="3B241322"/>
    <w:rsid w:val="3BE26D15"/>
    <w:rsid w:val="3CA43677"/>
    <w:rsid w:val="3CA462CE"/>
    <w:rsid w:val="3D5A2083"/>
    <w:rsid w:val="3E257BC1"/>
    <w:rsid w:val="3E8222C8"/>
    <w:rsid w:val="3F303F95"/>
    <w:rsid w:val="40CE3A18"/>
    <w:rsid w:val="42304E6A"/>
    <w:rsid w:val="42FB191D"/>
    <w:rsid w:val="4399424E"/>
    <w:rsid w:val="44B855DE"/>
    <w:rsid w:val="457E4C38"/>
    <w:rsid w:val="479559D1"/>
    <w:rsid w:val="479743D0"/>
    <w:rsid w:val="47FE2438"/>
    <w:rsid w:val="4BFB1865"/>
    <w:rsid w:val="4C423DF2"/>
    <w:rsid w:val="4E3F1601"/>
    <w:rsid w:val="4F02195D"/>
    <w:rsid w:val="4F1E5CBB"/>
    <w:rsid w:val="4FFB11C5"/>
    <w:rsid w:val="50C5099A"/>
    <w:rsid w:val="50DF153C"/>
    <w:rsid w:val="51533282"/>
    <w:rsid w:val="51CE4E43"/>
    <w:rsid w:val="528365E6"/>
    <w:rsid w:val="537E47F8"/>
    <w:rsid w:val="53877A48"/>
    <w:rsid w:val="56360AFF"/>
    <w:rsid w:val="56FB2C84"/>
    <w:rsid w:val="59303A61"/>
    <w:rsid w:val="594823FB"/>
    <w:rsid w:val="59B74569"/>
    <w:rsid w:val="59FE4F42"/>
    <w:rsid w:val="5A0F163F"/>
    <w:rsid w:val="5B6A0515"/>
    <w:rsid w:val="5BDB1617"/>
    <w:rsid w:val="5CE92A69"/>
    <w:rsid w:val="604C09F6"/>
    <w:rsid w:val="608A6367"/>
    <w:rsid w:val="60953880"/>
    <w:rsid w:val="60AA45DA"/>
    <w:rsid w:val="611500E3"/>
    <w:rsid w:val="6284312B"/>
    <w:rsid w:val="62B541AE"/>
    <w:rsid w:val="63F73F4E"/>
    <w:rsid w:val="643F3CEF"/>
    <w:rsid w:val="644C0D79"/>
    <w:rsid w:val="64AC6EB6"/>
    <w:rsid w:val="65F67B6A"/>
    <w:rsid w:val="663805AA"/>
    <w:rsid w:val="6803212C"/>
    <w:rsid w:val="68E618F1"/>
    <w:rsid w:val="69640996"/>
    <w:rsid w:val="6985301C"/>
    <w:rsid w:val="6A12740C"/>
    <w:rsid w:val="6B1B5B89"/>
    <w:rsid w:val="6C071E63"/>
    <w:rsid w:val="6C43179E"/>
    <w:rsid w:val="6DB07F69"/>
    <w:rsid w:val="6DBF2751"/>
    <w:rsid w:val="6E067F3B"/>
    <w:rsid w:val="6E0E18EE"/>
    <w:rsid w:val="6E2340F9"/>
    <w:rsid w:val="6E6764DE"/>
    <w:rsid w:val="6F46306C"/>
    <w:rsid w:val="6FC70BF5"/>
    <w:rsid w:val="7005291A"/>
    <w:rsid w:val="70C81FA4"/>
    <w:rsid w:val="70D215D6"/>
    <w:rsid w:val="70F34F32"/>
    <w:rsid w:val="711A7F46"/>
    <w:rsid w:val="71721B33"/>
    <w:rsid w:val="71C80221"/>
    <w:rsid w:val="73357908"/>
    <w:rsid w:val="7485672D"/>
    <w:rsid w:val="74C44169"/>
    <w:rsid w:val="76443671"/>
    <w:rsid w:val="7645082D"/>
    <w:rsid w:val="78163F80"/>
    <w:rsid w:val="7819191E"/>
    <w:rsid w:val="78A97AC0"/>
    <w:rsid w:val="79180014"/>
    <w:rsid w:val="79796385"/>
    <w:rsid w:val="7A514B74"/>
    <w:rsid w:val="7C0C2A5A"/>
    <w:rsid w:val="7D374087"/>
    <w:rsid w:val="7EA412BC"/>
    <w:rsid w:val="7F3173D8"/>
    <w:rsid w:val="FDEB420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9" w:semiHidden="0" w:name="heading 3" w:locked="1"/>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ocked="1"/>
    <w:lsdException w:uiPriority="99" w:name="footnote text" w:locked="1"/>
    <w:lsdException w:qFormat="1" w:uiPriority="99" w:name="annotation text" w:locked="1"/>
    <w:lsdException w:qFormat="1" w:uiPriority="0" w:semiHidden="0" w:name="header" w:locked="1"/>
    <w:lsdException w:qFormat="1" w:uiPriority="0" w:semiHidden="0" w:name="footer" w:locked="1"/>
    <w:lsdException w:uiPriority="99" w:name="index heading" w:locked="1"/>
    <w:lsdException w:qFormat="1" w:uiPriority="35" w:semiHidden="0"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iPriority="99" w:semiHidden="0" w:name="Hyperlink" w:locked="1"/>
    <w:lsdException w:uiPriority="99" w:name="FollowedHyperlink" w:locked="1"/>
    <w:lsdException w:qFormat="1" w:unhideWhenUsed="0" w:uiPriority="22" w:semiHidden="0" w:name="Strong" w:locked="1"/>
    <w:lsdException w:qFormat="1" w:unhideWhenUsed="0" w:uiPriority="20" w:semiHidden="0" w:name="Emphasis" w:locked="1"/>
    <w:lsdException w:qFormat="1" w:uiPriority="99" w:semiHidden="0" w:name="Document Map" w:locked="1"/>
    <w:lsdException w:qFormat="1" w:uiPriority="99" w:semiHidden="0" w:name="Plain Text" w:locked="1"/>
    <w:lsdException w:uiPriority="99" w:name="E-mail Signature" w:locked="1"/>
    <w:lsdException w:uiPriority="99"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semiHidden="0" w:name="Balloon Text" w:locked="1"/>
    <w:lsdException w:qFormat="1" w:unhideWhenUsed="0" w:uiPriority="0"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locked/>
    <w:uiPriority w:val="9"/>
    <w:pPr>
      <w:keepNext/>
      <w:keepLines/>
      <w:spacing w:before="240" w:after="120" w:line="420" w:lineRule="auto"/>
      <w:jc w:val="left"/>
      <w:outlineLvl w:val="0"/>
    </w:pPr>
    <w:rPr>
      <w:rFonts w:ascii="宋体" w:hAnsi="宋体" w:cs="宋体"/>
      <w:b/>
      <w:sz w:val="24"/>
      <w:szCs w:val="21"/>
    </w:rPr>
  </w:style>
  <w:style w:type="paragraph" w:styleId="4">
    <w:name w:val="heading 2"/>
    <w:basedOn w:val="1"/>
    <w:next w:val="1"/>
    <w:link w:val="29"/>
    <w:qFormat/>
    <w:uiPriority w:val="99"/>
    <w:pPr>
      <w:spacing w:beforeLines="50" w:afterLines="50"/>
      <w:jc w:val="left"/>
      <w:outlineLvl w:val="1"/>
    </w:pPr>
    <w:rPr>
      <w:rFonts w:ascii="宋体" w:hAnsi="宋体"/>
      <w:b/>
      <w:kern w:val="0"/>
      <w:sz w:val="36"/>
      <w:szCs w:val="36"/>
    </w:rPr>
  </w:style>
  <w:style w:type="paragraph" w:styleId="2">
    <w:name w:val="heading 3"/>
    <w:basedOn w:val="1"/>
    <w:next w:val="1"/>
    <w:unhideWhenUsed/>
    <w:qFormat/>
    <w:locked/>
    <w:uiPriority w:val="9"/>
    <w:pPr>
      <w:keepNext/>
      <w:keepLines/>
      <w:tabs>
        <w:tab w:val="left" w:pos="432"/>
        <w:tab w:val="left" w:pos="720"/>
      </w:tabs>
      <w:spacing w:line="413" w:lineRule="auto"/>
      <w:outlineLvl w:val="2"/>
    </w:pPr>
    <w:rPr>
      <w:rFonts w:ascii="Times New Roman" w:hAnsi="Times New Roman" w:eastAsia="黑体"/>
      <w:b/>
      <w:szCs w:val="20"/>
    </w:rPr>
  </w:style>
  <w:style w:type="paragraph" w:styleId="5">
    <w:name w:val="heading 4"/>
    <w:basedOn w:val="1"/>
    <w:next w:val="1"/>
    <w:unhideWhenUsed/>
    <w:qFormat/>
    <w:locked/>
    <w:uiPriority w:val="9"/>
    <w:pPr>
      <w:keepNext/>
      <w:keepLines/>
      <w:tabs>
        <w:tab w:val="left" w:pos="432"/>
        <w:tab w:val="left" w:pos="864"/>
      </w:tabs>
      <w:spacing w:line="372" w:lineRule="auto"/>
      <w:ind w:left="864" w:hanging="864"/>
      <w:outlineLvl w:val="3"/>
    </w:pPr>
    <w:rPr>
      <w:rFonts w:ascii="Arial" w:hAnsi="Arial" w:eastAsia="黑体"/>
      <w:szCs w:val="20"/>
    </w:rPr>
  </w:style>
  <w:style w:type="character" w:default="1" w:styleId="25">
    <w:name w:val="Default Paragraph Font"/>
    <w:unhideWhenUsed/>
    <w:qFormat/>
    <w:uiPriority w:val="1"/>
  </w:style>
  <w:style w:type="table" w:default="1" w:styleId="23">
    <w:name w:val="Normal Table"/>
    <w:unhideWhenUsed/>
    <w:qFormat/>
    <w:uiPriority w:val="99"/>
    <w:tblPr>
      <w:tblCellMar>
        <w:top w:w="0" w:type="dxa"/>
        <w:left w:w="108" w:type="dxa"/>
        <w:bottom w:w="0" w:type="dxa"/>
        <w:right w:w="108" w:type="dxa"/>
      </w:tblCellMar>
    </w:tblPr>
  </w:style>
  <w:style w:type="paragraph" w:styleId="6">
    <w:name w:val="toc 7"/>
    <w:basedOn w:val="1"/>
    <w:next w:val="1"/>
    <w:qFormat/>
    <w:uiPriority w:val="39"/>
    <w:pPr>
      <w:ind w:left="2520" w:leftChars="1200"/>
    </w:pPr>
  </w:style>
  <w:style w:type="paragraph" w:styleId="7">
    <w:name w:val="Normal Indent"/>
    <w:basedOn w:val="1"/>
    <w:qFormat/>
    <w:locked/>
    <w:uiPriority w:val="0"/>
    <w:pPr>
      <w:ind w:firstLine="420" w:firstLineChars="200"/>
    </w:pPr>
  </w:style>
  <w:style w:type="paragraph" w:styleId="8">
    <w:name w:val="caption"/>
    <w:basedOn w:val="1"/>
    <w:next w:val="1"/>
    <w:unhideWhenUsed/>
    <w:qFormat/>
    <w:locked/>
    <w:uiPriority w:val="35"/>
    <w:rPr>
      <w:rFonts w:eastAsia="黑体" w:asciiTheme="majorHAnsi" w:hAnsiTheme="majorHAnsi" w:cstheme="majorBidi"/>
      <w:sz w:val="20"/>
      <w:szCs w:val="20"/>
    </w:rPr>
  </w:style>
  <w:style w:type="paragraph" w:styleId="9">
    <w:name w:val="Document Map"/>
    <w:basedOn w:val="1"/>
    <w:link w:val="46"/>
    <w:unhideWhenUsed/>
    <w:qFormat/>
    <w:locked/>
    <w:uiPriority w:val="99"/>
    <w:rPr>
      <w:rFonts w:ascii="宋体"/>
      <w:sz w:val="18"/>
      <w:szCs w:val="18"/>
    </w:rPr>
  </w:style>
  <w:style w:type="paragraph" w:styleId="10">
    <w:name w:val="annotation text"/>
    <w:basedOn w:val="1"/>
    <w:semiHidden/>
    <w:unhideWhenUsed/>
    <w:qFormat/>
    <w:locked/>
    <w:uiPriority w:val="99"/>
    <w:pPr>
      <w:jc w:val="left"/>
    </w:pPr>
  </w:style>
  <w:style w:type="paragraph" w:styleId="11">
    <w:name w:val="toc 5"/>
    <w:basedOn w:val="1"/>
    <w:next w:val="1"/>
    <w:qFormat/>
    <w:uiPriority w:val="39"/>
    <w:pPr>
      <w:ind w:left="1680" w:leftChars="800"/>
    </w:pPr>
  </w:style>
  <w:style w:type="paragraph" w:styleId="12">
    <w:name w:val="toc 3"/>
    <w:basedOn w:val="1"/>
    <w:next w:val="1"/>
    <w:qFormat/>
    <w:uiPriority w:val="39"/>
    <w:pPr>
      <w:ind w:left="840" w:leftChars="400"/>
    </w:pPr>
  </w:style>
  <w:style w:type="paragraph" w:styleId="13">
    <w:name w:val="Plain Text"/>
    <w:basedOn w:val="1"/>
    <w:unhideWhenUsed/>
    <w:qFormat/>
    <w:locked/>
    <w:uiPriority w:val="99"/>
    <w:rPr>
      <w:rFonts w:ascii="宋体" w:hAnsi="Courier New"/>
      <w:szCs w:val="20"/>
    </w:rPr>
  </w:style>
  <w:style w:type="paragraph" w:styleId="14">
    <w:name w:val="toc 8"/>
    <w:basedOn w:val="1"/>
    <w:next w:val="1"/>
    <w:qFormat/>
    <w:uiPriority w:val="39"/>
    <w:pPr>
      <w:ind w:left="2940" w:leftChars="1400"/>
    </w:pPr>
  </w:style>
  <w:style w:type="paragraph" w:styleId="15">
    <w:name w:val="Balloon Text"/>
    <w:basedOn w:val="1"/>
    <w:link w:val="43"/>
    <w:unhideWhenUsed/>
    <w:qFormat/>
    <w:locked/>
    <w:uiPriority w:val="99"/>
    <w:rPr>
      <w:sz w:val="18"/>
      <w:szCs w:val="18"/>
    </w:rPr>
  </w:style>
  <w:style w:type="paragraph" w:styleId="16">
    <w:name w:val="footer"/>
    <w:basedOn w:val="1"/>
    <w:link w:val="30"/>
    <w:unhideWhenUsed/>
    <w:qFormat/>
    <w:locked/>
    <w:uiPriority w:val="0"/>
    <w:pPr>
      <w:tabs>
        <w:tab w:val="center" w:pos="4153"/>
        <w:tab w:val="right" w:pos="8306"/>
      </w:tabs>
      <w:snapToGrid w:val="0"/>
      <w:jc w:val="left"/>
    </w:pPr>
    <w:rPr>
      <w:sz w:val="18"/>
    </w:rPr>
  </w:style>
  <w:style w:type="paragraph" w:styleId="17">
    <w:name w:val="header"/>
    <w:basedOn w:val="1"/>
    <w:link w:val="31"/>
    <w:unhideWhenUsed/>
    <w:qFormat/>
    <w:locked/>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qFormat/>
    <w:uiPriority w:val="39"/>
    <w:pPr>
      <w:spacing w:line="360" w:lineRule="auto"/>
    </w:pPr>
    <w:rPr>
      <w:b/>
      <w:sz w:val="24"/>
    </w:rPr>
  </w:style>
  <w:style w:type="paragraph" w:styleId="19">
    <w:name w:val="toc 4"/>
    <w:basedOn w:val="1"/>
    <w:next w:val="1"/>
    <w:qFormat/>
    <w:uiPriority w:val="39"/>
    <w:pPr>
      <w:ind w:left="1260" w:leftChars="600"/>
    </w:pPr>
  </w:style>
  <w:style w:type="paragraph" w:styleId="20">
    <w:name w:val="toc 6"/>
    <w:basedOn w:val="1"/>
    <w:next w:val="1"/>
    <w:qFormat/>
    <w:uiPriority w:val="39"/>
    <w:pPr>
      <w:ind w:left="2100" w:leftChars="1000"/>
    </w:pPr>
  </w:style>
  <w:style w:type="paragraph" w:styleId="21">
    <w:name w:val="toc 2"/>
    <w:basedOn w:val="1"/>
    <w:next w:val="1"/>
    <w:qFormat/>
    <w:uiPriority w:val="39"/>
    <w:pPr>
      <w:ind w:left="420" w:leftChars="200"/>
    </w:pPr>
    <w:rPr>
      <w:b/>
      <w:sz w:val="24"/>
    </w:rPr>
  </w:style>
  <w:style w:type="paragraph" w:styleId="22">
    <w:name w:val="toc 9"/>
    <w:basedOn w:val="1"/>
    <w:next w:val="1"/>
    <w:qFormat/>
    <w:uiPriority w:val="39"/>
    <w:pPr>
      <w:ind w:left="3360" w:leftChars="1600"/>
    </w:pPr>
  </w:style>
  <w:style w:type="table" w:styleId="24">
    <w:name w:val="Table Grid"/>
    <w:basedOn w:val="23"/>
    <w:qFormat/>
    <w:locked/>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locked/>
    <w:uiPriority w:val="22"/>
    <w:rPr>
      <w:b/>
    </w:rPr>
  </w:style>
  <w:style w:type="character" w:styleId="27">
    <w:name w:val="page number"/>
    <w:basedOn w:val="25"/>
    <w:qFormat/>
    <w:locked/>
    <w:uiPriority w:val="0"/>
  </w:style>
  <w:style w:type="character" w:styleId="28">
    <w:name w:val="Hyperlink"/>
    <w:basedOn w:val="25"/>
    <w:unhideWhenUsed/>
    <w:qFormat/>
    <w:locked/>
    <w:uiPriority w:val="99"/>
    <w:rPr>
      <w:color w:val="0000FF" w:themeColor="hyperlink"/>
      <w:u w:val="single"/>
      <w14:textFill>
        <w14:solidFill>
          <w14:schemeClr w14:val="hlink"/>
        </w14:solidFill>
      </w14:textFill>
    </w:rPr>
  </w:style>
  <w:style w:type="character" w:customStyle="1" w:styleId="29">
    <w:name w:val="标题 2 Char"/>
    <w:link w:val="4"/>
    <w:qFormat/>
    <w:locked/>
    <w:uiPriority w:val="99"/>
    <w:rPr>
      <w:rFonts w:ascii="宋体" w:hAnsi="宋体"/>
      <w:b/>
      <w:sz w:val="36"/>
      <w:szCs w:val="36"/>
    </w:rPr>
  </w:style>
  <w:style w:type="character" w:customStyle="1" w:styleId="30">
    <w:name w:val="页脚 Char"/>
    <w:link w:val="16"/>
    <w:qFormat/>
    <w:uiPriority w:val="99"/>
    <w:rPr>
      <w:rFonts w:ascii="Calibri" w:hAnsi="Calibri"/>
      <w:kern w:val="2"/>
      <w:sz w:val="18"/>
      <w:szCs w:val="24"/>
    </w:rPr>
  </w:style>
  <w:style w:type="character" w:customStyle="1" w:styleId="31">
    <w:name w:val="页眉 Char"/>
    <w:link w:val="17"/>
    <w:qFormat/>
    <w:uiPriority w:val="99"/>
    <w:rPr>
      <w:rFonts w:ascii="Calibri" w:hAnsi="Calibri"/>
      <w:kern w:val="2"/>
      <w:sz w:val="18"/>
      <w:szCs w:val="24"/>
    </w:rPr>
  </w:style>
  <w:style w:type="paragraph" w:customStyle="1" w:styleId="32">
    <w:name w:val="TOC 标题1"/>
    <w:basedOn w:val="3"/>
    <w:next w:val="1"/>
    <w:unhideWhenUsed/>
    <w:qFormat/>
    <w:uiPriority w:val="39"/>
    <w:pPr>
      <w:widowControl/>
      <w:spacing w:after="0" w:line="259" w:lineRule="auto"/>
      <w:outlineLvl w:val="9"/>
    </w:pPr>
    <w:rPr>
      <w:rFonts w:asciiTheme="majorHAnsi" w:hAnsiTheme="majorHAnsi" w:eastAsiaTheme="majorEastAsia" w:cstheme="majorBidi"/>
      <w:color w:val="376092" w:themeColor="accent1" w:themeShade="BF"/>
      <w:kern w:val="0"/>
      <w:sz w:val="32"/>
      <w:szCs w:val="32"/>
    </w:rPr>
  </w:style>
  <w:style w:type="paragraph" w:customStyle="1" w:styleId="33">
    <w:name w:val="列出段落1"/>
    <w:basedOn w:val="1"/>
    <w:qFormat/>
    <w:uiPriority w:val="34"/>
    <w:pPr>
      <w:ind w:firstLine="420" w:firstLineChars="200"/>
    </w:pPr>
  </w:style>
  <w:style w:type="paragraph" w:customStyle="1" w:styleId="34">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5">
    <w:name w:val="一级条标题"/>
    <w:basedOn w:val="36"/>
    <w:next w:val="37"/>
    <w:qFormat/>
    <w:uiPriority w:val="0"/>
    <w:pPr>
      <w:numPr>
        <w:ilvl w:val="2"/>
      </w:numPr>
      <w:tabs>
        <w:tab w:val="left" w:pos="420"/>
        <w:tab w:val="left" w:pos="525"/>
      </w:tabs>
      <w:spacing w:beforeLines="0" w:afterLines="0"/>
      <w:outlineLvl w:val="2"/>
    </w:pPr>
  </w:style>
  <w:style w:type="paragraph" w:customStyle="1" w:styleId="36">
    <w:name w:val="章标题"/>
    <w:next w:val="37"/>
    <w:qFormat/>
    <w:uiPriority w:val="0"/>
    <w:pPr>
      <w:numPr>
        <w:ilvl w:val="1"/>
        <w:numId w:val="1"/>
      </w:numPr>
      <w:tabs>
        <w:tab w:val="left" w:pos="420"/>
        <w:tab w:val="clear" w:pos="360"/>
      </w:tabs>
      <w:spacing w:beforeLines="50" w:afterLines="50"/>
      <w:jc w:val="both"/>
      <w:outlineLvl w:val="1"/>
    </w:pPr>
    <w:rPr>
      <w:rFonts w:ascii="黑体" w:hAnsi="Times New Roman" w:eastAsia="黑体" w:cs="Times New Roman"/>
      <w:b/>
      <w:sz w:val="21"/>
      <w:lang w:val="en-US" w:eastAsia="zh-CN" w:bidi="ar-SA"/>
    </w:rPr>
  </w:style>
  <w:style w:type="paragraph" w:customStyle="1" w:styleId="37">
    <w:name w:val="段"/>
    <w:link w:val="45"/>
    <w:qFormat/>
    <w:uiPriority w:val="99"/>
    <w:pPr>
      <w:ind w:firstLine="200" w:firstLineChars="200"/>
      <w:jc w:val="both"/>
    </w:pPr>
    <w:rPr>
      <w:rFonts w:ascii="宋体" w:hAnsi="Times New Roman" w:eastAsia="宋体" w:cs="Times New Roman"/>
      <w:sz w:val="21"/>
      <w:lang w:val="en-US" w:eastAsia="zh-CN" w:bidi="ar-SA"/>
    </w:rPr>
  </w:style>
  <w:style w:type="character" w:customStyle="1" w:styleId="38">
    <w:name w:val="表题 + (西文) 宋体 Char Char Char Char Char Char Char Char"/>
    <w:link w:val="39"/>
    <w:qFormat/>
    <w:uiPriority w:val="0"/>
    <w:rPr>
      <w:rFonts w:hAnsi="宋体" w:eastAsia="黑体" w:cstheme="minorBidi"/>
      <w:szCs w:val="22"/>
    </w:rPr>
  </w:style>
  <w:style w:type="paragraph" w:customStyle="1" w:styleId="39">
    <w:name w:val="表题 + (西文) 宋体 Char Char Char Char Char Char Char"/>
    <w:basedOn w:val="8"/>
    <w:link w:val="38"/>
    <w:qFormat/>
    <w:uiPriority w:val="0"/>
    <w:pPr>
      <w:adjustRightInd w:val="0"/>
      <w:spacing w:before="120" w:after="120" w:line="320" w:lineRule="exact"/>
      <w:jc w:val="center"/>
      <w:textAlignment w:val="baseline"/>
    </w:pPr>
    <w:rPr>
      <w:rFonts w:hAnsi="宋体" w:cstheme="minorBidi"/>
      <w:szCs w:val="22"/>
    </w:rPr>
  </w:style>
  <w:style w:type="character" w:customStyle="1" w:styleId="40">
    <w:name w:val="font01"/>
    <w:basedOn w:val="25"/>
    <w:qFormat/>
    <w:uiPriority w:val="0"/>
    <w:rPr>
      <w:rFonts w:hint="eastAsia" w:ascii="宋体" w:hAnsi="宋体" w:eastAsia="宋体" w:cs="宋体"/>
      <w:color w:val="000000"/>
      <w:sz w:val="22"/>
      <w:szCs w:val="22"/>
      <w:u w:val="none"/>
    </w:rPr>
  </w:style>
  <w:style w:type="paragraph" w:customStyle="1" w:styleId="41">
    <w:name w:val="列出段落2"/>
    <w:basedOn w:val="1"/>
    <w:qFormat/>
    <w:uiPriority w:val="99"/>
    <w:pPr>
      <w:ind w:firstLine="420" w:firstLineChars="200"/>
    </w:pPr>
  </w:style>
  <w:style w:type="paragraph" w:customStyle="1" w:styleId="42">
    <w:name w:val="TOC 标题2"/>
    <w:basedOn w:val="3"/>
    <w:next w:val="1"/>
    <w:unhideWhenUsed/>
    <w:qFormat/>
    <w:uiPriority w:val="39"/>
    <w:pPr>
      <w:widowControl/>
      <w:spacing w:after="0" w:line="259" w:lineRule="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43">
    <w:name w:val="批注框文本 Char"/>
    <w:basedOn w:val="25"/>
    <w:link w:val="15"/>
    <w:semiHidden/>
    <w:qFormat/>
    <w:uiPriority w:val="99"/>
    <w:rPr>
      <w:rFonts w:ascii="Calibri" w:hAnsi="Calibri"/>
      <w:kern w:val="2"/>
      <w:sz w:val="18"/>
      <w:szCs w:val="18"/>
    </w:rPr>
  </w:style>
  <w:style w:type="paragraph" w:customStyle="1" w:styleId="44">
    <w:name w:val="字母编号列项（一级）"/>
    <w:qFormat/>
    <w:uiPriority w:val="0"/>
    <w:pPr>
      <w:tabs>
        <w:tab w:val="left" w:pos="840"/>
      </w:tabs>
      <w:ind w:left="315"/>
      <w:jc w:val="both"/>
    </w:pPr>
    <w:rPr>
      <w:rFonts w:ascii="宋体" w:hAnsi="Times New Roman" w:eastAsia="宋体" w:cs="Times New Roman"/>
      <w:sz w:val="21"/>
      <w:lang w:val="en-US" w:eastAsia="zh-CN" w:bidi="ar-SA"/>
    </w:rPr>
  </w:style>
  <w:style w:type="character" w:customStyle="1" w:styleId="45">
    <w:name w:val="段 Char"/>
    <w:link w:val="37"/>
    <w:qFormat/>
    <w:uiPriority w:val="99"/>
    <w:rPr>
      <w:rFonts w:ascii="宋体"/>
      <w:sz w:val="21"/>
    </w:rPr>
  </w:style>
  <w:style w:type="character" w:customStyle="1" w:styleId="46">
    <w:name w:val="文档结构图 Char"/>
    <w:basedOn w:val="25"/>
    <w:link w:val="9"/>
    <w:semiHidden/>
    <w:qFormat/>
    <w:uiPriority w:val="99"/>
    <w:rPr>
      <w:rFonts w:ascii="宋体" w:hAnsi="Calibri"/>
      <w:kern w:val="2"/>
      <w:sz w:val="18"/>
      <w:szCs w:val="18"/>
    </w:rPr>
  </w:style>
  <w:style w:type="paragraph" w:customStyle="1" w:styleId="47">
    <w:name w:val="marklang-paragraph"/>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48">
    <w:name w:val="首行缩进"/>
    <w:basedOn w:val="1"/>
    <w:qFormat/>
    <w:uiPriority w:val="0"/>
    <w:pPr>
      <w:spacing w:line="300" w:lineRule="auto"/>
      <w:ind w:firstLine="420" w:firstLineChars="200"/>
    </w:pPr>
    <w:rPr>
      <w:rFonts w:eastAsia="方正书宋简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Pages>
  <Words>560</Words>
  <Characters>651</Characters>
  <Lines>53</Lines>
  <Paragraphs>15</Paragraphs>
  <TotalTime>12</TotalTime>
  <ScaleCrop>false</ScaleCrop>
  <LinksUpToDate>false</LinksUpToDate>
  <CharactersWithSpaces>658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2018-09-26T10:24:00Z</dcterms:created>
  <dc:creator>emmy810</dc:creator>
  <cp:lastModifiedBy>·</cp:lastModifiedBy>
  <dcterms:modified xsi:type="dcterms:W3CDTF">2026-10-16T03:23:04Z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02287A7A2B81438C18B7D06AB5DD41E2_43</vt:lpwstr>
  </property>
  <property fmtid="{D5CDD505-2E9C-101B-9397-08002B2CF9AE}" pid="4" name="KSOTemplateDocerSaveRecord">
    <vt:lpwstr>eyJoZGlkIjoiNDc2MDBlNmQxZDg2NDRiYzRlZTBmY2NiM2VkNDYyN2IiLCJ1c2VySWQiOiI0NTAxMDU4MTgifQ==</vt:lpwstr>
  </property>
</Properties>
</file>