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bidi w:val="0"/>
        <w:jc w:val="center"/>
        <w:rPr>
          <w:rFonts w:hint="eastAsia" w:ascii="黑体" w:hAnsi="黑体" w:eastAsia="黑体" w:cs="黑体"/>
          <w:sz w:val="44"/>
          <w:szCs w:val="44"/>
        </w:rPr>
      </w:pPr>
      <w:r>
        <w:rPr>
          <w:rFonts w:hint="eastAsia" w:ascii="黑体" w:hAnsi="黑体" w:eastAsia="黑体" w:cs="黑体"/>
          <w:sz w:val="44"/>
          <w:szCs w:val="44"/>
        </w:rPr>
        <w:t>第三方经费审查服务委托单</w:t>
      </w:r>
    </w:p>
    <w:tbl>
      <w:tblPr>
        <w:tblStyle w:val="11"/>
        <w:tblW w:w="884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0" w:type="dxa"/>
          <w:left w:w="10" w:type="dxa"/>
          <w:bottom w:w="0" w:type="dxa"/>
          <w:right w:w="10" w:type="dxa"/>
        </w:tblCellMar>
      </w:tblPr>
      <w:tblGrid>
        <w:gridCol w:w="2000"/>
        <w:gridCol w:w="2281"/>
        <w:gridCol w:w="2281"/>
        <w:gridCol w:w="228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8844" w:type="dxa"/>
            <w:gridSpan w:val="4"/>
            <w:tcBorders>
              <w:top w:val="single" w:color="000000" w:sz="0" w:space="0"/>
              <w:left w:val="single" w:color="000000" w:sz="0" w:space="0"/>
              <w:bottom w:val="single" w:color="000000" w:sz="0" w:space="0"/>
              <w:right w:val="single" w:color="000000" w:sz="0" w:space="0"/>
            </w:tcBorders>
            <w:shd w:val="clear" w:color="auto" w:fill="auto"/>
            <w:tcMar>
              <w:top w:w="80" w:type="dxa"/>
              <w:left w:w="120" w:type="dxa"/>
              <w:bottom w:w="80" w:type="dxa"/>
              <w:right w:w="120" w:type="dxa"/>
            </w:tcMar>
            <w:vAlign w:val="center"/>
          </w:tcPr>
          <w:p>
            <w:pPr>
              <w:jc w:val="center"/>
            </w:pPr>
            <w:r>
              <w:rPr>
                <w:rFonts w:ascii="仿宋_GB2312" w:hAnsi="仿宋_GB2312" w:eastAsia="仿宋_GB2312" w:cs="仿宋_GB2312"/>
                <w:b/>
                <w:bCs/>
                <w:sz w:val="28"/>
                <w:szCs w:val="28"/>
              </w:rPr>
              <w:t>委托信息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2000" w:type="dxa"/>
            <w:tcBorders>
              <w:top w:val="single" w:color="000000" w:sz="0" w:space="0"/>
              <w:left w:val="single" w:color="000000" w:sz="0" w:space="0"/>
              <w:bottom w:val="single" w:color="000000" w:sz="0" w:space="0"/>
              <w:right w:val="single" w:color="000000" w:sz="0" w:space="0"/>
            </w:tcBorders>
            <w:shd w:val="clear" w:color="auto" w:fill="auto"/>
            <w:tcMar>
              <w:top w:w="60" w:type="dxa"/>
              <w:left w:w="120" w:type="dxa"/>
              <w:bottom w:w="60" w:type="dxa"/>
              <w:right w:w="120" w:type="dxa"/>
            </w:tcMar>
            <w:vAlign w:val="center"/>
          </w:tcPr>
          <w:p>
            <w:pPr>
              <w:jc w:val="center"/>
            </w:pPr>
            <w:r>
              <w:rPr>
                <w:rFonts w:ascii="仿宋_GB2312" w:hAnsi="仿宋_GB2312" w:eastAsia="仿宋_GB2312" w:cs="仿宋_GB2312"/>
                <w:b/>
                <w:bCs/>
                <w:sz w:val="24"/>
                <w:szCs w:val="24"/>
              </w:rPr>
              <w:t>委托方</w:t>
            </w:r>
          </w:p>
        </w:tc>
        <w:tc>
          <w:tcPr>
            <w:tcW w:w="2281" w:type="dxa"/>
            <w:tcBorders>
              <w:top w:val="single" w:color="000000" w:sz="0" w:space="0"/>
              <w:left w:val="single" w:color="000000" w:sz="0" w:space="0"/>
              <w:bottom w:val="single" w:color="000000" w:sz="0" w:space="0"/>
              <w:right w:val="single" w:color="000000" w:sz="0" w:space="0"/>
            </w:tcBorders>
            <w:shd w:val="clear" w:color="auto" w:fill="auto"/>
            <w:tcMar>
              <w:top w:w="60" w:type="dxa"/>
              <w:left w:w="120" w:type="dxa"/>
              <w:bottom w:w="60" w:type="dxa"/>
              <w:right w:w="120" w:type="dxa"/>
            </w:tcMar>
            <w:vAlign w:val="center"/>
          </w:tcPr>
          <w:p>
            <w:pPr>
              <w:spacing w:after="40" w:line="360" w:lineRule="auto"/>
              <w:jc w:val="center"/>
            </w:pPr>
            <w:r>
              <w:rPr>
                <w:rFonts w:hint="eastAsia"/>
              </w:rPr>
              <w:t>南方电网数字电网研究院股份有限公司</w:t>
            </w:r>
          </w:p>
        </w:tc>
        <w:tc>
          <w:tcPr>
            <w:tcW w:w="2281" w:type="dxa"/>
            <w:tcBorders>
              <w:top w:val="single" w:color="000000" w:sz="0" w:space="0"/>
              <w:left w:val="single" w:color="000000" w:sz="0" w:space="0"/>
              <w:bottom w:val="single" w:color="000000" w:sz="0" w:space="0"/>
              <w:right w:val="single" w:color="000000" w:sz="0" w:space="0"/>
            </w:tcBorders>
            <w:shd w:val="clear" w:color="auto" w:fill="auto"/>
            <w:tcMar>
              <w:top w:w="60" w:type="dxa"/>
              <w:left w:w="120" w:type="dxa"/>
              <w:bottom w:w="60" w:type="dxa"/>
              <w:right w:w="120" w:type="dxa"/>
            </w:tcMar>
            <w:vAlign w:val="center"/>
          </w:tcPr>
          <w:p>
            <w:pPr>
              <w:spacing w:after="40" w:line="360" w:lineRule="auto"/>
              <w:jc w:val="center"/>
              <w:rPr>
                <w:rFonts w:ascii="仿宋_GB2312" w:hAnsi="仿宋_GB2312" w:eastAsia="仿宋_GB2312" w:cs="仿宋_GB2312"/>
                <w:sz w:val="24"/>
                <w:szCs w:val="24"/>
              </w:rPr>
            </w:pPr>
            <w:r>
              <w:rPr>
                <w:rFonts w:ascii="仿宋_GB2312" w:hAnsi="仿宋_GB2312" w:eastAsia="仿宋_GB2312" w:cs="仿宋_GB2312"/>
                <w:b/>
                <w:bCs/>
                <w:sz w:val="24"/>
                <w:szCs w:val="24"/>
              </w:rPr>
              <w:t>委托日期</w:t>
            </w:r>
          </w:p>
        </w:tc>
        <w:tc>
          <w:tcPr>
            <w:tcW w:w="2282" w:type="dxa"/>
            <w:tcBorders>
              <w:top w:val="single" w:color="000000" w:sz="0" w:space="0"/>
              <w:left w:val="single" w:color="000000" w:sz="0" w:space="0"/>
              <w:bottom w:val="single" w:color="000000" w:sz="0" w:space="0"/>
              <w:right w:val="single" w:color="000000" w:sz="0" w:space="0"/>
            </w:tcBorders>
            <w:shd w:val="clear" w:color="auto" w:fill="auto"/>
            <w:tcMar>
              <w:top w:w="60" w:type="dxa"/>
              <w:left w:w="120" w:type="dxa"/>
              <w:bottom w:w="60" w:type="dxa"/>
              <w:right w:w="120" w:type="dxa"/>
            </w:tcMar>
            <w:vAlign w:val="center"/>
          </w:tcPr>
          <w:p>
            <w:pPr>
              <w:spacing w:after="40" w:line="360" w:lineRule="auto"/>
              <w:jc w:val="center"/>
              <w:rPr>
                <w:rFonts w:ascii="仿宋_GB2312" w:hAnsi="仿宋_GB2312" w:eastAsia="仿宋_GB2312" w:cs="仿宋_GB2312"/>
                <w:sz w:val="24"/>
                <w:szCs w:val="24"/>
              </w:rPr>
            </w:pPr>
            <w:r>
              <w:rPr>
                <w:rFonts w:hint="eastAsia" w:cs="仿宋_GB2312"/>
                <w:sz w:val="24"/>
                <w:szCs w:val="24"/>
                <w:lang w:val="en-US" w:eastAsia="zh-CN"/>
              </w:rPr>
              <w:t>2026</w:t>
            </w:r>
            <w:r>
              <w:rPr>
                <w:rFonts w:ascii="仿宋_GB2312" w:hAnsi="仿宋_GB2312" w:eastAsia="仿宋_GB2312" w:cs="仿宋_GB2312"/>
                <w:sz w:val="24"/>
                <w:szCs w:val="24"/>
              </w:rPr>
              <w:t>年</w:t>
            </w:r>
            <w:r>
              <w:rPr>
                <w:rFonts w:hint="eastAsia" w:cs="仿宋_GB2312"/>
                <w:sz w:val="24"/>
                <w:szCs w:val="24"/>
                <w:lang w:val="en-US" w:eastAsia="zh-CN"/>
              </w:rPr>
              <w:t>10</w:t>
            </w:r>
            <w:r>
              <w:rPr>
                <w:rFonts w:ascii="仿宋_GB2312" w:hAnsi="仿宋_GB2312" w:eastAsia="仿宋_GB2312" w:cs="仿宋_GB2312"/>
                <w:sz w:val="24"/>
                <w:szCs w:val="24"/>
              </w:rPr>
              <w:t>月</w:t>
            </w:r>
            <w:r>
              <w:rPr>
                <w:rFonts w:hint="eastAsia" w:cs="仿宋_GB2312"/>
                <w:sz w:val="24"/>
                <w:szCs w:val="24"/>
                <w:lang w:val="en-US" w:eastAsia="zh-CN"/>
              </w:rPr>
              <w:t>26</w:t>
            </w:r>
            <w:r>
              <w:rPr>
                <w:rFonts w:ascii="仿宋_GB2312" w:hAnsi="仿宋_GB2312" w:eastAsia="仿宋_GB2312" w:cs="仿宋_GB2312"/>
                <w:sz w:val="24"/>
                <w:szCs w:val="24"/>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 w:type="dxa"/>
            <w:bottom w:w="0" w:type="dxa"/>
            <w:right w:w="10" w:type="dxa"/>
          </w:tblCellMar>
        </w:tblPrEx>
        <w:tc>
          <w:tcPr>
            <w:tcW w:w="2000" w:type="dxa"/>
            <w:tcBorders>
              <w:top w:val="single" w:color="000000" w:sz="0" w:space="0"/>
              <w:left w:val="single" w:color="000000" w:sz="0" w:space="0"/>
              <w:bottom w:val="single" w:color="000000" w:sz="0" w:space="0"/>
              <w:right w:val="single" w:color="000000" w:sz="0" w:space="0"/>
            </w:tcBorders>
            <w:shd w:val="clear" w:color="auto" w:fill="auto"/>
            <w:tcMar>
              <w:top w:w="60" w:type="dxa"/>
              <w:left w:w="120" w:type="dxa"/>
              <w:bottom w:w="60" w:type="dxa"/>
              <w:right w:w="120" w:type="dxa"/>
            </w:tcMar>
            <w:vAlign w:val="center"/>
          </w:tcPr>
          <w:p>
            <w:pPr>
              <w:jc w:val="center"/>
            </w:pPr>
            <w:r>
              <w:rPr>
                <w:rFonts w:ascii="仿宋_GB2312" w:hAnsi="仿宋_GB2312" w:eastAsia="仿宋_GB2312" w:cs="仿宋_GB2312"/>
                <w:b/>
                <w:bCs/>
                <w:sz w:val="24"/>
                <w:szCs w:val="24"/>
              </w:rPr>
              <w:t>审查项目名称</w:t>
            </w:r>
          </w:p>
        </w:tc>
        <w:tc>
          <w:tcPr>
            <w:tcW w:w="6844" w:type="dxa"/>
            <w:gridSpan w:val="3"/>
            <w:tcBorders>
              <w:top w:val="single" w:color="000000" w:sz="0" w:space="0"/>
              <w:left w:val="single" w:color="000000" w:sz="0" w:space="0"/>
              <w:bottom w:val="single" w:color="000000" w:sz="0" w:space="0"/>
              <w:right w:val="single" w:color="000000" w:sz="0" w:space="0"/>
            </w:tcBorders>
            <w:shd w:val="clear" w:color="auto" w:fill="auto"/>
            <w:tcMar>
              <w:top w:w="60" w:type="dxa"/>
              <w:left w:w="120" w:type="dxa"/>
              <w:bottom w:w="60" w:type="dxa"/>
              <w:right w:w="120" w:type="dxa"/>
            </w:tcMar>
            <w:vAlign w:val="center"/>
          </w:tcPr>
          <w:p>
            <w:pPr>
              <w:spacing w:after="40" w:line="360" w:lineRule="auto"/>
              <w:jc w:val="left"/>
            </w:pPr>
            <w:r>
              <w:rPr>
                <w:rFonts w:hint="eastAsia"/>
              </w:rPr>
              <w:t>基于人工智能语言模型的软件代码分析、评估与适配技术研究项目第三方经费审查服务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 w:type="dxa"/>
            <w:bottom w:w="0" w:type="dxa"/>
            <w:right w:w="10" w:type="dxa"/>
          </w:tblCellMar>
        </w:tblPrEx>
        <w:tc>
          <w:tcPr>
            <w:tcW w:w="2000" w:type="dxa"/>
            <w:tcBorders>
              <w:top w:val="single" w:color="000000" w:sz="0" w:space="0"/>
              <w:left w:val="single" w:color="000000" w:sz="0" w:space="0"/>
              <w:bottom w:val="single" w:color="000000" w:sz="0" w:space="0"/>
              <w:right w:val="single" w:color="000000" w:sz="0" w:space="0"/>
            </w:tcBorders>
            <w:shd w:val="clear" w:color="auto" w:fill="auto"/>
            <w:tcMar>
              <w:top w:w="60" w:type="dxa"/>
              <w:left w:w="120" w:type="dxa"/>
              <w:bottom w:w="60" w:type="dxa"/>
              <w:right w:w="120" w:type="dxa"/>
            </w:tcMar>
            <w:vAlign w:val="center"/>
          </w:tcPr>
          <w:p>
            <w:pPr>
              <w:jc w:val="center"/>
            </w:pPr>
            <w:r>
              <w:rPr>
                <w:rFonts w:ascii="仿宋_GB2312" w:hAnsi="仿宋_GB2312" w:eastAsia="仿宋_GB2312" w:cs="仿宋_GB2312"/>
                <w:b/>
                <w:bCs/>
                <w:sz w:val="24"/>
                <w:szCs w:val="24"/>
              </w:rPr>
              <w:t>项目基本情况</w:t>
            </w:r>
          </w:p>
        </w:tc>
        <w:tc>
          <w:tcPr>
            <w:tcW w:w="6844" w:type="dxa"/>
            <w:gridSpan w:val="3"/>
            <w:tcBorders>
              <w:top w:val="single" w:color="000000" w:sz="0" w:space="0"/>
              <w:left w:val="single" w:color="000000" w:sz="0" w:space="0"/>
              <w:bottom w:val="single" w:color="000000" w:sz="0" w:space="0"/>
              <w:right w:val="single" w:color="000000" w:sz="0" w:space="0"/>
            </w:tcBorders>
            <w:shd w:val="clear" w:color="auto" w:fill="auto"/>
            <w:tcMar>
              <w:top w:w="60" w:type="dxa"/>
              <w:left w:w="120" w:type="dxa"/>
              <w:bottom w:w="60" w:type="dxa"/>
              <w:right w:w="120" w:type="dxa"/>
            </w:tcMar>
            <w:vAlign w:val="center"/>
          </w:tcPr>
          <w:p>
            <w:pPr>
              <w:spacing w:after="40" w:line="360" w:lineRule="auto"/>
              <w:jc w:val="left"/>
            </w:pPr>
            <w:r>
              <w:rPr>
                <w:rFonts w:ascii="Segoe UI" w:hAnsi="Segoe UI" w:eastAsia="Segoe UI" w:cs="Segoe UI"/>
                <w:i w:val="0"/>
                <w:iCs w:val="0"/>
                <w:caps w:val="0"/>
                <w:color w:val="0F1115"/>
                <w:spacing w:val="0"/>
                <w:sz w:val="22"/>
                <w:szCs w:val="22"/>
                <w:shd w:val="clear" w:fill="FFFFFF"/>
              </w:rPr>
              <w:t>项目以打造国内领先的系统跨基础平台移植技术为目标，提供系统评估、系统适配、自主可控验证的信息系统自主可控改造全环节一站式服务，支持多种技术路线适配；基于电力人工智能创新平台构建信创技术方案自动生成、系统代码自动生成、信创知识管理等能力；基于云燕平台构建基础软硬件架构分析、适配改造成本评估、代码适配评估及建议生成、“真替真用”评估、性能调优等能力，降低迁移改造成本和技术复杂度，提高工作效率和代码质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 w:type="dxa"/>
            <w:bottom w:w="0" w:type="dxa"/>
            <w:right w:w="10" w:type="dxa"/>
          </w:tblCellMar>
        </w:tblPrEx>
        <w:tc>
          <w:tcPr>
            <w:tcW w:w="2000" w:type="dxa"/>
            <w:tcBorders>
              <w:top w:val="single" w:color="000000" w:sz="0" w:space="0"/>
              <w:left w:val="single" w:color="000000" w:sz="0" w:space="0"/>
              <w:bottom w:val="single" w:color="000000" w:sz="0" w:space="0"/>
              <w:right w:val="single" w:color="000000" w:sz="0" w:space="0"/>
            </w:tcBorders>
            <w:shd w:val="clear" w:color="auto" w:fill="auto"/>
            <w:tcMar>
              <w:top w:w="60" w:type="dxa"/>
              <w:left w:w="120" w:type="dxa"/>
              <w:bottom w:w="60" w:type="dxa"/>
              <w:right w:w="120" w:type="dxa"/>
            </w:tcMar>
            <w:vAlign w:val="center"/>
          </w:tcPr>
          <w:p>
            <w:pPr>
              <w:jc w:val="center"/>
            </w:pPr>
            <w:r>
              <w:rPr>
                <w:rFonts w:ascii="仿宋_GB2312" w:hAnsi="仿宋_GB2312" w:eastAsia="仿宋_GB2312" w:cs="仿宋_GB2312"/>
                <w:b/>
                <w:bCs/>
                <w:sz w:val="24"/>
                <w:szCs w:val="24"/>
              </w:rPr>
              <w:t>审查服务限价</w:t>
            </w:r>
          </w:p>
        </w:tc>
        <w:tc>
          <w:tcPr>
            <w:tcW w:w="6844" w:type="dxa"/>
            <w:gridSpan w:val="3"/>
            <w:tcBorders>
              <w:top w:val="single" w:color="000000" w:sz="0" w:space="0"/>
              <w:left w:val="single" w:color="000000" w:sz="0" w:space="0"/>
              <w:bottom w:val="single" w:color="000000" w:sz="0" w:space="0"/>
              <w:right w:val="single" w:color="000000" w:sz="0" w:space="0"/>
            </w:tcBorders>
            <w:shd w:val="clear" w:color="auto" w:fill="auto"/>
            <w:tcMar>
              <w:top w:w="60" w:type="dxa"/>
              <w:left w:w="120" w:type="dxa"/>
              <w:bottom w:w="60" w:type="dxa"/>
              <w:right w:w="120" w:type="dxa"/>
            </w:tcMar>
            <w:vAlign w:val="center"/>
          </w:tcPr>
          <w:p>
            <w:pPr>
              <w:spacing w:after="40" w:line="360" w:lineRule="auto"/>
              <w:jc w:val="left"/>
            </w:pPr>
            <w:r>
              <w:rPr>
                <w:rFonts w:ascii="仿宋_GB2312" w:hAnsi="仿宋_GB2312" w:eastAsia="仿宋_GB2312" w:cs="仿宋_GB2312"/>
                <w:sz w:val="24"/>
                <w:szCs w:val="24"/>
              </w:rPr>
              <w:t>报价合计小写：</w:t>
            </w:r>
            <w:r>
              <w:rPr>
                <w:rFonts w:hint="eastAsia" w:cs="仿宋_GB2312"/>
                <w:sz w:val="24"/>
                <w:szCs w:val="24"/>
                <w:lang w:val="en-US" w:eastAsia="zh-CN"/>
              </w:rPr>
              <w:t>20000</w:t>
            </w:r>
            <w:r>
              <w:rPr>
                <w:rFonts w:ascii="仿宋_GB2312" w:hAnsi="仿宋_GB2312" w:eastAsia="仿宋_GB2312" w:cs="仿宋_GB2312"/>
                <w:sz w:val="24"/>
                <w:szCs w:val="24"/>
              </w:rPr>
              <w:t>元（大写：</w:t>
            </w:r>
            <w:r>
              <w:rPr>
                <w:rFonts w:hint="eastAsia" w:cs="仿宋_GB2312"/>
                <w:sz w:val="24"/>
                <w:szCs w:val="24"/>
                <w:lang w:val="en-US" w:eastAsia="zh-CN"/>
              </w:rPr>
              <w:t>贰万元整</w:t>
            </w:r>
            <w:r>
              <w:rPr>
                <w:rFonts w:ascii="仿宋_GB2312" w:hAnsi="仿宋_GB2312" w:eastAsia="仿宋_GB2312" w:cs="仿宋_GB2312"/>
                <w:sz w:val="24"/>
                <w:szCs w:val="24"/>
              </w:rPr>
              <w:t>）</w:t>
            </w:r>
          </w:p>
          <w:p>
            <w:pPr>
              <w:spacing w:after="40" w:line="360" w:lineRule="auto"/>
              <w:jc w:val="left"/>
            </w:pPr>
            <w:r>
              <w:rPr>
                <w:rFonts w:ascii="仿宋_GB2312" w:hAnsi="仿宋_GB2312" w:eastAsia="仿宋_GB2312" w:cs="仿宋_GB2312"/>
                <w:sz w:val="24"/>
                <w:szCs w:val="24"/>
              </w:rPr>
              <w:t>限价小写：</w:t>
            </w:r>
            <w:r>
              <w:rPr>
                <w:rFonts w:hint="eastAsia" w:cs="仿宋_GB2312"/>
                <w:sz w:val="24"/>
                <w:szCs w:val="24"/>
                <w:lang w:val="en-US" w:eastAsia="zh-CN"/>
              </w:rPr>
              <w:t>20000</w:t>
            </w:r>
            <w:r>
              <w:rPr>
                <w:rFonts w:ascii="仿宋_GB2312" w:hAnsi="仿宋_GB2312" w:eastAsia="仿宋_GB2312" w:cs="仿宋_GB2312"/>
                <w:sz w:val="24"/>
                <w:szCs w:val="24"/>
              </w:rPr>
              <w:t>元（大写：</w:t>
            </w:r>
            <w:r>
              <w:rPr>
                <w:rFonts w:hint="eastAsia" w:cs="仿宋_GB2312"/>
                <w:sz w:val="24"/>
                <w:szCs w:val="24"/>
                <w:lang w:val="en-US" w:eastAsia="zh-CN"/>
              </w:rPr>
              <w:t>贰万元整</w:t>
            </w:r>
            <w:r>
              <w:rPr>
                <w:rFonts w:ascii="仿宋_GB2312" w:hAnsi="仿宋_GB2312" w:eastAsia="仿宋_GB2312" w:cs="仿宋_GB2312"/>
                <w:sz w:val="24"/>
                <w:szCs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 w:type="dxa"/>
            <w:bottom w:w="0" w:type="dxa"/>
            <w:right w:w="10" w:type="dxa"/>
          </w:tblCellMar>
        </w:tblPrEx>
        <w:tc>
          <w:tcPr>
            <w:tcW w:w="8844" w:type="dxa"/>
            <w:gridSpan w:val="4"/>
            <w:tcBorders>
              <w:top w:val="single" w:color="000000" w:sz="0" w:space="0"/>
              <w:left w:val="single" w:color="000000" w:sz="0" w:space="0"/>
              <w:bottom w:val="single" w:color="000000" w:sz="0" w:space="0"/>
              <w:right w:val="single" w:color="000000" w:sz="0" w:space="0"/>
            </w:tcBorders>
            <w:shd w:val="clear" w:color="auto" w:fill="auto"/>
            <w:tcMar>
              <w:top w:w="80" w:type="dxa"/>
              <w:left w:w="120" w:type="dxa"/>
              <w:bottom w:w="80" w:type="dxa"/>
              <w:right w:w="120" w:type="dxa"/>
            </w:tcMar>
            <w:vAlign w:val="center"/>
          </w:tcPr>
          <w:p>
            <w:pPr>
              <w:jc w:val="center"/>
            </w:pPr>
            <w:r>
              <w:rPr>
                <w:rFonts w:ascii="仿宋_GB2312" w:hAnsi="仿宋_GB2312" w:eastAsia="仿宋_GB2312" w:cs="仿宋_GB2312"/>
                <w:b/>
                <w:bCs/>
                <w:sz w:val="28"/>
                <w:szCs w:val="28"/>
              </w:rPr>
              <w:t>受 托 方 要 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2000" w:type="dxa"/>
            <w:tcBorders>
              <w:top w:val="single" w:color="000000" w:sz="0" w:space="0"/>
              <w:left w:val="single" w:color="000000" w:sz="0" w:space="0"/>
              <w:bottom w:val="single" w:color="000000" w:sz="0" w:space="0"/>
              <w:right w:val="single" w:color="000000" w:sz="0" w:space="0"/>
            </w:tcBorders>
            <w:shd w:val="clear" w:color="auto" w:fill="auto"/>
            <w:tcMar>
              <w:top w:w="60" w:type="dxa"/>
              <w:left w:w="120" w:type="dxa"/>
              <w:bottom w:w="60" w:type="dxa"/>
              <w:right w:w="120" w:type="dxa"/>
            </w:tcMar>
            <w:vAlign w:val="center"/>
          </w:tcPr>
          <w:p>
            <w:pPr>
              <w:jc w:val="center"/>
            </w:pPr>
            <w:r>
              <w:rPr>
                <w:rFonts w:ascii="仿宋_GB2312" w:hAnsi="仿宋_GB2312" w:eastAsia="仿宋_GB2312" w:cs="仿宋_GB2312"/>
                <w:b/>
                <w:bCs/>
                <w:sz w:val="24"/>
                <w:szCs w:val="24"/>
              </w:rPr>
              <w:t>资质要求</w:t>
            </w:r>
          </w:p>
        </w:tc>
        <w:tc>
          <w:tcPr>
            <w:tcW w:w="6844" w:type="dxa"/>
            <w:gridSpan w:val="3"/>
            <w:tcBorders>
              <w:top w:val="single" w:color="000000" w:sz="0" w:space="0"/>
              <w:left w:val="single" w:color="000000" w:sz="0" w:space="0"/>
              <w:bottom w:val="single" w:color="000000" w:sz="0" w:space="0"/>
              <w:right w:val="single" w:color="000000" w:sz="0" w:space="0"/>
            </w:tcBorders>
            <w:shd w:val="clear" w:color="auto" w:fill="auto"/>
            <w:tcMar>
              <w:top w:w="60" w:type="dxa"/>
              <w:left w:w="120" w:type="dxa"/>
              <w:bottom w:w="60" w:type="dxa"/>
              <w:right w:w="120" w:type="dxa"/>
            </w:tcMar>
            <w:vAlign w:val="center"/>
          </w:tcPr>
          <w:p>
            <w:pPr>
              <w:spacing w:after="40" w:line="360" w:lineRule="auto"/>
              <w:jc w:val="left"/>
            </w:pPr>
            <w:r>
              <w:rPr>
                <w:rFonts w:ascii="仿宋_GB2312" w:hAnsi="仿宋_GB2312" w:eastAsia="仿宋_GB2312" w:cs="仿宋_GB2312"/>
                <w:sz w:val="24"/>
                <w:szCs w:val="24"/>
              </w:rPr>
              <w:t>1. 中华人民共和国境内注册的法人，提供合法有效的营业执照和执业证书。</w:t>
            </w:r>
          </w:p>
          <w:p>
            <w:pPr>
              <w:spacing w:after="40" w:line="360" w:lineRule="auto"/>
              <w:jc w:val="left"/>
            </w:pPr>
            <w:r>
              <w:rPr>
                <w:rFonts w:ascii="仿宋_GB2312" w:hAnsi="仿宋_GB2312" w:eastAsia="仿宋_GB2312" w:cs="仿宋_GB2312"/>
                <w:sz w:val="24"/>
                <w:szCs w:val="24"/>
              </w:rPr>
              <w:t>2. 要求会计师事务所同时具备如下条件：</w:t>
            </w:r>
          </w:p>
          <w:p>
            <w:pPr>
              <w:spacing w:after="40" w:line="360" w:lineRule="auto"/>
              <w:jc w:val="left"/>
            </w:pPr>
            <w:r>
              <w:rPr>
                <w:rFonts w:ascii="仿宋_GB2312" w:hAnsi="仿宋_GB2312" w:eastAsia="仿宋_GB2312" w:cs="仿宋_GB2312"/>
                <w:sz w:val="24"/>
                <w:szCs w:val="24"/>
              </w:rPr>
              <w:t>（1）在《承接省级科技计划项目验收审计服务会计师事务所备案名单（第一批）》范围内；</w:t>
            </w:r>
          </w:p>
          <w:p>
            <w:pPr>
              <w:spacing w:after="40" w:line="360" w:lineRule="auto"/>
              <w:jc w:val="left"/>
            </w:pPr>
            <w:r>
              <w:rPr>
                <w:rFonts w:ascii="仿宋_GB2312" w:hAnsi="仿宋_GB2312" w:eastAsia="仿宋_GB2312" w:cs="仿宋_GB2312"/>
                <w:sz w:val="24"/>
                <w:szCs w:val="24"/>
              </w:rPr>
              <w:t>（</w:t>
            </w:r>
            <w:r>
              <w:rPr>
                <w:rFonts w:hint="eastAsia" w:cs="仿宋_GB2312"/>
                <w:sz w:val="24"/>
                <w:szCs w:val="24"/>
                <w:lang w:val="en-US" w:eastAsia="zh-CN"/>
              </w:rPr>
              <w:t>2</w:t>
            </w:r>
            <w:bookmarkStart w:id="0" w:name="_GoBack"/>
            <w:bookmarkEnd w:id="0"/>
            <w:r>
              <w:rPr>
                <w:rFonts w:ascii="仿宋_GB2312" w:hAnsi="仿宋_GB2312" w:eastAsia="仿宋_GB2312" w:cs="仿宋_GB2312"/>
                <w:sz w:val="24"/>
                <w:szCs w:val="24"/>
              </w:rPr>
              <w:t>）在《承接国家重点研发计划结题审计服务会计师事务所备案名单（截至2023年8月10日）》范围内。</w:t>
            </w:r>
          </w:p>
          <w:p>
            <w:pPr>
              <w:spacing w:after="40" w:line="360" w:lineRule="auto"/>
              <w:jc w:val="left"/>
            </w:pPr>
            <w:r>
              <w:rPr>
                <w:rFonts w:ascii="仿宋_GB2312" w:hAnsi="仿宋_GB2312" w:eastAsia="仿宋_GB2312" w:cs="仿宋_GB2312"/>
                <w:sz w:val="24"/>
                <w:szCs w:val="24"/>
              </w:rPr>
              <w:t>3. 在经营活动中无重大违法失信记录，没有被市场监督管理机关在国家企业信用信息公示系统（www.gsxt.gov.cn）中列入严重违法失信企业名单，没有被最高人民法院在“信用中国”网站（www.creditchina.gov.cn）列入失信被执行人名单，应提供上述两个网站的相应截图；在中国南方电网有限责任公司范围内没有处于限制投标资格的处罚期内（提供相关网站截图）。</w:t>
            </w:r>
          </w:p>
          <w:p>
            <w:pPr>
              <w:spacing w:after="40" w:line="360" w:lineRule="auto"/>
              <w:jc w:val="left"/>
            </w:pPr>
            <w:r>
              <w:rPr>
                <w:rFonts w:ascii="仿宋_GB2312" w:hAnsi="仿宋_GB2312" w:eastAsia="仿宋_GB2312" w:cs="仿宋_GB2312"/>
                <w:sz w:val="24"/>
                <w:szCs w:val="24"/>
              </w:rPr>
              <w:t>4. 不接受联合体参与。</w:t>
            </w:r>
          </w:p>
          <w:p>
            <w:pPr>
              <w:spacing w:after="40" w:line="360" w:lineRule="auto"/>
              <w:jc w:val="left"/>
            </w:pPr>
            <w:r>
              <w:rPr>
                <w:rFonts w:ascii="仿宋_GB2312" w:hAnsi="仿宋_GB2312" w:eastAsia="仿宋_GB2312" w:cs="仿宋_GB2312"/>
                <w:sz w:val="24"/>
                <w:szCs w:val="24"/>
              </w:rPr>
              <w:t>5. 需提供加盖公司公章的会计师事务所执业证书。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 w:type="dxa"/>
            <w:bottom w:w="0" w:type="dxa"/>
            <w:right w:w="10" w:type="dxa"/>
          </w:tblCellMar>
        </w:tblPrEx>
        <w:tc>
          <w:tcPr>
            <w:tcW w:w="2000" w:type="dxa"/>
            <w:tcBorders>
              <w:top w:val="single" w:color="000000" w:sz="0" w:space="0"/>
              <w:left w:val="single" w:color="000000" w:sz="0" w:space="0"/>
              <w:bottom w:val="single" w:color="000000" w:sz="0" w:space="0"/>
              <w:right w:val="single" w:color="000000" w:sz="0" w:space="0"/>
            </w:tcBorders>
            <w:shd w:val="clear" w:color="auto" w:fill="auto"/>
            <w:tcMar>
              <w:top w:w="60" w:type="dxa"/>
              <w:left w:w="120" w:type="dxa"/>
              <w:bottom w:w="60" w:type="dxa"/>
              <w:right w:w="120" w:type="dxa"/>
            </w:tcMar>
            <w:vAlign w:val="center"/>
          </w:tcPr>
          <w:p>
            <w:pPr>
              <w:jc w:val="center"/>
            </w:pPr>
            <w:r>
              <w:rPr>
                <w:rFonts w:ascii="仿宋_GB2312" w:hAnsi="仿宋_GB2312" w:eastAsia="仿宋_GB2312" w:cs="仿宋_GB2312"/>
                <w:b/>
                <w:bCs/>
                <w:sz w:val="24"/>
                <w:szCs w:val="24"/>
              </w:rPr>
              <w:t>交付要求</w:t>
            </w:r>
          </w:p>
        </w:tc>
        <w:tc>
          <w:tcPr>
            <w:tcW w:w="6844" w:type="dxa"/>
            <w:gridSpan w:val="3"/>
            <w:tcBorders>
              <w:top w:val="single" w:color="000000" w:sz="0" w:space="0"/>
              <w:left w:val="single" w:color="000000" w:sz="0" w:space="0"/>
              <w:bottom w:val="single" w:color="000000" w:sz="0" w:space="0"/>
              <w:right w:val="single" w:color="000000" w:sz="0" w:space="0"/>
            </w:tcBorders>
            <w:shd w:val="clear" w:color="auto" w:fill="auto"/>
            <w:tcMar>
              <w:top w:w="60" w:type="dxa"/>
              <w:left w:w="120" w:type="dxa"/>
              <w:bottom w:w="60" w:type="dxa"/>
              <w:right w:w="120" w:type="dxa"/>
            </w:tcMar>
            <w:vAlign w:val="center"/>
          </w:tcPr>
          <w:p>
            <w:pPr>
              <w:spacing w:after="40" w:line="360" w:lineRule="auto"/>
              <w:jc w:val="left"/>
            </w:pPr>
            <w:r>
              <w:rPr>
                <w:rFonts w:ascii="仿宋_GB2312" w:hAnsi="仿宋_GB2312" w:eastAsia="仿宋_GB2312" w:cs="仿宋_GB2312"/>
                <w:sz w:val="24"/>
                <w:szCs w:val="24"/>
              </w:rPr>
              <w:t>对本项目自合同签订至竣工验收全周期经费使用情况开展审查，提交加盖公章的《基于人工智能语言模型的软件代码分析、评估与适配技术研究项目第三方经费审查报告》纸质版3份、电子版1份。</w:t>
            </w:r>
            <w:r>
              <w:rPr>
                <w:rFonts w:ascii="仿宋_GB2312" w:hAnsi="仿宋_GB2312" w:eastAsia="仿宋_GB2312" w:cs="仿宋_GB2312"/>
                <w:sz w:val="24"/>
                <w:szCs w:val="24"/>
              </w:rPr>
              <w:br w:type="textWrapping"/>
            </w:r>
            <w:r>
              <w:rPr>
                <w:rFonts w:hint="eastAsia" w:ascii="仿宋_GB2312" w:hAnsi="仿宋_GB2312" w:eastAsia="仿宋_GB2312" w:cs="仿宋_GB2312"/>
                <w:sz w:val="24"/>
                <w:szCs w:val="24"/>
              </w:rPr>
              <w:t>报告内容至少包括：</w:t>
            </w:r>
          </w:p>
          <w:p>
            <w:pPr>
              <w:spacing w:after="40" w:line="360" w:lineRule="auto"/>
              <w:jc w:val="left"/>
            </w:pPr>
            <w:r>
              <w:rPr>
                <w:rFonts w:ascii="仿宋_GB2312" w:hAnsi="仿宋_GB2312" w:eastAsia="仿宋_GB2312" w:cs="仿宋_GB2312"/>
                <w:sz w:val="24"/>
                <w:szCs w:val="24"/>
              </w:rPr>
              <w:t>（1）项目实施单位基本情况；</w:t>
            </w:r>
          </w:p>
          <w:p>
            <w:pPr>
              <w:spacing w:after="40" w:line="360" w:lineRule="auto"/>
              <w:jc w:val="left"/>
            </w:pPr>
            <w:r>
              <w:rPr>
                <w:rFonts w:ascii="仿宋_GB2312" w:hAnsi="仿宋_GB2312" w:eastAsia="仿宋_GB2312" w:cs="仿宋_GB2312"/>
                <w:sz w:val="24"/>
                <w:szCs w:val="24"/>
              </w:rPr>
              <w:t>（2）项目立项基本情况，包括项目基本情况、主要研究内容等；</w:t>
            </w:r>
          </w:p>
          <w:p>
            <w:pPr>
              <w:spacing w:after="40" w:line="360" w:lineRule="auto"/>
              <w:jc w:val="left"/>
            </w:pPr>
            <w:r>
              <w:rPr>
                <w:rFonts w:ascii="仿宋_GB2312" w:hAnsi="仿宋_GB2312" w:eastAsia="仿宋_GB2312" w:cs="仿宋_GB2312"/>
                <w:sz w:val="24"/>
                <w:szCs w:val="24"/>
              </w:rPr>
              <w:t>（3）内部控制制度建设及执行情况；</w:t>
            </w:r>
          </w:p>
          <w:p>
            <w:pPr>
              <w:spacing w:after="40" w:line="360" w:lineRule="auto"/>
              <w:jc w:val="left"/>
            </w:pPr>
            <w:r>
              <w:rPr>
                <w:rFonts w:ascii="仿宋_GB2312" w:hAnsi="仿宋_GB2312" w:eastAsia="仿宋_GB2312" w:cs="仿宋_GB2312"/>
                <w:sz w:val="24"/>
                <w:szCs w:val="24"/>
              </w:rPr>
              <w:t>（4）项目经费会计核算情况；</w:t>
            </w:r>
          </w:p>
          <w:p>
            <w:pPr>
              <w:spacing w:after="40" w:line="360" w:lineRule="auto"/>
              <w:jc w:val="left"/>
            </w:pPr>
            <w:r>
              <w:rPr>
                <w:rFonts w:ascii="仿宋_GB2312" w:hAnsi="仿宋_GB2312" w:eastAsia="仿宋_GB2312" w:cs="仿宋_GB2312"/>
                <w:sz w:val="24"/>
                <w:szCs w:val="24"/>
              </w:rPr>
              <w:t>（5）项目经费使用情况，包括项目预算及经费执行情况、固定资产购置及使用情况、合同履行情况等；</w:t>
            </w:r>
          </w:p>
          <w:p>
            <w:pPr>
              <w:spacing w:after="40" w:line="360" w:lineRule="auto"/>
              <w:jc w:val="left"/>
            </w:pPr>
            <w:r>
              <w:rPr>
                <w:rFonts w:ascii="仿宋_GB2312" w:hAnsi="仿宋_GB2312" w:eastAsia="仿宋_GB2312" w:cs="仿宋_GB2312"/>
                <w:sz w:val="24"/>
                <w:szCs w:val="24"/>
              </w:rPr>
              <w:t>（6）经费使用存在的问题和整改建议。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 w:type="dxa"/>
            <w:bottom w:w="0" w:type="dxa"/>
            <w:right w:w="10" w:type="dxa"/>
          </w:tblCellMar>
        </w:tblPrEx>
        <w:tc>
          <w:tcPr>
            <w:tcW w:w="2000" w:type="dxa"/>
            <w:tcBorders>
              <w:top w:val="single" w:color="000000" w:sz="0" w:space="0"/>
              <w:left w:val="single" w:color="000000" w:sz="0" w:space="0"/>
              <w:bottom w:val="single" w:color="000000" w:sz="0" w:space="0"/>
              <w:right w:val="single" w:color="000000" w:sz="0" w:space="0"/>
            </w:tcBorders>
            <w:shd w:val="clear" w:color="auto" w:fill="auto"/>
            <w:tcMar>
              <w:top w:w="60" w:type="dxa"/>
              <w:left w:w="120" w:type="dxa"/>
              <w:bottom w:w="60" w:type="dxa"/>
              <w:right w:w="120" w:type="dxa"/>
            </w:tcMar>
            <w:vAlign w:val="center"/>
          </w:tcPr>
          <w:p>
            <w:pPr>
              <w:jc w:val="center"/>
            </w:pPr>
            <w:r>
              <w:rPr>
                <w:rFonts w:ascii="仿宋_GB2312" w:hAnsi="仿宋_GB2312" w:eastAsia="仿宋_GB2312" w:cs="仿宋_GB2312"/>
                <w:b/>
                <w:bCs/>
                <w:sz w:val="24"/>
                <w:szCs w:val="24"/>
              </w:rPr>
              <w:t>进度要求</w:t>
            </w:r>
          </w:p>
        </w:tc>
        <w:tc>
          <w:tcPr>
            <w:tcW w:w="6844" w:type="dxa"/>
            <w:gridSpan w:val="3"/>
            <w:tcBorders>
              <w:top w:val="single" w:color="000000" w:sz="0" w:space="0"/>
              <w:left w:val="single" w:color="000000" w:sz="0" w:space="0"/>
              <w:bottom w:val="single" w:color="000000" w:sz="0" w:space="0"/>
              <w:right w:val="single" w:color="000000" w:sz="0" w:space="0"/>
            </w:tcBorders>
            <w:shd w:val="clear" w:color="auto" w:fill="auto"/>
            <w:tcMar>
              <w:top w:w="60" w:type="dxa"/>
              <w:left w:w="120" w:type="dxa"/>
              <w:bottom w:w="60" w:type="dxa"/>
              <w:right w:w="120" w:type="dxa"/>
            </w:tcMar>
            <w:vAlign w:val="center"/>
          </w:tcPr>
          <w:p>
            <w:pPr>
              <w:spacing w:after="40" w:line="360" w:lineRule="auto"/>
              <w:jc w:val="left"/>
              <w:rPr>
                <w:rFonts w:hint="eastAsia"/>
              </w:rPr>
            </w:pPr>
            <w:r>
              <w:rPr>
                <w:rFonts w:hint="eastAsia"/>
              </w:rPr>
              <w:t>2026年11月30日前提交审查报告初稿；</w:t>
            </w:r>
          </w:p>
          <w:p>
            <w:pPr>
              <w:spacing w:after="40" w:line="360" w:lineRule="auto"/>
              <w:jc w:val="left"/>
              <w:rPr>
                <w:rFonts w:hint="eastAsia"/>
              </w:rPr>
            </w:pPr>
            <w:r>
              <w:rPr>
                <w:rFonts w:hint="eastAsia"/>
              </w:rPr>
              <w:t>2026年12月15日前提交正式审查报告纸质版3份及电子版1份；</w:t>
            </w:r>
          </w:p>
          <w:p>
            <w:pPr>
              <w:spacing w:after="40" w:line="360" w:lineRule="auto"/>
              <w:jc w:val="left"/>
            </w:pPr>
            <w:r>
              <w:rPr>
                <w:rFonts w:hint="eastAsia"/>
              </w:rPr>
              <w:t>具体以项目验收计划为准，如调整须经双方确认。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 w:type="dxa"/>
            <w:bottom w:w="0" w:type="dxa"/>
            <w:right w:w="10" w:type="dxa"/>
          </w:tblCellMar>
        </w:tblPrEx>
        <w:tc>
          <w:tcPr>
            <w:tcW w:w="2000" w:type="dxa"/>
            <w:tcBorders>
              <w:top w:val="single" w:color="000000" w:sz="0" w:space="0"/>
              <w:left w:val="single" w:color="000000" w:sz="0" w:space="0"/>
              <w:bottom w:val="single" w:color="000000" w:sz="0" w:space="0"/>
              <w:right w:val="single" w:color="000000" w:sz="0" w:space="0"/>
            </w:tcBorders>
            <w:shd w:val="clear" w:color="auto" w:fill="auto"/>
            <w:tcMar>
              <w:top w:w="60" w:type="dxa"/>
              <w:left w:w="120" w:type="dxa"/>
              <w:bottom w:w="60" w:type="dxa"/>
              <w:right w:w="120" w:type="dxa"/>
            </w:tcMar>
            <w:vAlign w:val="center"/>
          </w:tcPr>
          <w:p>
            <w:pPr>
              <w:jc w:val="center"/>
            </w:pPr>
            <w:r>
              <w:rPr>
                <w:rFonts w:ascii="仿宋_GB2312" w:hAnsi="仿宋_GB2312" w:eastAsia="仿宋_GB2312" w:cs="仿宋_GB2312"/>
                <w:b/>
                <w:bCs/>
                <w:sz w:val="24"/>
                <w:szCs w:val="24"/>
              </w:rPr>
              <w:t>信息保密要求</w:t>
            </w:r>
          </w:p>
        </w:tc>
        <w:tc>
          <w:tcPr>
            <w:tcW w:w="6844" w:type="dxa"/>
            <w:gridSpan w:val="3"/>
            <w:tcBorders>
              <w:top w:val="single" w:color="000000" w:sz="0" w:space="0"/>
              <w:left w:val="single" w:color="000000" w:sz="0" w:space="0"/>
              <w:bottom w:val="single" w:color="000000" w:sz="0" w:space="0"/>
              <w:right w:val="single" w:color="000000" w:sz="0" w:space="0"/>
            </w:tcBorders>
            <w:shd w:val="clear" w:color="auto" w:fill="auto"/>
            <w:tcMar>
              <w:top w:w="60" w:type="dxa"/>
              <w:left w:w="120" w:type="dxa"/>
              <w:bottom w:w="60" w:type="dxa"/>
              <w:right w:w="120" w:type="dxa"/>
            </w:tcMar>
            <w:vAlign w:val="center"/>
          </w:tcPr>
          <w:p>
            <w:pPr>
              <w:spacing w:after="40" w:line="360" w:lineRule="auto"/>
              <w:jc w:val="left"/>
            </w:pPr>
            <w:r>
              <w:rPr>
                <w:rFonts w:ascii="仿宋_GB2312" w:hAnsi="仿宋_GB2312" w:eastAsia="仿宋_GB2312" w:cs="仿宋_GB2312"/>
                <w:sz w:val="24"/>
                <w:szCs w:val="24"/>
              </w:rPr>
              <w:t>受托方需严格遵守委托方有关信息安全的相关要求，需积极采取相关措施防止保密信息的复制、泄漏或遗失。</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 w:type="dxa"/>
            <w:bottom w:w="0" w:type="dxa"/>
            <w:right w:w="10" w:type="dxa"/>
          </w:tblCellMar>
        </w:tblPrEx>
        <w:tc>
          <w:tcPr>
            <w:tcW w:w="2000" w:type="dxa"/>
            <w:tcBorders>
              <w:top w:val="single" w:color="000000" w:sz="0" w:space="0"/>
              <w:left w:val="single" w:color="000000" w:sz="0" w:space="0"/>
              <w:bottom w:val="single" w:color="000000" w:sz="0" w:space="0"/>
              <w:right w:val="single" w:color="000000" w:sz="0" w:space="0"/>
            </w:tcBorders>
            <w:shd w:val="clear" w:color="auto" w:fill="auto"/>
            <w:tcMar>
              <w:top w:w="60" w:type="dxa"/>
              <w:left w:w="120" w:type="dxa"/>
              <w:bottom w:w="60" w:type="dxa"/>
              <w:right w:w="120" w:type="dxa"/>
            </w:tcMar>
            <w:vAlign w:val="center"/>
          </w:tcPr>
          <w:p>
            <w:pPr>
              <w:jc w:val="center"/>
            </w:pPr>
            <w:r>
              <w:rPr>
                <w:rFonts w:ascii="仿宋_GB2312" w:hAnsi="仿宋_GB2312" w:eastAsia="仿宋_GB2312" w:cs="仿宋_GB2312"/>
                <w:b/>
                <w:bCs/>
                <w:sz w:val="24"/>
                <w:szCs w:val="24"/>
              </w:rPr>
              <w:t>其他要求</w:t>
            </w:r>
          </w:p>
        </w:tc>
        <w:tc>
          <w:tcPr>
            <w:tcW w:w="6844" w:type="dxa"/>
            <w:gridSpan w:val="3"/>
            <w:tcBorders>
              <w:top w:val="single" w:color="000000" w:sz="0" w:space="0"/>
              <w:left w:val="single" w:color="000000" w:sz="0" w:space="0"/>
              <w:bottom w:val="single" w:color="000000" w:sz="0" w:space="0"/>
              <w:right w:val="single" w:color="000000" w:sz="0" w:space="0"/>
            </w:tcBorders>
            <w:shd w:val="clear" w:color="auto" w:fill="auto"/>
            <w:tcMar>
              <w:top w:w="60" w:type="dxa"/>
              <w:left w:w="120" w:type="dxa"/>
              <w:bottom w:w="60" w:type="dxa"/>
              <w:right w:w="120" w:type="dxa"/>
            </w:tcMar>
            <w:vAlign w:val="center"/>
          </w:tcPr>
          <w:p>
            <w:pPr>
              <w:spacing w:after="40" w:line="360" w:lineRule="auto"/>
              <w:jc w:val="left"/>
            </w:pPr>
            <w:r>
              <w:rPr>
                <w:rFonts w:ascii="仿宋_GB2312" w:hAnsi="仿宋_GB2312" w:eastAsia="仿宋_GB2312" w:cs="仿宋_GB2312"/>
                <w:sz w:val="24"/>
                <w:szCs w:val="24"/>
              </w:rPr>
              <w:t>如在项目实施过程中需要调整内容、进度等，需经委托方与受托方双方共同确认，按合同变更程序办理。</w:t>
            </w:r>
          </w:p>
        </w:tc>
      </w:tr>
    </w:tbl>
    <w:p>
      <w:pPr>
        <w:spacing w:before="300" w:after="100"/>
      </w:pPr>
      <w:r>
        <w:rPr>
          <w:rFonts w:ascii="仿宋_GB2312" w:hAnsi="仿宋_GB2312" w:eastAsia="仿宋_GB2312" w:cs="仿宋_GB2312"/>
          <w:i/>
          <w:iCs/>
          <w:sz w:val="21"/>
          <w:szCs w:val="21"/>
        </w:rPr>
        <w:t>说明：本委托单为技术服务合同附件，一式叁份，甲方执贰份，乙方执壹份，具有同等法律效力。</w:t>
      </w:r>
    </w:p>
    <w:sectPr>
      <w:pgSz w:w="11906" w:h="16838"/>
      <w:pgMar w:top="2098" w:right="1474" w:bottom="1985" w:left="1588" w:header="708" w:footer="708"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DejaVu Sans"/>
    <w:panose1 w:val="02020603050405020304"/>
    <w:charset w:val="86"/>
    <w:family w:val="auto"/>
    <w:pitch w:val="default"/>
    <w:sig w:usb0="00000000" w:usb1="00000000" w:usb2="00000009" w:usb3="00000000" w:csb0="400001FF" w:csb1="FFFF0000"/>
  </w:font>
  <w:font w:name="宋体">
    <w:altName w:val="方正书宋_GBK"/>
    <w:panose1 w:val="02010600030101010101"/>
    <w:charset w:val="7A"/>
    <w:family w:val="auto"/>
    <w:pitch w:val="default"/>
    <w:sig w:usb0="00000000" w:usb1="0000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仿宋_GB2312">
    <w:panose1 w:val="02010609030101010101"/>
    <w:charset w:val="86"/>
    <w:family w:val="auto"/>
    <w:pitch w:val="default"/>
    <w:sig w:usb0="00000001" w:usb1="080E0000" w:usb2="00000000" w:usb3="00000000" w:csb0="00040000" w:csb1="00000000"/>
  </w:font>
  <w:font w:name="方正黑体_GBK">
    <w:panose1 w:val="02000000000000000000"/>
    <w:charset w:val="86"/>
    <w:family w:val="auto"/>
    <w:pitch w:val="default"/>
    <w:sig w:usb0="00000001" w:usb1="08000000" w:usb2="00000000" w:usb3="00000000" w:csb0="00040000" w:csb1="00000000"/>
  </w:font>
  <w:font w:name="Segoe UI">
    <w:altName w:val="Noto Naskh Arabic"/>
    <w:panose1 w:val="020B0502040204020203"/>
    <w:charset w:val="00"/>
    <w:family w:val="auto"/>
    <w:pitch w:val="default"/>
    <w:sig w:usb0="00000000" w:usb1="00000000" w:usb2="00000009" w:usb3="00000000" w:csb0="200001FF" w:csb1="00000000"/>
  </w:font>
  <w:font w:name="Noto Naskh Arabic">
    <w:panose1 w:val="020B0502040504020204"/>
    <w:charset w:val="00"/>
    <w:family w:val="auto"/>
    <w:pitch w:val="default"/>
    <w:sig w:usb0="80002003" w:usb1="80002000" w:usb2="00000008" w:usb3="00000000" w:csb0="00000041" w:csb1="00080000"/>
  </w:font>
  <w:font w:name="方正仿宋_GBK">
    <w:panose1 w:val="02000000000000000000"/>
    <w:charset w:val="86"/>
    <w:family w:val="auto"/>
    <w:pitch w:val="default"/>
    <w:sig w:usb0="00000001" w:usb1="08000000" w:usb2="00000000" w:usb3="00000000" w:csb0="00040000" w:csb1="00000000"/>
  </w:font>
  <w:font w:name="微软雅黑">
    <w:altName w:val="方正黑体_GBK"/>
    <w:panose1 w:val="00000000000000000000"/>
    <w:charset w:val="00"/>
    <w:family w:val="auto"/>
    <w:pitch w:val="default"/>
    <w:sig w:usb0="00000000" w:usb1="00000000" w:usb2="00000000" w:usb3="00000000" w:csb0="00000000" w:csb1="00000000"/>
  </w:font>
  <w:font w:name="Tahoma">
    <w:altName w:val="DejaVu Sans"/>
    <w:panose1 w:val="00000000000000000000"/>
    <w:charset w:val="00"/>
    <w:family w:val="auto"/>
    <w:pitch w:val="default"/>
    <w:sig w:usb0="00000000" w:usb1="00000000" w:usb2="00000000" w:usb3="00000000" w:csb0="0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displayBackgroundShape w:val="1"/>
  <w:bordersDoNotSurroundHeader w:val="0"/>
  <w:bordersDoNotSurroundFooter w:val="0"/>
  <w:documentProtection w:enforcement="0"/>
  <w:displayHorizontalDrawingGridEvery w:val="1"/>
  <w:displayVerticalDrawingGridEvery w:val="1"/>
  <w:noPunctuationKerning w:val="1"/>
  <w:compat>
    <w:doNotExpandShiftReturn/>
    <w:doNotWrapTextWithPunct/>
    <w:doNotUseEastAsianBreakRules/>
    <w:useFELayout/>
    <w:compatSetting w:name="compatibilityMode" w:uri="http://schemas.microsoft.com/office/word" w:val="15"/>
  </w:compat>
  <w:rsids>
    <w:rsidRoot w:val="00000000"/>
    <w:rsid w:val="17CD5B0E"/>
    <w:rsid w:val="214851A7"/>
    <w:rsid w:val="34254E5C"/>
    <w:rsid w:val="34A00986"/>
    <w:rsid w:val="5A702CD0"/>
    <w:rsid w:val="79FEC37A"/>
    <w:rsid w:val="7DD61161"/>
    <w:rsid w:val="7DE2658B"/>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qFormat="1" w:uiPriority="99"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qFormat="1" w:uiPriority="99" w:name="footnote reference"/>
    <w:lsdException w:unhideWhenUsed="0" w:uiPriority="0" w:semiHidden="0" w:name="annotation reference"/>
    <w:lsdException w:unhideWhenUsed="0" w:uiPriority="0" w:semiHidden="0" w:name="line number"/>
    <w:lsdException w:unhideWhenUsed="0" w:uiPriority="0" w:semiHidden="0" w:name="page number"/>
    <w:lsdException w:qFormat="1" w:uiPriority="99" w:name="endnote reference"/>
    <w:lsdException w:qFormat="1" w:uiPriority="99"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仿宋_GB2312" w:hAnsi="仿宋_GB2312" w:eastAsia="仿宋_GB2312" w:cs="仿宋_GB2312"/>
      <w:sz w:val="24"/>
      <w:szCs w:val="24"/>
    </w:rPr>
  </w:style>
  <w:style w:type="paragraph" w:styleId="2">
    <w:name w:val="heading 1"/>
    <w:next w:val="1"/>
    <w:qFormat/>
    <w:uiPriority w:val="0"/>
    <w:rPr>
      <w:rFonts w:ascii="仿宋_GB2312" w:hAnsi="仿宋_GB2312" w:eastAsia="仿宋_GB2312" w:cs="仿宋_GB2312"/>
      <w:color w:val="2E74B5"/>
      <w:sz w:val="32"/>
      <w:szCs w:val="32"/>
    </w:rPr>
  </w:style>
  <w:style w:type="paragraph" w:styleId="3">
    <w:name w:val="heading 2"/>
    <w:next w:val="1"/>
    <w:qFormat/>
    <w:uiPriority w:val="0"/>
    <w:rPr>
      <w:rFonts w:ascii="仿宋_GB2312" w:hAnsi="仿宋_GB2312" w:eastAsia="仿宋_GB2312" w:cs="仿宋_GB2312"/>
      <w:color w:val="2E74B5"/>
      <w:sz w:val="26"/>
      <w:szCs w:val="26"/>
    </w:rPr>
  </w:style>
  <w:style w:type="paragraph" w:styleId="4">
    <w:name w:val="heading 3"/>
    <w:next w:val="1"/>
    <w:qFormat/>
    <w:uiPriority w:val="0"/>
    <w:rPr>
      <w:rFonts w:ascii="仿宋_GB2312" w:hAnsi="仿宋_GB2312" w:eastAsia="仿宋_GB2312" w:cs="仿宋_GB2312"/>
      <w:color w:val="1F4D78"/>
      <w:sz w:val="24"/>
      <w:szCs w:val="24"/>
    </w:rPr>
  </w:style>
  <w:style w:type="paragraph" w:styleId="5">
    <w:name w:val="heading 4"/>
    <w:next w:val="1"/>
    <w:qFormat/>
    <w:uiPriority w:val="0"/>
    <w:rPr>
      <w:rFonts w:ascii="仿宋_GB2312" w:hAnsi="仿宋_GB2312" w:eastAsia="仿宋_GB2312" w:cs="仿宋_GB2312"/>
      <w:i/>
      <w:iCs/>
      <w:color w:val="2E74B5"/>
      <w:sz w:val="24"/>
      <w:szCs w:val="24"/>
    </w:rPr>
  </w:style>
  <w:style w:type="paragraph" w:styleId="6">
    <w:name w:val="heading 5"/>
    <w:next w:val="1"/>
    <w:qFormat/>
    <w:uiPriority w:val="0"/>
    <w:rPr>
      <w:rFonts w:ascii="仿宋_GB2312" w:hAnsi="仿宋_GB2312" w:eastAsia="仿宋_GB2312" w:cs="仿宋_GB2312"/>
      <w:color w:val="2E74B5"/>
      <w:sz w:val="24"/>
      <w:szCs w:val="24"/>
    </w:rPr>
  </w:style>
  <w:style w:type="paragraph" w:styleId="7">
    <w:name w:val="heading 6"/>
    <w:next w:val="1"/>
    <w:qFormat/>
    <w:uiPriority w:val="0"/>
    <w:rPr>
      <w:rFonts w:ascii="仿宋_GB2312" w:hAnsi="仿宋_GB2312" w:eastAsia="仿宋_GB2312" w:cs="仿宋_GB2312"/>
      <w:color w:val="1F4D78"/>
      <w:sz w:val="24"/>
      <w:szCs w:val="24"/>
    </w:rPr>
  </w:style>
  <w:style w:type="character" w:default="1" w:styleId="12">
    <w:name w:val="Default Paragraph Font"/>
    <w:semiHidden/>
    <w:qFormat/>
    <w:uiPriority w:val="0"/>
  </w:style>
  <w:style w:type="table" w:default="1" w:styleId="11">
    <w:name w:val="Normal Table"/>
    <w:semiHidden/>
    <w:qFormat/>
    <w:uiPriority w:val="0"/>
    <w:tblPr>
      <w:tblCellMar>
        <w:top w:w="0" w:type="dxa"/>
        <w:left w:w="108" w:type="dxa"/>
        <w:bottom w:w="0" w:type="dxa"/>
        <w:right w:w="108" w:type="dxa"/>
      </w:tblCellMar>
    </w:tblPr>
  </w:style>
  <w:style w:type="paragraph" w:styleId="8">
    <w:name w:val="endnote text"/>
    <w:link w:val="18"/>
    <w:semiHidden/>
    <w:unhideWhenUsed/>
    <w:qFormat/>
    <w:uiPriority w:val="99"/>
    <w:pPr>
      <w:spacing w:after="0" w:line="240" w:lineRule="auto"/>
    </w:pPr>
    <w:rPr>
      <w:rFonts w:ascii="仿宋_GB2312" w:hAnsi="仿宋_GB2312" w:eastAsia="仿宋_GB2312" w:cs="仿宋_GB2312"/>
      <w:sz w:val="20"/>
      <w:szCs w:val="20"/>
    </w:rPr>
  </w:style>
  <w:style w:type="paragraph" w:styleId="9">
    <w:name w:val="footnote text"/>
    <w:link w:val="17"/>
    <w:semiHidden/>
    <w:unhideWhenUsed/>
    <w:qFormat/>
    <w:uiPriority w:val="99"/>
    <w:pPr>
      <w:spacing w:after="0" w:line="240" w:lineRule="auto"/>
    </w:pPr>
    <w:rPr>
      <w:rFonts w:ascii="仿宋_GB2312" w:hAnsi="仿宋_GB2312" w:eastAsia="仿宋_GB2312" w:cs="仿宋_GB2312"/>
      <w:sz w:val="20"/>
      <w:szCs w:val="20"/>
    </w:rPr>
  </w:style>
  <w:style w:type="paragraph" w:styleId="10">
    <w:name w:val="Title"/>
    <w:qFormat/>
    <w:uiPriority w:val="0"/>
    <w:rPr>
      <w:rFonts w:ascii="仿宋_GB2312" w:hAnsi="仿宋_GB2312" w:eastAsia="仿宋_GB2312" w:cs="仿宋_GB2312"/>
      <w:sz w:val="56"/>
      <w:szCs w:val="56"/>
    </w:rPr>
  </w:style>
  <w:style w:type="character" w:styleId="13">
    <w:name w:val="endnote reference"/>
    <w:semiHidden/>
    <w:unhideWhenUsed/>
    <w:qFormat/>
    <w:uiPriority w:val="99"/>
    <w:rPr>
      <w:vertAlign w:val="superscript"/>
    </w:rPr>
  </w:style>
  <w:style w:type="character" w:styleId="14">
    <w:name w:val="Hyperlink"/>
    <w:unhideWhenUsed/>
    <w:qFormat/>
    <w:uiPriority w:val="99"/>
    <w:rPr>
      <w:color w:val="0563C1"/>
      <w:u w:val="single"/>
    </w:rPr>
  </w:style>
  <w:style w:type="character" w:styleId="15">
    <w:name w:val="footnote reference"/>
    <w:semiHidden/>
    <w:unhideWhenUsed/>
    <w:qFormat/>
    <w:uiPriority w:val="99"/>
    <w:rPr>
      <w:vertAlign w:val="superscript"/>
    </w:rPr>
  </w:style>
  <w:style w:type="paragraph" w:styleId="16">
    <w:name w:val="List Paragraph"/>
    <w:qFormat/>
    <w:uiPriority w:val="0"/>
    <w:rPr>
      <w:rFonts w:ascii="仿宋_GB2312" w:hAnsi="仿宋_GB2312" w:eastAsia="仿宋_GB2312" w:cs="仿宋_GB2312"/>
      <w:sz w:val="24"/>
      <w:szCs w:val="24"/>
    </w:rPr>
  </w:style>
  <w:style w:type="character" w:customStyle="1" w:styleId="17">
    <w:name w:val="Footnote Text Char"/>
    <w:link w:val="9"/>
    <w:semiHidden/>
    <w:unhideWhenUsed/>
    <w:qFormat/>
    <w:uiPriority w:val="99"/>
    <w:rPr>
      <w:sz w:val="20"/>
      <w:szCs w:val="20"/>
    </w:rPr>
  </w:style>
  <w:style w:type="character" w:customStyle="1" w:styleId="18">
    <w:name w:val="Endnote Text Char"/>
    <w:link w:val="8"/>
    <w:semiHidden/>
    <w:unhideWhenUsed/>
    <w:qFormat/>
    <w:uiPriority w:val="99"/>
    <w:rPr>
      <w:sz w:val="20"/>
      <w:szCs w:val="20"/>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ntractReview xmlns="http://schemas.wps.cn/vas-ai-hub/contract-review">
  <reviewItems xmlns="http://schemas.wps.cn/vas-ai-hub/contract-review">
    <reviewItem xmlns="http://schemas.wps.cn/vas-ai-hub/contract-review">
      <errorID xmlns="http://schemas.wps.cn/vas-ai-hub/contract-review">dafef340-1d32-448a-a3f7-df99749ec225</errorID>
      <errorWord xmlns="http://schemas.wps.cn/vas-ai-hub/contract-review">叁份，甲方执贰份</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三份，甲方执两份</item>
      </candidateList>
      <explain xmlns="http://schemas.wps.cn/vas-ai-hub/contract-review"/>
      <paraID xmlns="http://schemas.wps.cn/vas-ai-hub/contract-review"> B6E196C</paraID>
      <start xmlns="http://schemas.wps.cn/vas-ai-hub/contract-review">19</start>
      <end xmlns="http://schemas.wps.cn/vas-ai-hub/contract-review">27</end>
      <status xmlns="http://schemas.wps.cn/vas-ai-hub/contract-review">ignored</status>
      <modifiedWord xmlns="http://schemas.wps.cn/vas-ai-hub/contract-review"/>
      <trackRevisions xmlns="http://schemas.wps.cn/vas-ai-hub/contract-review">false</trackRevisions>
    </reviewItem>
  </reviewItems>
  <config xmlns="http://schemas.wps.cn/vas-ai-hub/contract-review"/>
</contractReview>
</file>

<file path=customXml/itemProps1.xml><?xml version="1.0" encoding="utf-8"?>
<ds:datastoreItem xmlns:ds="http://schemas.openxmlformats.org/officeDocument/2006/customXml" ds:itemID="{88d729e2-622e-41b6-9761-b5cced2447b5}">
  <ds:schemaRefs/>
</ds:datastoreItem>
</file>

<file path=docProps/app.xml><?xml version="1.0" encoding="utf-8"?>
<Properties xmlns="http://schemas.openxmlformats.org/officeDocument/2006/extended-properties" xmlns:vt="http://schemas.openxmlformats.org/officeDocument/2006/docPropsVTypes">
  <Pages>3</Pages>
  <Words>1154</Words>
  <Characters>1221</Characters>
  <TotalTime>24</TotalTime>
  <ScaleCrop>false</ScaleCrop>
  <LinksUpToDate>false</LinksUpToDate>
  <CharactersWithSpaces>1230</CharactersWithSpaces>
  <Application>WPS Office_11.8.2.12313_F1E327BC-269C-435d-A152-05C5408002CA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2026-07-02T03:44:00Z</dcterms:created>
  <dc:creator>Un-named</dc:creator>
  <cp:lastModifiedBy>wx-yangguoming</cp:lastModifiedBy>
  <dcterms:modified xsi:type="dcterms:W3CDTF">2026-10-22T17:09:43Z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eyJoZGlkIjoiZmJkMmI0YmI0M2ZhMmZiMjkyM2ZkOWYwMDljYTdkNDUiLCJ1c2VySWQiOiI3Nzg0NDk4OTEifQ==</vt:lpwstr>
  </property>
  <property fmtid="{D5CDD505-2E9C-101B-9397-08002B2CF9AE}" pid="3" name="KSOProductBuildVer">
    <vt:lpwstr>2052-11.8.2.12313</vt:lpwstr>
  </property>
  <property fmtid="{D5CDD505-2E9C-101B-9397-08002B2CF9AE}" pid="4" name="ICV">
    <vt:lpwstr>95E24BD358E4518FD7D2D96AB834023B</vt:lpwstr>
  </property>
</Properties>
</file>