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spacing w:before="0" w:after="160" w:line="440" w:lineRule="exact"/>
        <w:jc w:val="center"/>
      </w:pPr>
      <w:r>
        <w:rPr>
          <w:rFonts w:hint="eastAsia" w:ascii="Times New Roman" w:hAnsi="Times New Roman" w:eastAsia="宋体"/>
          <w:b/>
          <w:color w:val="000000"/>
          <w:sz w:val="32"/>
        </w:rPr>
        <w:t>《移动立杆“哨兵”监测装置》职工创新项目</w:t>
      </w:r>
      <w:r>
        <w:rPr>
          <w:rFonts w:ascii="Times New Roman" w:hAnsi="Times New Roman" w:eastAsia="宋体"/>
          <w:b/>
          <w:color w:val="000000"/>
          <w:sz w:val="32"/>
        </w:rPr>
        <w:t>材料费</w:t>
      </w:r>
      <w:r>
        <w:rPr>
          <w:rFonts w:ascii="Times New Roman" w:hAnsi="Times New Roman" w:eastAsia="宋体"/>
          <w:b/>
          <w:color w:val="000000"/>
          <w:sz w:val="32"/>
        </w:rPr>
        <w:br w:type="textWrapping"/>
      </w:r>
      <w:r>
        <w:rPr>
          <w:rFonts w:ascii="Times New Roman" w:hAnsi="Times New Roman" w:eastAsia="宋体"/>
          <w:b/>
          <w:color w:val="000000"/>
          <w:sz w:val="32"/>
        </w:rPr>
        <w:t>技术特性响应情况表（报价方填写）</w:t>
      </w:r>
    </w:p>
    <w:p>
      <w:pPr>
        <w:keepNext/>
        <w:spacing w:after="160" w:line="270" w:lineRule="exact"/>
      </w:pPr>
      <w:r>
        <w:rPr>
          <w:rFonts w:ascii="Times New Roman" w:hAnsi="Times New Roman" w:eastAsia="宋体"/>
          <w:b/>
          <w:color w:val="000000"/>
          <w:sz w:val="21"/>
        </w:rPr>
        <w:t>备注：若所提供的报告或证书等证明文件中的委托方或制造方而非报价方的，必须提供委托方或制造方出具的授权报价方报价的、或证明报价方是代理商的授权书，否则将被视为无效处理。</w:t>
      </w:r>
    </w:p>
    <w:tbl>
      <w:tblPr>
        <w:tblStyle w:val="36"/>
        <w:tblW w:w="15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75" w:type="dxa"/>
          <w:left w:w="90" w:type="dxa"/>
          <w:bottom w:w="75" w:type="dxa"/>
          <w:right w:w="90" w:type="dxa"/>
        </w:tblCellMar>
      </w:tblPr>
      <w:tblGrid>
        <w:gridCol w:w="454"/>
        <w:gridCol w:w="1020"/>
        <w:gridCol w:w="2268"/>
        <w:gridCol w:w="4819"/>
        <w:gridCol w:w="2268"/>
        <w:gridCol w:w="1984"/>
        <w:gridCol w:w="22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tblHeader/>
          <w:jc w:val="center"/>
        </w:trPr>
        <w:tc>
          <w:tcPr>
            <w:tcW w:w="454" w:type="dxa"/>
            <w:vAlign w:val="center"/>
          </w:tcPr>
          <w:p>
            <w:pPr>
              <w:keepNext w:val="0"/>
              <w:widowControl w:val="0"/>
              <w:spacing w:before="0" w:after="0" w:line="270" w:lineRule="exact"/>
              <w:jc w:val="center"/>
            </w:pPr>
            <w:r>
              <w:rPr>
                <w:rFonts w:ascii="Times New Roman" w:hAnsi="Times New Roman" w:eastAsia="宋体"/>
                <w:b/>
                <w:color w:val="000000"/>
                <w:sz w:val="21"/>
              </w:rPr>
              <w:t>序号</w:t>
            </w:r>
          </w:p>
        </w:tc>
        <w:tc>
          <w:tcPr>
            <w:tcW w:w="1020" w:type="dxa"/>
            <w:vAlign w:val="center"/>
          </w:tcPr>
          <w:p>
            <w:pPr>
              <w:keepNext w:val="0"/>
              <w:widowControl w:val="0"/>
              <w:spacing w:before="0" w:after="0" w:line="270" w:lineRule="exact"/>
              <w:jc w:val="center"/>
            </w:pPr>
            <w:r>
              <w:rPr>
                <w:rFonts w:ascii="Times New Roman" w:hAnsi="Times New Roman" w:eastAsia="宋体"/>
                <w:b/>
                <w:color w:val="000000"/>
                <w:sz w:val="21"/>
              </w:rPr>
              <w:t>是否作为关键参数一票否决项</w:t>
            </w:r>
          </w:p>
        </w:tc>
        <w:tc>
          <w:tcPr>
            <w:tcW w:w="2268" w:type="dxa"/>
            <w:vAlign w:val="center"/>
          </w:tcPr>
          <w:p>
            <w:pPr>
              <w:keepNext w:val="0"/>
              <w:widowControl w:val="0"/>
              <w:spacing w:before="0" w:after="0" w:line="270" w:lineRule="exact"/>
              <w:jc w:val="center"/>
            </w:pPr>
            <w:r>
              <w:rPr>
                <w:rFonts w:ascii="Times New Roman" w:hAnsi="Times New Roman" w:eastAsia="宋体"/>
                <w:b/>
                <w:color w:val="000000"/>
                <w:sz w:val="21"/>
              </w:rPr>
              <w:t>参数类型</w:t>
            </w:r>
          </w:p>
        </w:tc>
        <w:tc>
          <w:tcPr>
            <w:tcW w:w="4819" w:type="dxa"/>
            <w:vAlign w:val="center"/>
          </w:tcPr>
          <w:p>
            <w:pPr>
              <w:keepNext w:val="0"/>
              <w:widowControl w:val="0"/>
              <w:spacing w:before="0" w:after="0" w:line="270" w:lineRule="exact"/>
              <w:jc w:val="center"/>
            </w:pPr>
            <w:r>
              <w:rPr>
                <w:rFonts w:ascii="Times New Roman" w:hAnsi="Times New Roman" w:eastAsia="宋体"/>
                <w:b/>
                <w:color w:val="000000"/>
                <w:sz w:val="21"/>
              </w:rPr>
              <w:t>项目单位要求值</w:t>
            </w:r>
          </w:p>
        </w:tc>
        <w:tc>
          <w:tcPr>
            <w:tcW w:w="2268" w:type="dxa"/>
            <w:vAlign w:val="center"/>
          </w:tcPr>
          <w:p>
            <w:pPr>
              <w:keepNext w:val="0"/>
              <w:widowControl w:val="0"/>
              <w:spacing w:before="0" w:after="0" w:line="270" w:lineRule="exact"/>
              <w:jc w:val="center"/>
            </w:pPr>
            <w:r>
              <w:rPr>
                <w:rFonts w:ascii="Times New Roman" w:hAnsi="Times New Roman" w:eastAsia="宋体"/>
                <w:b/>
                <w:color w:val="000000"/>
                <w:sz w:val="21"/>
              </w:rPr>
              <w:t>所需证明材料（项目单位填写）</w:t>
            </w:r>
          </w:p>
        </w:tc>
        <w:tc>
          <w:tcPr>
            <w:tcW w:w="1984" w:type="dxa"/>
            <w:vAlign w:val="center"/>
          </w:tcPr>
          <w:p>
            <w:pPr>
              <w:keepNext w:val="0"/>
              <w:widowControl w:val="0"/>
              <w:spacing w:before="0" w:after="0" w:line="270" w:lineRule="exact"/>
              <w:jc w:val="center"/>
            </w:pPr>
            <w:r>
              <w:rPr>
                <w:rFonts w:ascii="Times New Roman" w:hAnsi="Times New Roman" w:eastAsia="宋体"/>
                <w:b/>
                <w:color w:val="000000"/>
                <w:sz w:val="21"/>
              </w:rPr>
              <w:t>报价方响应值</w:t>
            </w:r>
          </w:p>
        </w:tc>
        <w:tc>
          <w:tcPr>
            <w:tcW w:w="2211" w:type="dxa"/>
            <w:vAlign w:val="center"/>
          </w:tcPr>
          <w:p>
            <w:pPr>
              <w:keepNext w:val="0"/>
              <w:widowControl w:val="0"/>
              <w:spacing w:before="0" w:after="0" w:line="270" w:lineRule="exact"/>
              <w:jc w:val="center"/>
            </w:pPr>
            <w:r>
              <w:rPr>
                <w:rFonts w:ascii="Times New Roman" w:hAnsi="Times New Roman" w:eastAsia="宋体"/>
                <w:b/>
                <w:color w:val="000000"/>
                <w:sz w:val="21"/>
              </w:rPr>
              <w:t>证明材料（报价方填写）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454" w:type="dxa"/>
            <w:vAlign w:val="center"/>
          </w:tcPr>
          <w:p>
            <w:pPr>
              <w:keepNext w:val="0"/>
              <w:widowControl w:val="0"/>
              <w:spacing w:before="0" w:after="0" w:line="270" w:lineRule="exact"/>
              <w:jc w:val="center"/>
              <w:rPr>
                <w:rFonts w:ascii="Times New Roman" w:hAnsi="Times New Roman" w:eastAsia="宋体"/>
                <w:b w:val="0"/>
                <w:color w:val="000000"/>
                <w:sz w:val="21"/>
              </w:rPr>
            </w:pPr>
            <w:r>
              <w:rPr>
                <w:rFonts w:ascii="Times New Roman" w:hAnsi="Times New Roman" w:eastAsia="宋体"/>
                <w:b w:val="0"/>
                <w:color w:val="000000"/>
                <w:sz w:val="21"/>
              </w:rPr>
              <w:t>1</w:t>
            </w:r>
          </w:p>
        </w:tc>
        <w:tc>
          <w:tcPr>
            <w:tcW w:w="1020" w:type="dxa"/>
            <w:vAlign w:val="center"/>
          </w:tcPr>
          <w:p>
            <w:pPr>
              <w:keepNext w:val="0"/>
              <w:widowControl w:val="0"/>
              <w:spacing w:before="0" w:after="0" w:line="270" w:lineRule="exact"/>
              <w:jc w:val="center"/>
              <w:rPr>
                <w:rFonts w:hint="eastAsia" w:eastAsia="宋体"/>
                <w:lang w:val="en-US" w:eastAsia="zh-CN"/>
              </w:rP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变焦/广角摄像头组件</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变焦摄像头：</w:t>
            </w:r>
            <w:r>
              <w:rPr>
                <w:rFonts w:ascii="Times New Roman" w:hAnsi="Times New Roman" w:eastAsia="宋体"/>
                <w:b w:val="0"/>
                <w:color w:val="000000"/>
                <w:sz w:val="21"/>
              </w:rPr>
              <w:br w:type="textWrapping"/>
            </w:r>
            <w:r>
              <w:rPr>
                <w:rFonts w:ascii="Times New Roman" w:hAnsi="Times New Roman" w:eastAsia="宋体"/>
                <w:b w:val="0"/>
                <w:color w:val="000000"/>
                <w:sz w:val="21"/>
              </w:rPr>
              <w:t>光学变倍：≥25倍</w:t>
            </w:r>
            <w:r>
              <w:rPr>
                <w:rFonts w:ascii="Times New Roman" w:hAnsi="Times New Roman" w:eastAsia="宋体"/>
                <w:b w:val="0"/>
                <w:color w:val="000000"/>
                <w:sz w:val="21"/>
              </w:rPr>
              <w:br w:type="textWrapping"/>
            </w:r>
            <w:r>
              <w:rPr>
                <w:rFonts w:ascii="Times New Roman" w:hAnsi="Times New Roman" w:eastAsia="宋体"/>
                <w:b w:val="0"/>
                <w:color w:val="000000"/>
                <w:sz w:val="21"/>
              </w:rPr>
              <w:t>像素：≥400万</w:t>
            </w:r>
            <w:r>
              <w:rPr>
                <w:rFonts w:ascii="Times New Roman" w:hAnsi="Times New Roman" w:eastAsia="宋体"/>
                <w:b w:val="0"/>
                <w:color w:val="000000"/>
                <w:sz w:val="21"/>
              </w:rPr>
              <w:br w:type="textWrapping"/>
            </w:r>
            <w:r>
              <w:rPr>
                <w:rFonts w:ascii="Times New Roman" w:hAnsi="Times New Roman" w:eastAsia="宋体"/>
                <w:b w:val="0"/>
                <w:color w:val="000000"/>
                <w:sz w:val="21"/>
              </w:rPr>
              <w:t>传感器CMOS：≥1/2.8" CMOS</w:t>
            </w:r>
            <w:r>
              <w:rPr>
                <w:rFonts w:ascii="Times New Roman" w:hAnsi="Times New Roman" w:eastAsia="宋体"/>
                <w:b w:val="0"/>
                <w:color w:val="000000"/>
                <w:sz w:val="21"/>
              </w:rPr>
              <w:br w:type="textWrapping"/>
            </w:r>
            <w:r>
              <w:rPr>
                <w:rFonts w:ascii="Times New Roman" w:hAnsi="Times New Roman" w:eastAsia="宋体"/>
                <w:b w:val="0"/>
                <w:color w:val="000000"/>
                <w:sz w:val="21"/>
              </w:rPr>
              <w:t>最低照度：≤0.01Lux</w:t>
            </w:r>
            <w:r>
              <w:rPr>
                <w:rFonts w:ascii="Times New Roman" w:hAnsi="Times New Roman" w:eastAsia="宋体"/>
                <w:b w:val="0"/>
                <w:color w:val="000000"/>
                <w:sz w:val="21"/>
              </w:rPr>
              <w:br w:type="textWrapping"/>
            </w:r>
            <w:r>
              <w:rPr>
                <w:rFonts w:ascii="Times New Roman" w:hAnsi="Times New Roman" w:eastAsia="宋体"/>
                <w:b w:val="0"/>
                <w:color w:val="000000"/>
                <w:sz w:val="21"/>
              </w:rPr>
              <w:t>广角摄像头：</w:t>
            </w:r>
            <w:r>
              <w:rPr>
                <w:rFonts w:ascii="Times New Roman" w:hAnsi="Times New Roman" w:eastAsia="宋体"/>
                <w:b w:val="0"/>
                <w:color w:val="000000"/>
                <w:sz w:val="21"/>
              </w:rPr>
              <w:br w:type="textWrapping"/>
            </w:r>
            <w:r>
              <w:rPr>
                <w:rFonts w:ascii="Times New Roman" w:hAnsi="Times New Roman" w:eastAsia="宋体"/>
                <w:b w:val="0"/>
                <w:color w:val="000000"/>
                <w:sz w:val="21"/>
              </w:rPr>
              <w:t>像素：≥200万</w:t>
            </w:r>
            <w:r>
              <w:rPr>
                <w:rFonts w:ascii="Times New Roman" w:hAnsi="Times New Roman" w:eastAsia="宋体"/>
                <w:b w:val="0"/>
                <w:color w:val="000000"/>
                <w:sz w:val="21"/>
              </w:rPr>
              <w:br w:type="textWrapping"/>
            </w:r>
            <w:r>
              <w:rPr>
                <w:rFonts w:ascii="Times New Roman" w:hAnsi="Times New Roman" w:eastAsia="宋体"/>
                <w:b w:val="0"/>
                <w:color w:val="000000"/>
                <w:sz w:val="21"/>
              </w:rPr>
              <w:t>传感器CMOS：≥1/2.8" CMOS</w:t>
            </w:r>
            <w:r>
              <w:rPr>
                <w:rFonts w:ascii="Times New Roman" w:hAnsi="Times New Roman" w:eastAsia="宋体"/>
                <w:b w:val="0"/>
                <w:color w:val="000000"/>
                <w:sz w:val="21"/>
              </w:rPr>
              <w:br w:type="textWrapping"/>
            </w:r>
            <w:r>
              <w:rPr>
                <w:rFonts w:ascii="Times New Roman" w:hAnsi="Times New Roman" w:eastAsia="宋体"/>
                <w:b w:val="0"/>
                <w:color w:val="000000"/>
                <w:sz w:val="21"/>
              </w:rPr>
              <w:t>广角：≥105°</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ascii="Times New Roman" w:hAnsi="Times New Roman" w:eastAsia="宋体"/>
                <w:b w:val="0"/>
                <w:color w:val="000000"/>
                <w:sz w:val="21"/>
              </w:rPr>
            </w:pPr>
            <w:r>
              <w:rPr>
                <w:rFonts w:ascii="Times New Roman" w:hAnsi="Times New Roman" w:eastAsia="宋体"/>
                <w:b w:val="0"/>
                <w:color w:val="000000"/>
                <w:sz w:val="21"/>
              </w:rPr>
              <w:t>2</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通道监测摄像头组件</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日视摄像头像素：≥800万</w:t>
            </w:r>
            <w:r>
              <w:rPr>
                <w:rFonts w:ascii="Times New Roman" w:hAnsi="Times New Roman" w:eastAsia="宋体"/>
                <w:b w:val="0"/>
                <w:color w:val="000000"/>
                <w:sz w:val="21"/>
              </w:rPr>
              <w:br w:type="textWrapping"/>
            </w:r>
            <w:r>
              <w:rPr>
                <w:rFonts w:ascii="Times New Roman" w:hAnsi="Times New Roman" w:eastAsia="宋体"/>
                <w:b w:val="0"/>
                <w:color w:val="000000"/>
                <w:sz w:val="21"/>
              </w:rPr>
              <w:t>夜视摄像头像素：≥200万</w:t>
            </w:r>
            <w:r>
              <w:rPr>
                <w:rFonts w:ascii="Times New Roman" w:hAnsi="Times New Roman" w:eastAsia="宋体"/>
                <w:b w:val="0"/>
                <w:color w:val="000000"/>
                <w:sz w:val="21"/>
              </w:rPr>
              <w:br w:type="textWrapping"/>
            </w:r>
            <w:r>
              <w:rPr>
                <w:rFonts w:ascii="Times New Roman" w:hAnsi="Times New Roman" w:eastAsia="宋体"/>
                <w:b w:val="0"/>
                <w:color w:val="000000"/>
                <w:sz w:val="21"/>
              </w:rPr>
              <w:t>夜视摄像头最低照度：≤0.005Lux</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hint="eastAsia"/>
                <w:b w:val="0"/>
                <w:color w:val="000000"/>
                <w:sz w:val="21"/>
                <w:lang w:val="en-US" w:eastAsia="zh-CN"/>
              </w:rPr>
              <w:t>3</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云台及控制组件</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水平范围：0°~360°连续旋转</w:t>
            </w:r>
            <w:r>
              <w:rPr>
                <w:rFonts w:ascii="Times New Roman" w:hAnsi="Times New Roman" w:eastAsia="宋体"/>
                <w:b w:val="0"/>
                <w:color w:val="000000"/>
                <w:sz w:val="21"/>
              </w:rPr>
              <w:br w:type="textWrapping"/>
            </w:r>
            <w:r>
              <w:rPr>
                <w:rFonts w:ascii="Times New Roman" w:hAnsi="Times New Roman" w:eastAsia="宋体"/>
                <w:b w:val="0"/>
                <w:color w:val="000000"/>
                <w:sz w:val="21"/>
              </w:rPr>
              <w:t>垂直范围：-90°~+90°</w:t>
            </w:r>
            <w:r>
              <w:rPr>
                <w:rFonts w:ascii="Times New Roman" w:hAnsi="Times New Roman" w:eastAsia="宋体"/>
                <w:b w:val="0"/>
                <w:color w:val="000000"/>
                <w:sz w:val="21"/>
              </w:rPr>
              <w:br w:type="textWrapping"/>
            </w:r>
            <w:r>
              <w:rPr>
                <w:rFonts w:ascii="Times New Roman" w:hAnsi="Times New Roman" w:eastAsia="宋体"/>
                <w:b w:val="0"/>
                <w:color w:val="000000"/>
                <w:sz w:val="21"/>
              </w:rPr>
              <w:t>预置点数量：≥500个</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hint="eastAsia"/>
                <w:b w:val="0"/>
                <w:color w:val="000000"/>
                <w:sz w:val="21"/>
                <w:lang w:val="en-US" w:eastAsia="zh-CN"/>
              </w:rPr>
              <w:t>4</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4G通信组件</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网络制式：LTE-FDD B1/B3/B5/B8</w:t>
            </w:r>
            <w:r>
              <w:rPr>
                <w:rFonts w:ascii="Times New Roman" w:hAnsi="Times New Roman" w:eastAsia="宋体"/>
                <w:b w:val="0"/>
                <w:color w:val="000000"/>
                <w:sz w:val="21"/>
              </w:rPr>
              <w:br w:type="textWrapping"/>
            </w:r>
            <w:r>
              <w:rPr>
                <w:rFonts w:ascii="Times New Roman" w:hAnsi="Times New Roman" w:eastAsia="宋体"/>
                <w:b w:val="0"/>
                <w:color w:val="000000"/>
                <w:sz w:val="21"/>
              </w:rPr>
              <w:t>LTE-TDD B34/B38/B39/B40/B41，兼容3G/2G网络</w:t>
            </w:r>
            <w:r>
              <w:rPr>
                <w:rFonts w:ascii="Times New Roman" w:hAnsi="Times New Roman" w:eastAsia="宋体"/>
                <w:b w:val="0"/>
                <w:color w:val="000000"/>
                <w:sz w:val="21"/>
              </w:rPr>
              <w:br w:type="textWrapping"/>
            </w:r>
            <w:r>
              <w:rPr>
                <w:rFonts w:ascii="Times New Roman" w:hAnsi="Times New Roman" w:eastAsia="宋体"/>
                <w:b w:val="0"/>
                <w:color w:val="000000"/>
                <w:sz w:val="21"/>
              </w:rPr>
              <w:t>传输速率：下行150Mbps</w:t>
            </w:r>
            <w:r>
              <w:rPr>
                <w:rFonts w:ascii="Times New Roman" w:hAnsi="Times New Roman" w:eastAsia="宋体"/>
                <w:b w:val="0"/>
                <w:color w:val="000000"/>
                <w:sz w:val="21"/>
              </w:rPr>
              <w:br w:type="textWrapping"/>
            </w:r>
            <w:r>
              <w:rPr>
                <w:rFonts w:ascii="Times New Roman" w:hAnsi="Times New Roman" w:eastAsia="宋体"/>
                <w:b w:val="0"/>
                <w:color w:val="000000"/>
                <w:sz w:val="21"/>
              </w:rPr>
              <w:t>上行50Mbps</w:t>
            </w:r>
            <w:r>
              <w:rPr>
                <w:rFonts w:ascii="Times New Roman" w:hAnsi="Times New Roman" w:eastAsia="宋体"/>
                <w:b w:val="0"/>
                <w:color w:val="000000"/>
                <w:sz w:val="21"/>
              </w:rPr>
              <w:br w:type="textWrapping"/>
            </w:r>
            <w:r>
              <w:rPr>
                <w:rFonts w:ascii="Times New Roman" w:hAnsi="Times New Roman" w:eastAsia="宋体"/>
                <w:b w:val="0"/>
                <w:color w:val="000000"/>
                <w:sz w:val="21"/>
              </w:rPr>
              <w:t>带宽：1.4/3/5/10/15/20MHz</w:t>
            </w:r>
            <w:r>
              <w:rPr>
                <w:rFonts w:ascii="Times New Roman" w:hAnsi="Times New Roman" w:eastAsia="宋体"/>
                <w:b w:val="0"/>
                <w:color w:val="000000"/>
                <w:sz w:val="21"/>
              </w:rPr>
              <w:br w:type="textWrapping"/>
            </w:r>
            <w:r>
              <w:rPr>
                <w:rFonts w:ascii="Times New Roman" w:hAnsi="Times New Roman" w:eastAsia="宋体"/>
                <w:b w:val="0"/>
                <w:color w:val="000000"/>
                <w:sz w:val="21"/>
              </w:rPr>
              <w:t>工作温度：-30℃~+70℃</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hint="eastAsia"/>
                <w:b w:val="0"/>
                <w:color w:val="000000"/>
                <w:sz w:val="21"/>
                <w:lang w:val="en-US" w:eastAsia="zh-CN"/>
              </w:rPr>
              <w:t>5</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摄像机外壳</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材质：具备防腐蚀、防盐雾、抗UV老化性能和完整的电磁屏蔽能力</w:t>
            </w:r>
            <w:r>
              <w:rPr>
                <w:rFonts w:ascii="Times New Roman" w:hAnsi="Times New Roman" w:eastAsia="宋体"/>
                <w:b w:val="0"/>
                <w:color w:val="000000"/>
                <w:sz w:val="21"/>
              </w:rPr>
              <w:br w:type="textWrapping"/>
            </w:r>
            <w:r>
              <w:rPr>
                <w:rFonts w:ascii="Times New Roman" w:hAnsi="Times New Roman" w:eastAsia="宋体"/>
                <w:b w:val="0"/>
                <w:color w:val="000000"/>
                <w:sz w:val="21"/>
              </w:rPr>
              <w:t>防护等级：IP66</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hint="eastAsia"/>
                <w:b w:val="0"/>
                <w:color w:val="000000"/>
                <w:sz w:val="21"/>
                <w:lang w:val="en-US" w:eastAsia="zh-CN"/>
              </w:rPr>
              <w:t>6</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100AH供电系统</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电池容量：100Ah</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hint="eastAsia"/>
                <w:b w:val="0"/>
                <w:color w:val="000000"/>
                <w:sz w:val="21"/>
                <w:lang w:val="en-US" w:eastAsia="zh-CN"/>
              </w:rPr>
              <w:t>7</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电源控制组件</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1）具备自动浮充电能、过压保护、欠压保护、过流保护和温度补偿等功能；</w:t>
            </w:r>
            <w:r>
              <w:rPr>
                <w:rFonts w:ascii="Times New Roman" w:hAnsi="Times New Roman" w:eastAsia="宋体"/>
                <w:b w:val="0"/>
                <w:color w:val="000000"/>
                <w:sz w:val="21"/>
              </w:rPr>
              <w:br w:type="textWrapping"/>
            </w:r>
            <w:r>
              <w:rPr>
                <w:rFonts w:ascii="Times New Roman" w:hAnsi="Times New Roman" w:eastAsia="宋体"/>
                <w:b w:val="0"/>
                <w:color w:val="000000"/>
                <w:sz w:val="21"/>
              </w:rPr>
              <w:t>2）具备电量与负载分级管理功能，可根据当前电量、功耗等，按重要性分级调整监测装置工作模式，支持全功能、基础功能和休眠模式；</w:t>
            </w:r>
            <w:r>
              <w:rPr>
                <w:rFonts w:ascii="Times New Roman" w:hAnsi="Times New Roman" w:eastAsia="宋体"/>
                <w:b w:val="0"/>
                <w:color w:val="000000"/>
                <w:sz w:val="21"/>
              </w:rPr>
              <w:br w:type="textWrapping"/>
            </w:r>
            <w:r>
              <w:rPr>
                <w:rFonts w:ascii="Times New Roman" w:hAnsi="Times New Roman" w:eastAsia="宋体"/>
                <w:b w:val="0"/>
                <w:color w:val="000000"/>
                <w:sz w:val="21"/>
              </w:rPr>
              <w:t>3）具备宽动态、高效率的供电特性；</w:t>
            </w:r>
            <w:r>
              <w:rPr>
                <w:rFonts w:ascii="Times New Roman" w:hAnsi="Times New Roman" w:eastAsia="宋体"/>
                <w:b w:val="0"/>
                <w:color w:val="000000"/>
                <w:sz w:val="21"/>
              </w:rPr>
              <w:br w:type="textWrapping"/>
            </w:r>
            <w:r>
              <w:rPr>
                <w:rFonts w:ascii="Times New Roman" w:hAnsi="Times New Roman" w:eastAsia="宋体"/>
                <w:b w:val="0"/>
                <w:color w:val="000000"/>
                <w:sz w:val="21"/>
              </w:rPr>
              <w:t>4）配置独立的充放电控制器</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hint="eastAsia"/>
                <w:b w:val="0"/>
                <w:color w:val="000000"/>
                <w:sz w:val="21"/>
                <w:lang w:val="en-US" w:eastAsia="zh-CN"/>
              </w:rPr>
              <w:t>8</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光伏取电单元</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太阳能板功率：≥3*30W太阳能板</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hint="eastAsia"/>
                <w:b w:val="0"/>
                <w:color w:val="000000"/>
                <w:sz w:val="21"/>
                <w:lang w:val="en-US" w:eastAsia="zh-CN"/>
              </w:rPr>
              <w:t>9</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内外车箱结构组件</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车体尺寸：整体尺寸≤长（1100mm）*宽(550mm)*高(1800mm)（收拢尺寸）</w:t>
            </w:r>
            <w:r>
              <w:rPr>
                <w:rFonts w:ascii="Times New Roman" w:hAnsi="Times New Roman" w:eastAsia="宋体"/>
                <w:b w:val="0"/>
                <w:color w:val="000000"/>
                <w:sz w:val="21"/>
              </w:rPr>
              <w:br w:type="textWrapping"/>
            </w:r>
            <w:r>
              <w:rPr>
                <w:rFonts w:ascii="Times New Roman" w:hAnsi="Times New Roman" w:eastAsia="宋体"/>
                <w:b w:val="0"/>
                <w:color w:val="000000"/>
                <w:sz w:val="21"/>
              </w:rPr>
              <w:t>内箱尺寸：整体尺寸≤长400mm *宽300mm *高155mm</w:t>
            </w:r>
            <w:r>
              <w:rPr>
                <w:rFonts w:ascii="Times New Roman" w:hAnsi="Times New Roman" w:eastAsia="宋体"/>
                <w:b w:val="0"/>
                <w:color w:val="000000"/>
                <w:sz w:val="21"/>
              </w:rPr>
              <w:br w:type="textWrapping"/>
            </w:r>
            <w:r>
              <w:rPr>
                <w:rFonts w:ascii="Times New Roman" w:hAnsi="Times New Roman" w:eastAsia="宋体"/>
                <w:b w:val="0"/>
                <w:color w:val="000000"/>
                <w:sz w:val="21"/>
              </w:rPr>
              <w:t>其他：具备防盗式柜门，具备便携式推拉把手，具备可收纳支撑结构，避免因重心升高导致倾覆，具备万向轮结构，具备便捷的自锁刹车固定功能，具备车轮钥匙锁定功能，具备4个方向可方便固定防风绳，支持太阳能板安装，支持升降杆安装。</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ascii="Times New Roman" w:hAnsi="Times New Roman" w:eastAsia="宋体"/>
                <w:b w:val="0"/>
                <w:color w:val="000000"/>
                <w:sz w:val="21"/>
              </w:rPr>
              <w:t>1</w:t>
            </w:r>
            <w:r>
              <w:rPr>
                <w:rFonts w:hint="eastAsia"/>
                <w:b w:val="0"/>
                <w:color w:val="000000"/>
                <w:sz w:val="21"/>
                <w:lang w:val="en-US" w:eastAsia="zh-CN"/>
              </w:rPr>
              <w:t>0</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万向轮</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水平范围：0°~180°自由转向</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jc w:val="center"/>
        </w:trPr>
        <w:tc>
          <w:tcPr>
            <w:tcW w:w="454" w:type="dxa"/>
            <w:vAlign w:val="top"/>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ascii="Times New Roman" w:hAnsi="Times New Roman" w:eastAsia="宋体"/>
                <w:b w:val="0"/>
                <w:color w:val="000000"/>
                <w:sz w:val="21"/>
              </w:rPr>
              <w:t>1</w:t>
            </w:r>
            <w:r>
              <w:rPr>
                <w:rFonts w:hint="eastAsia"/>
                <w:b w:val="0"/>
                <w:color w:val="000000"/>
                <w:sz w:val="21"/>
                <w:lang w:val="en-US" w:eastAsia="zh-CN"/>
              </w:rPr>
              <w:t>1</w:t>
            </w:r>
          </w:p>
        </w:tc>
        <w:tc>
          <w:tcPr>
            <w:tcW w:w="1020" w:type="dxa"/>
            <w:vAlign w:val="top"/>
          </w:tcPr>
          <w:p>
            <w:pPr>
              <w:keepNext w:val="0"/>
              <w:widowControl w:val="0"/>
              <w:spacing w:before="0" w:after="0" w:line="270" w:lineRule="exact"/>
              <w:jc w:val="center"/>
            </w:pPr>
            <w:r>
              <w:rPr>
                <w:rFonts w:hint="eastAsia"/>
                <w:lang w:val="en-US" w:eastAsia="zh-CN"/>
              </w:rPr>
              <w:t>是</w:t>
            </w:r>
          </w:p>
        </w:tc>
        <w:tc>
          <w:tcPr>
            <w:tcW w:w="2268" w:type="dxa"/>
            <w:vAlign w:val="top"/>
          </w:tcPr>
          <w:p>
            <w:pPr>
              <w:keepNext w:val="0"/>
              <w:widowControl w:val="0"/>
              <w:spacing w:before="0" w:after="0" w:line="270" w:lineRule="exact"/>
              <w:jc w:val="left"/>
            </w:pPr>
            <w:r>
              <w:rPr>
                <w:rFonts w:ascii="Times New Roman" w:hAnsi="Times New Roman" w:eastAsia="宋体"/>
                <w:b/>
                <w:color w:val="000000"/>
                <w:sz w:val="21"/>
              </w:rPr>
              <w:t>升降杆</w:t>
            </w:r>
          </w:p>
        </w:tc>
        <w:tc>
          <w:tcPr>
            <w:tcW w:w="4819" w:type="dxa"/>
            <w:vAlign w:val="top"/>
          </w:tcPr>
          <w:p>
            <w:pPr>
              <w:keepNext w:val="0"/>
              <w:widowControl w:val="0"/>
              <w:spacing w:before="0" w:after="0" w:line="270" w:lineRule="exact"/>
              <w:jc w:val="left"/>
            </w:pPr>
            <w:r>
              <w:rPr>
                <w:rFonts w:ascii="Times New Roman" w:hAnsi="Times New Roman" w:eastAsia="宋体"/>
                <w:b w:val="0"/>
                <w:color w:val="000000"/>
                <w:sz w:val="21"/>
              </w:rPr>
              <w:t>高度：闭合高度：1528+20mm；</w:t>
            </w:r>
            <w:r>
              <w:rPr>
                <w:rFonts w:ascii="Times New Roman" w:hAnsi="Times New Roman" w:eastAsia="宋体"/>
                <w:b w:val="0"/>
                <w:color w:val="000000"/>
                <w:sz w:val="21"/>
              </w:rPr>
              <w:br w:type="textWrapping"/>
            </w:r>
            <w:r>
              <w:rPr>
                <w:rFonts w:ascii="Times New Roman" w:hAnsi="Times New Roman" w:eastAsia="宋体"/>
                <w:b w:val="0"/>
                <w:color w:val="000000"/>
                <w:sz w:val="21"/>
              </w:rPr>
              <w:t>升起高度：3500+30mm。</w:t>
            </w:r>
            <w:r>
              <w:rPr>
                <w:rFonts w:ascii="Times New Roman" w:hAnsi="Times New Roman" w:eastAsia="宋体"/>
                <w:b w:val="0"/>
                <w:color w:val="000000"/>
                <w:sz w:val="21"/>
              </w:rPr>
              <w:br w:type="textWrapping"/>
            </w:r>
            <w:r>
              <w:rPr>
                <w:rFonts w:ascii="Times New Roman" w:hAnsi="Times New Roman" w:eastAsia="宋体"/>
                <w:b w:val="0"/>
                <w:color w:val="000000"/>
                <w:sz w:val="21"/>
              </w:rPr>
              <w:t>节数：3节</w:t>
            </w:r>
            <w:r>
              <w:rPr>
                <w:rFonts w:ascii="Times New Roman" w:hAnsi="Times New Roman" w:eastAsia="宋体"/>
                <w:b w:val="0"/>
                <w:color w:val="000000"/>
                <w:sz w:val="21"/>
              </w:rPr>
              <w:br w:type="textWrapping"/>
            </w:r>
            <w:r>
              <w:rPr>
                <w:rFonts w:ascii="Times New Roman" w:hAnsi="Times New Roman" w:eastAsia="宋体"/>
                <w:b w:val="0"/>
                <w:color w:val="000000"/>
                <w:sz w:val="21"/>
              </w:rPr>
              <w:t>主体外径：最大外径： Ø160+1mm</w:t>
            </w:r>
            <w:r>
              <w:rPr>
                <w:rFonts w:ascii="Times New Roman" w:hAnsi="Times New Roman" w:eastAsia="宋体"/>
                <w:b w:val="0"/>
                <w:color w:val="000000"/>
                <w:sz w:val="21"/>
              </w:rPr>
              <w:br w:type="textWrapping"/>
            </w:r>
            <w:r>
              <w:rPr>
                <w:rFonts w:ascii="Times New Roman" w:hAnsi="Times New Roman" w:eastAsia="宋体"/>
                <w:b w:val="0"/>
                <w:color w:val="000000"/>
                <w:sz w:val="21"/>
              </w:rPr>
              <w:t>工作方式：气动</w:t>
            </w:r>
            <w:r>
              <w:rPr>
                <w:rFonts w:ascii="Times New Roman" w:hAnsi="Times New Roman" w:eastAsia="宋体"/>
                <w:b w:val="0"/>
                <w:color w:val="000000"/>
                <w:sz w:val="21"/>
              </w:rPr>
              <w:br w:type="textWrapping"/>
            </w:r>
            <w:r>
              <w:rPr>
                <w:rFonts w:ascii="Times New Roman" w:hAnsi="Times New Roman" w:eastAsia="宋体"/>
                <w:b w:val="0"/>
                <w:color w:val="000000"/>
                <w:sz w:val="21"/>
              </w:rPr>
              <w:t>材质：铝镁合金</w:t>
            </w:r>
            <w:r>
              <w:rPr>
                <w:rFonts w:ascii="Times New Roman" w:hAnsi="Times New Roman" w:eastAsia="宋体"/>
                <w:b w:val="0"/>
                <w:color w:val="000000"/>
                <w:sz w:val="21"/>
              </w:rPr>
              <w:br w:type="textWrapping"/>
            </w:r>
            <w:r>
              <w:rPr>
                <w:rFonts w:ascii="Times New Roman" w:hAnsi="Times New Roman" w:eastAsia="宋体"/>
                <w:b w:val="0"/>
                <w:color w:val="000000"/>
                <w:sz w:val="21"/>
              </w:rPr>
              <w:t>抗风能力：升降杆上端装上视频监测装置，底部固定后，8级风能正常工作</w:t>
            </w:r>
            <w:r>
              <w:rPr>
                <w:rFonts w:ascii="Times New Roman" w:hAnsi="Times New Roman" w:eastAsia="宋体"/>
                <w:b w:val="0"/>
                <w:color w:val="000000"/>
                <w:sz w:val="21"/>
              </w:rPr>
              <w:br w:type="textWrapping"/>
            </w:r>
            <w:r>
              <w:rPr>
                <w:rFonts w:ascii="Times New Roman" w:hAnsi="Times New Roman" w:eastAsia="宋体"/>
                <w:b w:val="0"/>
                <w:color w:val="000000"/>
                <w:sz w:val="21"/>
              </w:rPr>
              <w:t>顶部负载能力：≥24kg</w:t>
            </w:r>
            <w:r>
              <w:rPr>
                <w:rFonts w:ascii="Times New Roman" w:hAnsi="Times New Roman" w:eastAsia="宋体"/>
                <w:b w:val="0"/>
                <w:color w:val="000000"/>
                <w:sz w:val="21"/>
              </w:rPr>
              <w:br w:type="textWrapping"/>
            </w:r>
            <w:r>
              <w:rPr>
                <w:rFonts w:ascii="Times New Roman" w:hAnsi="Times New Roman" w:eastAsia="宋体"/>
                <w:b w:val="0"/>
                <w:color w:val="000000"/>
                <w:sz w:val="21"/>
              </w:rPr>
              <w:t>寿命：升降寿命≥5000次</w:t>
            </w:r>
            <w:r>
              <w:rPr>
                <w:rFonts w:ascii="Times New Roman" w:hAnsi="Times New Roman" w:eastAsia="宋体"/>
                <w:b w:val="0"/>
                <w:color w:val="000000"/>
                <w:sz w:val="21"/>
              </w:rPr>
              <w:br w:type="textWrapping"/>
            </w:r>
            <w:r>
              <w:rPr>
                <w:rFonts w:ascii="Times New Roman" w:hAnsi="Times New Roman" w:eastAsia="宋体"/>
                <w:b w:val="0"/>
                <w:color w:val="000000"/>
                <w:sz w:val="21"/>
              </w:rPr>
              <w:t>防转功能：升降杆具有防转功能</w:t>
            </w:r>
            <w:r>
              <w:rPr>
                <w:rFonts w:ascii="Times New Roman" w:hAnsi="Times New Roman" w:eastAsia="宋体"/>
                <w:b w:val="0"/>
                <w:color w:val="000000"/>
                <w:sz w:val="21"/>
              </w:rPr>
              <w:br w:type="textWrapping"/>
            </w:r>
            <w:r>
              <w:rPr>
                <w:rFonts w:ascii="Times New Roman" w:hAnsi="Times New Roman" w:eastAsia="宋体"/>
                <w:b w:val="0"/>
                <w:color w:val="000000"/>
                <w:sz w:val="21"/>
              </w:rPr>
              <w:t>法兰盘：支持顶部法兰盘更换</w:t>
            </w:r>
            <w:r>
              <w:rPr>
                <w:rFonts w:ascii="Times New Roman" w:hAnsi="Times New Roman" w:eastAsia="宋体"/>
                <w:b w:val="0"/>
                <w:color w:val="000000"/>
                <w:sz w:val="21"/>
              </w:rPr>
              <w:br w:type="textWrapping"/>
            </w:r>
            <w:r>
              <w:rPr>
                <w:rFonts w:ascii="Times New Roman" w:hAnsi="Times New Roman" w:eastAsia="宋体"/>
                <w:b w:val="0"/>
                <w:color w:val="000000"/>
                <w:sz w:val="21"/>
              </w:rPr>
              <w:t>其他：杆体带连接线</w:t>
            </w:r>
          </w:p>
        </w:tc>
        <w:tc>
          <w:tcPr>
            <w:tcW w:w="2268" w:type="dxa"/>
            <w:vAlign w:val="top"/>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top"/>
          </w:tcPr>
          <w:p>
            <w:pPr>
              <w:keepNext w:val="0"/>
              <w:widowControl w:val="0"/>
              <w:spacing w:before="0" w:after="0" w:line="270" w:lineRule="exact"/>
              <w:jc w:val="left"/>
            </w:pPr>
          </w:p>
        </w:tc>
        <w:tc>
          <w:tcPr>
            <w:tcW w:w="2211" w:type="dxa"/>
            <w:vAlign w:val="top"/>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ascii="Times New Roman" w:hAnsi="Times New Roman" w:eastAsia="宋体"/>
                <w:b w:val="0"/>
                <w:color w:val="000000"/>
                <w:sz w:val="21"/>
              </w:rPr>
              <w:t>1</w:t>
            </w:r>
            <w:r>
              <w:rPr>
                <w:rFonts w:hint="eastAsia"/>
                <w:b w:val="0"/>
                <w:color w:val="000000"/>
                <w:sz w:val="21"/>
                <w:lang w:val="en-US" w:eastAsia="zh-CN"/>
              </w:rPr>
              <w:t>2</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音柱</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功率：≥40W，带DC和音频转接线</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ascii="Times New Roman" w:hAnsi="Times New Roman" w:eastAsia="宋体"/>
                <w:b w:val="0"/>
                <w:color w:val="000000"/>
                <w:sz w:val="21"/>
              </w:rPr>
              <w:t>1</w:t>
            </w:r>
            <w:r>
              <w:rPr>
                <w:rFonts w:hint="eastAsia"/>
                <w:b w:val="0"/>
                <w:color w:val="000000"/>
                <w:sz w:val="21"/>
                <w:lang w:val="en-US" w:eastAsia="zh-CN"/>
              </w:rPr>
              <w:t>3</w:t>
            </w:r>
          </w:p>
        </w:tc>
        <w:tc>
          <w:tcPr>
            <w:tcW w:w="1020" w:type="dxa"/>
            <w:vAlign w:val="center"/>
          </w:tcPr>
          <w:p>
            <w:pPr>
              <w:keepNext w:val="0"/>
              <w:widowControl w:val="0"/>
              <w:spacing w:before="0" w:after="0" w:line="270" w:lineRule="exact"/>
              <w:jc w:val="center"/>
              <w:rPr>
                <w:rFonts w:hint="eastAsia" w:eastAsia="宋体"/>
                <w:lang w:val="en-US" w:eastAsia="zh-CN"/>
              </w:rP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线材</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配套装置线材，防水等级IP66</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ascii="Times New Roman" w:hAnsi="Times New Roman" w:eastAsia="宋体"/>
                <w:b w:val="0"/>
                <w:color w:val="000000"/>
                <w:sz w:val="21"/>
              </w:rPr>
              <w:t>1</w:t>
            </w:r>
            <w:r>
              <w:rPr>
                <w:rFonts w:hint="eastAsia"/>
                <w:b w:val="0"/>
                <w:color w:val="000000"/>
                <w:sz w:val="21"/>
                <w:lang w:val="en-US" w:eastAsia="zh-CN"/>
              </w:rPr>
              <w:t>4</w:t>
            </w:r>
          </w:p>
        </w:tc>
        <w:tc>
          <w:tcPr>
            <w:tcW w:w="1020" w:type="dxa"/>
            <w:vAlign w:val="center"/>
          </w:tcPr>
          <w:p>
            <w:pPr>
              <w:keepNext w:val="0"/>
              <w:widowControl w:val="0"/>
              <w:spacing w:before="0" w:after="0" w:line="270" w:lineRule="exact"/>
              <w:jc w:val="cente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 xml:space="preserve"> 螺丝</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材料=304不锈钢，自带平垫、弹垫</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出厂试验报告和产品合格证</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ascii="Times New Roman" w:hAnsi="Times New Roman" w:eastAsia="宋体"/>
                <w:b w:val="0"/>
                <w:color w:val="000000"/>
                <w:sz w:val="21"/>
              </w:rPr>
              <w:t>1</w:t>
            </w:r>
            <w:r>
              <w:rPr>
                <w:rFonts w:hint="eastAsia"/>
                <w:b w:val="0"/>
                <w:color w:val="000000"/>
                <w:sz w:val="21"/>
                <w:lang w:val="en-US" w:eastAsia="zh-CN"/>
              </w:rPr>
              <w:t>5</w:t>
            </w:r>
          </w:p>
        </w:tc>
        <w:tc>
          <w:tcPr>
            <w:tcW w:w="1020" w:type="dxa"/>
            <w:vAlign w:val="center"/>
          </w:tcPr>
          <w:p>
            <w:pPr>
              <w:keepNext w:val="0"/>
              <w:widowControl w:val="0"/>
              <w:spacing w:before="0" w:after="0" w:line="270" w:lineRule="exact"/>
              <w:jc w:val="cente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使用条件</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1）环境温度：-40℃～+70℃；</w:t>
            </w:r>
            <w:r>
              <w:rPr>
                <w:rFonts w:ascii="Times New Roman" w:hAnsi="Times New Roman" w:eastAsia="宋体"/>
                <w:b w:val="0"/>
                <w:color w:val="000000"/>
                <w:sz w:val="21"/>
              </w:rPr>
              <w:br w:type="textWrapping"/>
            </w:r>
            <w:r>
              <w:rPr>
                <w:rFonts w:ascii="Times New Roman" w:hAnsi="Times New Roman" w:eastAsia="宋体"/>
                <w:b w:val="0"/>
                <w:color w:val="000000"/>
                <w:sz w:val="21"/>
              </w:rPr>
              <w:t>2）环境相对湿度：5％～98％；</w:t>
            </w:r>
          </w:p>
        </w:tc>
        <w:tc>
          <w:tcPr>
            <w:tcW w:w="2268" w:type="dxa"/>
            <w:vAlign w:val="center"/>
          </w:tcPr>
          <w:p>
            <w:pPr>
              <w:keepNext w:val="0"/>
              <w:widowControl w:val="0"/>
              <w:spacing w:before="0" w:after="0" w:line="270" w:lineRule="exact"/>
              <w:jc w:val="left"/>
            </w:pP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ascii="Times New Roman" w:hAnsi="Times New Roman" w:eastAsia="宋体"/>
                <w:b w:val="0"/>
                <w:color w:val="000000"/>
                <w:sz w:val="21"/>
              </w:rPr>
              <w:t>1</w:t>
            </w:r>
            <w:r>
              <w:rPr>
                <w:rFonts w:hint="eastAsia"/>
                <w:b w:val="0"/>
                <w:color w:val="000000"/>
                <w:sz w:val="21"/>
                <w:lang w:val="en-US" w:eastAsia="zh-CN"/>
              </w:rPr>
              <w:t>6</w:t>
            </w:r>
          </w:p>
        </w:tc>
        <w:tc>
          <w:tcPr>
            <w:tcW w:w="1020" w:type="dxa"/>
            <w:vAlign w:val="center"/>
          </w:tcPr>
          <w:p>
            <w:pPr>
              <w:keepNext w:val="0"/>
              <w:widowControl w:val="0"/>
              <w:spacing w:before="0" w:after="0" w:line="270" w:lineRule="exact"/>
              <w:jc w:val="cente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包装</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1）严格按照制造厂说明书对设备进行包装、运输和储存。</w:t>
            </w:r>
            <w:r>
              <w:rPr>
                <w:rFonts w:ascii="Times New Roman" w:hAnsi="Times New Roman" w:eastAsia="宋体"/>
                <w:b w:val="0"/>
                <w:color w:val="000000"/>
                <w:sz w:val="21"/>
              </w:rPr>
              <w:br w:type="textWrapping"/>
            </w:r>
            <w:r>
              <w:rPr>
                <w:rFonts w:ascii="Times New Roman" w:hAnsi="Times New Roman" w:eastAsia="宋体"/>
                <w:b w:val="0"/>
                <w:color w:val="000000"/>
                <w:sz w:val="21"/>
              </w:rPr>
              <w:t>2）包装应能保证设备在运输过程中不遭脏污、损坏、变形、丢失及受潮。</w:t>
            </w:r>
          </w:p>
        </w:tc>
        <w:tc>
          <w:tcPr>
            <w:tcW w:w="2268" w:type="dxa"/>
            <w:vAlign w:val="center"/>
          </w:tcPr>
          <w:p>
            <w:pPr>
              <w:keepNext w:val="0"/>
              <w:widowControl w:val="0"/>
              <w:spacing w:before="0" w:after="0" w:line="270" w:lineRule="exact"/>
              <w:jc w:val="left"/>
            </w:pPr>
            <w:r>
              <w:rPr>
                <w:rFonts w:hint="eastAsia"/>
                <w:b w:val="0"/>
                <w:color w:val="000000"/>
                <w:sz w:val="21"/>
                <w:lang w:val="en-US" w:eastAsia="zh-CN"/>
              </w:rPr>
              <w:t>承诺函</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ascii="Times New Roman" w:hAnsi="Times New Roman" w:eastAsia="宋体"/>
                <w:b w:val="0"/>
                <w:color w:val="000000"/>
                <w:sz w:val="21"/>
                <w:lang w:eastAsia="zh-CN"/>
              </w:rPr>
            </w:pPr>
            <w:r>
              <w:rPr>
                <w:rFonts w:ascii="Times New Roman" w:hAnsi="Times New Roman" w:eastAsia="宋体"/>
                <w:b w:val="0"/>
                <w:color w:val="000000"/>
                <w:sz w:val="21"/>
              </w:rPr>
              <w:t>1</w:t>
            </w:r>
            <w:r>
              <w:rPr>
                <w:rFonts w:hint="eastAsia"/>
                <w:b w:val="0"/>
                <w:color w:val="000000"/>
                <w:sz w:val="21"/>
                <w:lang w:val="en-US" w:eastAsia="zh-CN"/>
              </w:rPr>
              <w:t>7</w:t>
            </w:r>
          </w:p>
        </w:tc>
        <w:tc>
          <w:tcPr>
            <w:tcW w:w="1020" w:type="dxa"/>
            <w:vAlign w:val="center"/>
          </w:tcPr>
          <w:p>
            <w:pPr>
              <w:keepNext w:val="0"/>
              <w:widowControl w:val="0"/>
              <w:spacing w:before="0" w:after="0" w:line="270" w:lineRule="exact"/>
              <w:jc w:val="cente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运输</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1）整体运输时，内部元件应不得移位、损坏和受潮。</w:t>
            </w:r>
            <w:r>
              <w:rPr>
                <w:rFonts w:ascii="Times New Roman" w:hAnsi="Times New Roman" w:eastAsia="宋体"/>
                <w:b w:val="0"/>
                <w:color w:val="000000"/>
                <w:sz w:val="21"/>
              </w:rPr>
              <w:br w:type="textWrapping"/>
            </w:r>
            <w:r>
              <w:rPr>
                <w:rFonts w:ascii="Times New Roman" w:hAnsi="Times New Roman" w:eastAsia="宋体"/>
                <w:b w:val="0"/>
                <w:color w:val="000000"/>
                <w:sz w:val="21"/>
              </w:rPr>
              <w:t>2）单独运输的零部件应有标志，便于用户安装。</w:t>
            </w:r>
          </w:p>
        </w:tc>
        <w:tc>
          <w:tcPr>
            <w:tcW w:w="2268" w:type="dxa"/>
            <w:vAlign w:val="center"/>
          </w:tcPr>
          <w:p>
            <w:pPr>
              <w:keepNext w:val="0"/>
              <w:widowControl w:val="0"/>
              <w:spacing w:before="0" w:after="0" w:line="270" w:lineRule="exact"/>
              <w:jc w:val="left"/>
            </w:pPr>
            <w:r>
              <w:rPr>
                <w:rFonts w:hint="eastAsia"/>
                <w:b w:val="0"/>
                <w:color w:val="000000"/>
                <w:sz w:val="21"/>
                <w:lang w:val="en-US" w:eastAsia="zh-CN"/>
              </w:rPr>
              <w:t>承诺函</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jc w:val="center"/>
        </w:trPr>
        <w:tc>
          <w:tcPr>
            <w:tcW w:w="454" w:type="dxa"/>
            <w:vAlign w:val="top"/>
          </w:tcPr>
          <w:p>
            <w:pPr>
              <w:keepNext w:val="0"/>
              <w:widowControl w:val="0"/>
              <w:spacing w:before="0" w:after="0" w:line="270" w:lineRule="exact"/>
              <w:jc w:val="center"/>
              <w:rPr>
                <w:rFonts w:hint="default" w:ascii="Times New Roman" w:hAnsi="Times New Roman" w:eastAsia="宋体"/>
                <w:b w:val="0"/>
                <w:color w:val="000000"/>
                <w:sz w:val="21"/>
                <w:lang w:val="en-US" w:eastAsia="zh-CN"/>
              </w:rPr>
            </w:pPr>
            <w:r>
              <w:rPr>
                <w:rFonts w:hint="eastAsia"/>
                <w:b w:val="0"/>
                <w:color w:val="000000"/>
                <w:sz w:val="21"/>
                <w:lang w:val="en-US" w:eastAsia="zh-CN"/>
              </w:rPr>
              <w:t>18</w:t>
            </w:r>
          </w:p>
        </w:tc>
        <w:tc>
          <w:tcPr>
            <w:tcW w:w="1020" w:type="dxa"/>
            <w:vAlign w:val="top"/>
          </w:tcPr>
          <w:p>
            <w:pPr>
              <w:keepNext w:val="0"/>
              <w:widowControl w:val="0"/>
              <w:spacing w:before="0" w:after="0" w:line="270" w:lineRule="exact"/>
              <w:jc w:val="center"/>
            </w:pPr>
            <w:r>
              <w:rPr>
                <w:rFonts w:hint="eastAsia"/>
                <w:lang w:val="en-US" w:eastAsia="zh-CN"/>
              </w:rPr>
              <w:t>否</w:t>
            </w:r>
          </w:p>
        </w:tc>
        <w:tc>
          <w:tcPr>
            <w:tcW w:w="2268" w:type="dxa"/>
            <w:vAlign w:val="top"/>
          </w:tcPr>
          <w:p>
            <w:pPr>
              <w:keepNext w:val="0"/>
              <w:widowControl w:val="0"/>
              <w:spacing w:before="0" w:after="0" w:line="270" w:lineRule="exact"/>
              <w:jc w:val="left"/>
            </w:pPr>
            <w:r>
              <w:rPr>
                <w:rFonts w:ascii="Times New Roman" w:hAnsi="Times New Roman" w:eastAsia="宋体"/>
                <w:b/>
                <w:color w:val="000000"/>
                <w:sz w:val="21"/>
              </w:rPr>
              <w:t>质量保证</w:t>
            </w:r>
          </w:p>
        </w:tc>
        <w:tc>
          <w:tcPr>
            <w:tcW w:w="4819" w:type="dxa"/>
            <w:vAlign w:val="top"/>
          </w:tcPr>
          <w:p>
            <w:pPr>
              <w:keepNext w:val="0"/>
              <w:widowControl w:val="0"/>
              <w:spacing w:before="0" w:after="0" w:line="270" w:lineRule="exact"/>
              <w:jc w:val="left"/>
            </w:pPr>
            <w:r>
              <w:rPr>
                <w:rFonts w:ascii="Times New Roman" w:hAnsi="Times New Roman" w:eastAsia="宋体"/>
                <w:b w:val="0"/>
                <w:color w:val="000000"/>
                <w:sz w:val="21"/>
              </w:rPr>
              <w:t>1）投标方应按使用说明书进行安装和维护，确保设备在规定的使用条件下安全运行；</w:t>
            </w:r>
            <w:r>
              <w:rPr>
                <w:rFonts w:ascii="Times New Roman" w:hAnsi="Times New Roman" w:eastAsia="宋体"/>
                <w:b w:val="0"/>
                <w:color w:val="000000"/>
                <w:sz w:val="21"/>
              </w:rPr>
              <w:br w:type="textWrapping"/>
            </w:r>
            <w:r>
              <w:rPr>
                <w:rFonts w:ascii="Times New Roman" w:hAnsi="Times New Roman" w:eastAsia="宋体"/>
                <w:b w:val="0"/>
                <w:color w:val="000000"/>
                <w:sz w:val="21"/>
              </w:rPr>
              <w:t>2）投标方应对成套设备提供自到货日起不少于1年的“三包”质量保证。在质保期后、设备生命周期内，投标方应保证备品备件的供应满足投标服务响应要求。如发生产品损坏，投标方应及时为设备提供维修部件，并按最近的投标价提供；</w:t>
            </w:r>
            <w:r>
              <w:rPr>
                <w:rFonts w:ascii="Times New Roman" w:hAnsi="Times New Roman" w:eastAsia="宋体"/>
                <w:b w:val="0"/>
                <w:color w:val="000000"/>
                <w:sz w:val="21"/>
              </w:rPr>
              <w:br w:type="textWrapping"/>
            </w:r>
            <w:r>
              <w:rPr>
                <w:rFonts w:ascii="Times New Roman" w:hAnsi="Times New Roman" w:eastAsia="宋体"/>
                <w:b w:val="0"/>
                <w:color w:val="000000"/>
                <w:sz w:val="21"/>
              </w:rPr>
              <w:t>3）投标方保证其提供的产品是全新的、未使用过的，所有合同货物本体及附件必须防腐防锈，质保期内不得出现锈蚀、开裂，否则应无条件更换；</w:t>
            </w:r>
            <w:r>
              <w:rPr>
                <w:rFonts w:ascii="Times New Roman" w:hAnsi="Times New Roman" w:eastAsia="宋体"/>
                <w:b w:val="0"/>
                <w:color w:val="000000"/>
                <w:sz w:val="21"/>
              </w:rPr>
              <w:br w:type="textWrapping"/>
            </w:r>
            <w:r>
              <w:rPr>
                <w:rFonts w:ascii="Times New Roman" w:hAnsi="Times New Roman" w:eastAsia="宋体"/>
                <w:b w:val="0"/>
                <w:color w:val="000000"/>
                <w:sz w:val="21"/>
              </w:rPr>
              <w:t>4）投标方应保证制造过程中的所有工艺、材料试验等（包括投标方的外购件在内）均应符合本标准的规定。若招标方根据运行经验指定投标方提供某种外购零部件，投标方应积极配合；</w:t>
            </w:r>
            <w:r>
              <w:rPr>
                <w:rFonts w:ascii="Times New Roman" w:hAnsi="Times New Roman" w:eastAsia="宋体"/>
                <w:b w:val="0"/>
                <w:color w:val="000000"/>
                <w:sz w:val="21"/>
              </w:rPr>
              <w:br w:type="textWrapping"/>
            </w:r>
            <w:r>
              <w:rPr>
                <w:rFonts w:ascii="Times New Roman" w:hAnsi="Times New Roman" w:eastAsia="宋体"/>
                <w:b w:val="0"/>
                <w:color w:val="000000"/>
                <w:sz w:val="21"/>
              </w:rPr>
              <w:t>5）附属及配套设备必须满足有关行业标准的要求，并提供出厂试验报告和产品合格证。</w:t>
            </w:r>
            <w:r>
              <w:rPr>
                <w:rFonts w:ascii="Times New Roman" w:hAnsi="Times New Roman" w:eastAsia="宋体"/>
                <w:b w:val="0"/>
                <w:color w:val="000000"/>
                <w:sz w:val="21"/>
              </w:rPr>
              <w:br w:type="textWrapping"/>
            </w:r>
            <w:r>
              <w:rPr>
                <w:rFonts w:ascii="Times New Roman" w:hAnsi="Times New Roman" w:eastAsia="宋体"/>
                <w:b w:val="0"/>
                <w:color w:val="000000"/>
                <w:sz w:val="21"/>
              </w:rPr>
              <w:t>6）用于制作移动立杆“哨兵”监测装置的材料及零部件需提供由制造厂出具的出厂试验报告。报告应与所供材料及零部件对应，注明名称、型号规格、试验项目、试验结果及结论。</w:t>
            </w:r>
          </w:p>
        </w:tc>
        <w:tc>
          <w:tcPr>
            <w:tcW w:w="2268" w:type="dxa"/>
            <w:vAlign w:val="top"/>
          </w:tcPr>
          <w:p>
            <w:pPr>
              <w:keepNext w:val="0"/>
              <w:widowControl w:val="0"/>
              <w:spacing w:before="0" w:after="0" w:line="270" w:lineRule="exact"/>
              <w:jc w:val="left"/>
              <w:rPr>
                <w:rFonts w:hint="eastAsia" w:eastAsia="宋体"/>
                <w:lang w:eastAsia="zh-CN"/>
              </w:rPr>
            </w:pPr>
            <w:r>
              <w:rPr>
                <w:rFonts w:ascii="Times New Roman" w:hAnsi="Times New Roman" w:eastAsia="宋体"/>
                <w:b w:val="0"/>
                <w:color w:val="000000"/>
                <w:sz w:val="21"/>
              </w:rPr>
              <w:t>出厂试验报告和产品合格证</w:t>
            </w:r>
          </w:p>
        </w:tc>
        <w:tc>
          <w:tcPr>
            <w:tcW w:w="1984" w:type="dxa"/>
            <w:vAlign w:val="top"/>
          </w:tcPr>
          <w:p>
            <w:pPr>
              <w:keepNext w:val="0"/>
              <w:widowControl w:val="0"/>
              <w:spacing w:before="0" w:after="0" w:line="270" w:lineRule="exact"/>
              <w:jc w:val="left"/>
            </w:pPr>
          </w:p>
        </w:tc>
        <w:tc>
          <w:tcPr>
            <w:tcW w:w="2211" w:type="dxa"/>
            <w:vAlign w:val="top"/>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default" w:ascii="Times New Roman" w:hAnsi="Times New Roman" w:eastAsia="宋体"/>
                <w:b w:val="0"/>
                <w:color w:val="000000"/>
                <w:sz w:val="21"/>
                <w:lang w:val="en-US" w:eastAsia="zh-CN"/>
              </w:rPr>
            </w:pPr>
            <w:r>
              <w:rPr>
                <w:rFonts w:hint="eastAsia"/>
                <w:b w:val="0"/>
                <w:color w:val="000000"/>
                <w:sz w:val="21"/>
                <w:lang w:val="en-US" w:eastAsia="zh-CN"/>
              </w:rPr>
              <w:t>19</w:t>
            </w:r>
            <w:bookmarkStart w:id="0" w:name="_GoBack"/>
            <w:bookmarkEnd w:id="0"/>
          </w:p>
        </w:tc>
        <w:tc>
          <w:tcPr>
            <w:tcW w:w="1020" w:type="dxa"/>
            <w:vAlign w:val="center"/>
          </w:tcPr>
          <w:p>
            <w:pPr>
              <w:keepNext w:val="0"/>
              <w:widowControl w:val="0"/>
              <w:spacing w:before="0" w:after="0" w:line="270" w:lineRule="exact"/>
              <w:jc w:val="cente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时间进度要求</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1）[成交通知书发出后30日内]</w:t>
            </w:r>
            <w:r>
              <w:rPr>
                <w:rFonts w:ascii="Times New Roman" w:hAnsi="Times New Roman" w:eastAsia="宋体"/>
                <w:b w:val="0"/>
                <w:color w:val="000000"/>
                <w:sz w:val="21"/>
              </w:rPr>
              <w:br w:type="textWrapping"/>
            </w:r>
            <w:r>
              <w:rPr>
                <w:rFonts w:ascii="Times New Roman" w:hAnsi="Times New Roman" w:eastAsia="宋体"/>
                <w:b w:val="0"/>
                <w:color w:val="000000"/>
                <w:sz w:val="21"/>
              </w:rPr>
              <w:t>主要内容：</w:t>
            </w:r>
            <w:r>
              <w:rPr>
                <w:rFonts w:ascii="Times New Roman" w:hAnsi="Times New Roman" w:eastAsia="宋体"/>
                <w:b w:val="0"/>
                <w:color w:val="000000"/>
                <w:sz w:val="21"/>
              </w:rPr>
              <w:br w:type="textWrapping"/>
            </w:r>
            <w:r>
              <w:rPr>
                <w:rFonts w:ascii="Times New Roman" w:hAnsi="Times New Roman" w:eastAsia="宋体"/>
                <w:b w:val="0"/>
                <w:color w:val="000000"/>
                <w:sz w:val="21"/>
              </w:rPr>
              <w:t>根据技术服务内容要求，完成材料部分准备工作。</w:t>
            </w:r>
            <w:r>
              <w:rPr>
                <w:rFonts w:ascii="Times New Roman" w:hAnsi="Times New Roman" w:eastAsia="宋体"/>
                <w:b w:val="0"/>
                <w:color w:val="000000"/>
                <w:sz w:val="21"/>
              </w:rPr>
              <w:br w:type="textWrapping"/>
            </w:r>
            <w:r>
              <w:rPr>
                <w:rFonts w:ascii="Times New Roman" w:hAnsi="Times New Roman" w:eastAsia="宋体"/>
                <w:b w:val="0"/>
                <w:color w:val="000000"/>
                <w:sz w:val="21"/>
              </w:rPr>
              <w:t>2）[加工制作完成后30日内]</w:t>
            </w:r>
            <w:r>
              <w:rPr>
                <w:rFonts w:ascii="Times New Roman" w:hAnsi="Times New Roman" w:eastAsia="宋体"/>
                <w:b w:val="0"/>
                <w:color w:val="000000"/>
                <w:sz w:val="21"/>
              </w:rPr>
              <w:br w:type="textWrapping"/>
            </w:r>
            <w:r>
              <w:rPr>
                <w:rFonts w:ascii="Times New Roman" w:hAnsi="Times New Roman" w:eastAsia="宋体"/>
                <w:b w:val="0"/>
                <w:color w:val="000000"/>
                <w:sz w:val="21"/>
              </w:rPr>
              <w:t>主要内容：</w:t>
            </w:r>
            <w:r>
              <w:rPr>
                <w:rFonts w:ascii="Times New Roman" w:hAnsi="Times New Roman" w:eastAsia="宋体"/>
                <w:b w:val="0"/>
                <w:color w:val="000000"/>
                <w:sz w:val="21"/>
              </w:rPr>
              <w:br w:type="textWrapping"/>
            </w:r>
            <w:r>
              <w:rPr>
                <w:rFonts w:ascii="Times New Roman" w:hAnsi="Times New Roman" w:eastAsia="宋体"/>
                <w:b w:val="0"/>
                <w:color w:val="000000"/>
                <w:sz w:val="21"/>
              </w:rPr>
              <w:t>完成材料测试检定。</w:t>
            </w:r>
            <w:r>
              <w:rPr>
                <w:rFonts w:ascii="Times New Roman" w:hAnsi="Times New Roman" w:eastAsia="宋体"/>
                <w:b w:val="0"/>
                <w:color w:val="000000"/>
                <w:sz w:val="21"/>
              </w:rPr>
              <w:br w:type="textWrapping"/>
            </w:r>
            <w:r>
              <w:rPr>
                <w:rFonts w:ascii="Times New Roman" w:hAnsi="Times New Roman" w:eastAsia="宋体"/>
                <w:b w:val="0"/>
                <w:color w:val="000000"/>
                <w:sz w:val="21"/>
              </w:rPr>
              <w:t>完成装置的现场使用调试。</w:t>
            </w:r>
          </w:p>
        </w:tc>
        <w:tc>
          <w:tcPr>
            <w:tcW w:w="2268" w:type="dxa"/>
            <w:vAlign w:val="center"/>
          </w:tcPr>
          <w:p>
            <w:pPr>
              <w:keepNext w:val="0"/>
              <w:widowControl w:val="0"/>
              <w:spacing w:before="0" w:after="0" w:line="270" w:lineRule="exact"/>
              <w:jc w:val="left"/>
            </w:pPr>
            <w:r>
              <w:rPr>
                <w:rFonts w:hint="eastAsia"/>
                <w:b w:val="0"/>
                <w:color w:val="000000"/>
                <w:sz w:val="21"/>
                <w:lang w:val="en-US" w:eastAsia="zh-CN"/>
              </w:rPr>
              <w:t>承诺函</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bl>
    <w:p/>
    <w:sectPr>
      <w:pgSz w:w="16838" w:h="11906" w:orient="landscape"/>
      <w:pgMar w:top="737" w:right="907" w:bottom="737" w:left="907" w:header="340" w:footer="34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5"/>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8"/>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3"/>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8"/>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9"/>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1"/>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8110243"/>
    <w:rsid w:val="0DAB744A"/>
    <w:rsid w:val="0E147E7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next w:val="2"/>
    <w:qFormat/>
    <w:uiPriority w:val="0"/>
    <w:pPr>
      <w:spacing w:after="200" w:line="276" w:lineRule="auto"/>
    </w:pPr>
    <w:rPr>
      <w:rFonts w:ascii="Times New Roman" w:hAnsi="Times New Roman" w:eastAsia="宋体" w:cstheme="minorBidi"/>
      <w:color w:val="000000"/>
      <w:sz w:val="21"/>
      <w:szCs w:val="22"/>
      <w:lang w:val="en-US" w:eastAsia="en-US" w:bidi="ar-SA"/>
    </w:rPr>
  </w:style>
  <w:style w:type="paragraph" w:styleId="8">
    <w:name w:val="heading 1"/>
    <w:basedOn w:val="1"/>
    <w:next w:val="1"/>
    <w:link w:val="142"/>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9">
    <w:name w:val="heading 2"/>
    <w:basedOn w:val="1"/>
    <w:next w:val="1"/>
    <w:link w:val="143"/>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10">
    <w:name w:val="heading 3"/>
    <w:basedOn w:val="1"/>
    <w:next w:val="1"/>
    <w:link w:val="144"/>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11">
    <w:name w:val="heading 4"/>
    <w:basedOn w:val="1"/>
    <w:next w:val="1"/>
    <w:link w:val="154"/>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12">
    <w:name w:val="heading 5"/>
    <w:basedOn w:val="1"/>
    <w:next w:val="1"/>
    <w:link w:val="155"/>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13">
    <w:name w:val="heading 6"/>
    <w:basedOn w:val="1"/>
    <w:next w:val="1"/>
    <w:link w:val="156"/>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14">
    <w:name w:val="heading 7"/>
    <w:basedOn w:val="1"/>
    <w:next w:val="1"/>
    <w:link w:val="157"/>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5">
    <w:name w:val="heading 8"/>
    <w:basedOn w:val="1"/>
    <w:next w:val="1"/>
    <w:link w:val="158"/>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6">
    <w:name w:val="heading 9"/>
    <w:basedOn w:val="1"/>
    <w:next w:val="1"/>
    <w:link w:val="159"/>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6">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标4"/>
    <w:basedOn w:val="3"/>
    <w:next w:val="1"/>
    <w:qFormat/>
    <w:uiPriority w:val="0"/>
    <w:pPr>
      <w:ind w:firstLine="560"/>
      <w:jc w:val="left"/>
      <w:outlineLvl w:val="3"/>
    </w:pPr>
  </w:style>
  <w:style w:type="paragraph" w:customStyle="1" w:styleId="3">
    <w:name w:val="标3"/>
    <w:basedOn w:val="4"/>
    <w:next w:val="1"/>
    <w:qFormat/>
    <w:uiPriority w:val="0"/>
    <w:pPr>
      <w:outlineLvl w:val="2"/>
    </w:pPr>
    <w:rPr>
      <w:rFonts w:ascii="宋体" w:hAnsi="宋体" w:eastAsia="宋体"/>
    </w:rPr>
  </w:style>
  <w:style w:type="paragraph" w:customStyle="1" w:styleId="4">
    <w:name w:val="标2"/>
    <w:basedOn w:val="5"/>
    <w:qFormat/>
    <w:uiPriority w:val="0"/>
    <w:pPr>
      <w:keepNext/>
      <w:keepLines/>
      <w:spacing w:beforeLines="0"/>
      <w:outlineLvl w:val="1"/>
    </w:pPr>
    <w:rPr>
      <w:rFonts w:ascii="黑体" w:hAnsi="黑体" w:eastAsia="黑体" w:cs="宋体"/>
      <w:sz w:val="28"/>
      <w:szCs w:val="28"/>
    </w:rPr>
  </w:style>
  <w:style w:type="paragraph" w:customStyle="1" w:styleId="5">
    <w:name w:val="标1"/>
    <w:basedOn w:val="6"/>
    <w:qFormat/>
    <w:uiPriority w:val="0"/>
    <w:pPr>
      <w:spacing w:beforeLines="50" w:afterLines="50"/>
    </w:pPr>
    <w:rPr>
      <w:kern w:val="24"/>
      <w:sz w:val="30"/>
      <w:szCs w:val="30"/>
    </w:rPr>
  </w:style>
  <w:style w:type="paragraph" w:styleId="6">
    <w:name w:val="Title"/>
    <w:basedOn w:val="1"/>
    <w:next w:val="1"/>
    <w:link w:val="145"/>
    <w:qFormat/>
    <w:uiPriority w:val="10"/>
    <w:pPr>
      <w:spacing w:after="300" w:line="240" w:lineRule="auto"/>
      <w:contextualSpacing/>
    </w:pPr>
    <w:rPr>
      <w:rFonts w:asciiTheme="majorHAnsi" w:hAnsiTheme="majorHAnsi" w:eastAsiaTheme="majorEastAsia" w:cstheme="majorBidi"/>
      <w:color w:val="000000"/>
      <w:spacing w:val="5"/>
      <w:kern w:val="28"/>
      <w:sz w:val="21"/>
      <w:szCs w:val="52"/>
    </w:rPr>
  </w:style>
  <w:style w:type="paragraph" w:styleId="7">
    <w:name w:val="macro"/>
    <w:link w:val="151"/>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7">
    <w:name w:val="List 3"/>
    <w:basedOn w:val="1"/>
    <w:unhideWhenUsed/>
    <w:qFormat/>
    <w:uiPriority w:val="99"/>
    <w:pPr>
      <w:ind w:left="1080" w:hanging="360"/>
      <w:contextualSpacing/>
    </w:pPr>
  </w:style>
  <w:style w:type="paragraph" w:styleId="18">
    <w:name w:val="List Number 2"/>
    <w:basedOn w:val="1"/>
    <w:unhideWhenUsed/>
    <w:qFormat/>
    <w:uiPriority w:val="99"/>
    <w:pPr>
      <w:numPr>
        <w:ilvl w:val="0"/>
        <w:numId w:val="1"/>
      </w:numPr>
      <w:contextualSpacing/>
    </w:pPr>
  </w:style>
  <w:style w:type="paragraph" w:styleId="19">
    <w:name w:val="List Number"/>
    <w:basedOn w:val="1"/>
    <w:unhideWhenUsed/>
    <w:qFormat/>
    <w:uiPriority w:val="99"/>
    <w:pPr>
      <w:numPr>
        <w:ilvl w:val="0"/>
        <w:numId w:val="2"/>
      </w:numPr>
      <w:contextualSpacing/>
    </w:pPr>
  </w:style>
  <w:style w:type="paragraph" w:styleId="20">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21">
    <w:name w:val="List Bullet"/>
    <w:basedOn w:val="1"/>
    <w:unhideWhenUsed/>
    <w:qFormat/>
    <w:uiPriority w:val="99"/>
    <w:pPr>
      <w:numPr>
        <w:ilvl w:val="0"/>
        <w:numId w:val="3"/>
      </w:numPr>
      <w:contextualSpacing/>
    </w:pPr>
  </w:style>
  <w:style w:type="paragraph" w:styleId="22">
    <w:name w:val="Body Text 3"/>
    <w:basedOn w:val="1"/>
    <w:link w:val="150"/>
    <w:unhideWhenUsed/>
    <w:qFormat/>
    <w:uiPriority w:val="99"/>
    <w:pPr>
      <w:spacing w:after="120"/>
    </w:pPr>
    <w:rPr>
      <w:sz w:val="16"/>
      <w:szCs w:val="16"/>
    </w:rPr>
  </w:style>
  <w:style w:type="paragraph" w:styleId="23">
    <w:name w:val="List Bullet 3"/>
    <w:basedOn w:val="1"/>
    <w:unhideWhenUsed/>
    <w:qFormat/>
    <w:uiPriority w:val="99"/>
    <w:pPr>
      <w:numPr>
        <w:ilvl w:val="0"/>
        <w:numId w:val="4"/>
      </w:numPr>
      <w:contextualSpacing/>
    </w:pPr>
  </w:style>
  <w:style w:type="paragraph" w:styleId="24">
    <w:name w:val="Body Text"/>
    <w:basedOn w:val="1"/>
    <w:link w:val="148"/>
    <w:unhideWhenUsed/>
    <w:qFormat/>
    <w:uiPriority w:val="99"/>
    <w:pPr>
      <w:spacing w:after="120"/>
    </w:pPr>
  </w:style>
  <w:style w:type="paragraph" w:styleId="25">
    <w:name w:val="List Number 3"/>
    <w:basedOn w:val="1"/>
    <w:unhideWhenUsed/>
    <w:qFormat/>
    <w:uiPriority w:val="99"/>
    <w:pPr>
      <w:numPr>
        <w:ilvl w:val="0"/>
        <w:numId w:val="5"/>
      </w:numPr>
      <w:contextualSpacing/>
    </w:pPr>
  </w:style>
  <w:style w:type="paragraph" w:styleId="26">
    <w:name w:val="List 2"/>
    <w:basedOn w:val="1"/>
    <w:unhideWhenUsed/>
    <w:qFormat/>
    <w:uiPriority w:val="99"/>
    <w:pPr>
      <w:ind w:left="720" w:hanging="360"/>
      <w:contextualSpacing/>
    </w:pPr>
  </w:style>
  <w:style w:type="paragraph" w:styleId="27">
    <w:name w:val="List Continue"/>
    <w:basedOn w:val="1"/>
    <w:unhideWhenUsed/>
    <w:qFormat/>
    <w:uiPriority w:val="99"/>
    <w:pPr>
      <w:spacing w:after="120"/>
      <w:ind w:left="360"/>
      <w:contextualSpacing/>
    </w:pPr>
  </w:style>
  <w:style w:type="paragraph" w:styleId="28">
    <w:name w:val="List Bullet 2"/>
    <w:basedOn w:val="1"/>
    <w:unhideWhenUsed/>
    <w:qFormat/>
    <w:uiPriority w:val="99"/>
    <w:pPr>
      <w:numPr>
        <w:ilvl w:val="0"/>
        <w:numId w:val="6"/>
      </w:numPr>
      <w:contextualSpacing/>
    </w:pPr>
  </w:style>
  <w:style w:type="paragraph" w:styleId="29">
    <w:name w:val="footer"/>
    <w:basedOn w:val="1"/>
    <w:link w:val="140"/>
    <w:unhideWhenUsed/>
    <w:qFormat/>
    <w:uiPriority w:val="99"/>
    <w:pPr>
      <w:tabs>
        <w:tab w:val="center" w:pos="4680"/>
        <w:tab w:val="right" w:pos="9360"/>
      </w:tabs>
      <w:spacing w:after="0" w:line="240" w:lineRule="auto"/>
    </w:pPr>
  </w:style>
  <w:style w:type="paragraph" w:styleId="30">
    <w:name w:val="header"/>
    <w:basedOn w:val="1"/>
    <w:link w:val="139"/>
    <w:unhideWhenUsed/>
    <w:qFormat/>
    <w:uiPriority w:val="99"/>
    <w:pPr>
      <w:tabs>
        <w:tab w:val="center" w:pos="4680"/>
        <w:tab w:val="right" w:pos="9360"/>
      </w:tabs>
      <w:spacing w:after="0" w:line="240" w:lineRule="auto"/>
    </w:pPr>
  </w:style>
  <w:style w:type="paragraph" w:styleId="31">
    <w:name w:val="Subtitle"/>
    <w:basedOn w:val="1"/>
    <w:next w:val="1"/>
    <w:link w:val="14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2">
    <w:name w:val="List"/>
    <w:basedOn w:val="1"/>
    <w:unhideWhenUsed/>
    <w:qFormat/>
    <w:uiPriority w:val="99"/>
    <w:pPr>
      <w:ind w:left="360" w:hanging="360"/>
      <w:contextualSpacing/>
    </w:pPr>
  </w:style>
  <w:style w:type="paragraph" w:styleId="33">
    <w:name w:val="Body Text 2"/>
    <w:basedOn w:val="1"/>
    <w:link w:val="149"/>
    <w:unhideWhenUsed/>
    <w:qFormat/>
    <w:uiPriority w:val="99"/>
    <w:pPr>
      <w:spacing w:after="120" w:line="480" w:lineRule="auto"/>
    </w:pPr>
  </w:style>
  <w:style w:type="paragraph" w:styleId="34">
    <w:name w:val="List Continue 2"/>
    <w:basedOn w:val="1"/>
    <w:unhideWhenUsed/>
    <w:qFormat/>
    <w:uiPriority w:val="99"/>
    <w:pPr>
      <w:spacing w:after="120"/>
      <w:ind w:left="720"/>
      <w:contextualSpacing/>
    </w:pPr>
  </w:style>
  <w:style w:type="paragraph" w:styleId="35">
    <w:name w:val="List Continue 3"/>
    <w:basedOn w:val="1"/>
    <w:unhideWhenUsed/>
    <w:qFormat/>
    <w:uiPriority w:val="99"/>
    <w:pPr>
      <w:spacing w:after="120"/>
      <w:ind w:left="1080"/>
      <w:contextualSpacing/>
    </w:pPr>
  </w:style>
  <w:style w:type="table" w:styleId="37">
    <w:name w:val="Table Grid"/>
    <w:basedOn w:val="3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8">
    <w:name w:val="Light Shading"/>
    <w:basedOn w:val="36"/>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9">
    <w:name w:val="Light Shading Accent 1"/>
    <w:basedOn w:val="36"/>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0">
    <w:name w:val="Light Shading Accent 2"/>
    <w:basedOn w:val="36"/>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1">
    <w:name w:val="Light Shading Accent 3"/>
    <w:basedOn w:val="36"/>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2">
    <w:name w:val="Light Shading Accent 4"/>
    <w:basedOn w:val="36"/>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3">
    <w:name w:val="Light Shading Accent 5"/>
    <w:basedOn w:val="36"/>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4">
    <w:name w:val="Light Shading Accent 6"/>
    <w:basedOn w:val="36"/>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5">
    <w:name w:val="Light List"/>
    <w:basedOn w:val="36"/>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6">
    <w:name w:val="Light List Accent 1"/>
    <w:basedOn w:val="36"/>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7">
    <w:name w:val="Light List Accent 2"/>
    <w:basedOn w:val="36"/>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8">
    <w:name w:val="Light List Accent 3"/>
    <w:basedOn w:val="36"/>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9">
    <w:name w:val="Light List Accent 4"/>
    <w:basedOn w:val="36"/>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0">
    <w:name w:val="Light List Accent 5"/>
    <w:basedOn w:val="36"/>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1">
    <w:name w:val="Light List Accent 6"/>
    <w:basedOn w:val="36"/>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2">
    <w:name w:val="Light Grid"/>
    <w:basedOn w:val="36"/>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3">
    <w:name w:val="Light Grid Accent 1"/>
    <w:basedOn w:val="36"/>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4">
    <w:name w:val="Light Grid Accent 2"/>
    <w:basedOn w:val="36"/>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5">
    <w:name w:val="Light Grid Accent 3"/>
    <w:basedOn w:val="36"/>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6">
    <w:name w:val="Light Grid Accent 4"/>
    <w:basedOn w:val="36"/>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7">
    <w:name w:val="Light Grid Accent 5"/>
    <w:basedOn w:val="36"/>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8">
    <w:name w:val="Light Grid Accent 6"/>
    <w:basedOn w:val="36"/>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9">
    <w:name w:val="Medium Shading 1"/>
    <w:basedOn w:val="36"/>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60">
    <w:name w:val="Medium Shading 1 Accent 1"/>
    <w:basedOn w:val="36"/>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1">
    <w:name w:val="Medium Shading 1 Accent 2"/>
    <w:basedOn w:val="36"/>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2">
    <w:name w:val="Medium Shading 1 Accent 3"/>
    <w:basedOn w:val="36"/>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3">
    <w:name w:val="Medium Shading 1 Accent 4"/>
    <w:basedOn w:val="36"/>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4">
    <w:name w:val="Medium Shading 1 Accent 5"/>
    <w:basedOn w:val="36"/>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5">
    <w:name w:val="Medium Shading 1 Accent 6"/>
    <w:basedOn w:val="36"/>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6">
    <w:name w:val="Medium Shading 2"/>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1"/>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2"/>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3"/>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4"/>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5"/>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Shading 2 Accent 6"/>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3">
    <w:name w:val="Medium List 1"/>
    <w:basedOn w:val="36"/>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4">
    <w:name w:val="Medium List 1 Accent 1"/>
    <w:basedOn w:val="36"/>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5">
    <w:name w:val="Medium List 1 Accent 2"/>
    <w:basedOn w:val="36"/>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6">
    <w:name w:val="Medium List 1 Accent 3"/>
    <w:basedOn w:val="36"/>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7">
    <w:name w:val="Medium List 1 Accent 4"/>
    <w:basedOn w:val="36"/>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8">
    <w:name w:val="Medium List 1 Accent 5"/>
    <w:basedOn w:val="36"/>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9">
    <w:name w:val="Medium List 1 Accent 6"/>
    <w:basedOn w:val="36"/>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80">
    <w:name w:val="Medium List 2"/>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1"/>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2"/>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3"/>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4"/>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5"/>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List 2 Accent 6"/>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Grid 1"/>
    <w:basedOn w:val="36"/>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8">
    <w:name w:val="Medium Grid 1 Accent 1"/>
    <w:basedOn w:val="36"/>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9">
    <w:name w:val="Medium Grid 1 Accent 2"/>
    <w:basedOn w:val="36"/>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90">
    <w:name w:val="Medium Grid 1 Accent 3"/>
    <w:basedOn w:val="36"/>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1">
    <w:name w:val="Medium Grid 1 Accent 4"/>
    <w:basedOn w:val="36"/>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2">
    <w:name w:val="Medium Grid 1 Accent 5"/>
    <w:basedOn w:val="36"/>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3">
    <w:name w:val="Medium Grid 1 Accent 6"/>
    <w:basedOn w:val="36"/>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4">
    <w:name w:val="Medium Grid 2"/>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5">
    <w:name w:val="Medium Grid 2 Accent 1"/>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6">
    <w:name w:val="Medium Grid 2 Accent 2"/>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7">
    <w:name w:val="Medium Grid 2 Accent 3"/>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8">
    <w:name w:val="Medium Grid 2 Accent 4"/>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9">
    <w:name w:val="Medium Grid 2 Accent 5"/>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00">
    <w:name w:val="Medium Grid 2 Accent 6"/>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1">
    <w:name w:val="Medium Grid 3"/>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2">
    <w:name w:val="Medium Grid 3 Accent 1"/>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3">
    <w:name w:val="Medium Grid 3 Accent 2"/>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4">
    <w:name w:val="Medium Grid 3 Accent 3"/>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5">
    <w:name w:val="Medium Grid 3 Accent 4"/>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6">
    <w:name w:val="Medium Grid 3 Accent 5"/>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7">
    <w:name w:val="Medium Grid 3 Accent 6"/>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8">
    <w:name w:val="Dark List"/>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9">
    <w:name w:val="Dark List Accent 1"/>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10">
    <w:name w:val="Dark List Accent 2"/>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1">
    <w:name w:val="Dark List Accent 3"/>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2">
    <w:name w:val="Dark List Accent 4"/>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3">
    <w:name w:val="Dark List Accent 5"/>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4">
    <w:name w:val="Dark List Accent 6"/>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5">
    <w:name w:val="Colorful Shading"/>
    <w:basedOn w:val="36"/>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1"/>
    <w:basedOn w:val="36"/>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2"/>
    <w:basedOn w:val="36"/>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3"/>
    <w:basedOn w:val="36"/>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9">
    <w:name w:val="Colorful Shading Accent 4"/>
    <w:basedOn w:val="36"/>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5"/>
    <w:basedOn w:val="36"/>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Shading Accent 6"/>
    <w:basedOn w:val="36"/>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2">
    <w:name w:val="Colorful List"/>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3">
    <w:name w:val="Colorful List Accent 1"/>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4">
    <w:name w:val="Colorful List Accent 2"/>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5">
    <w:name w:val="Colorful List Accent 3"/>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6">
    <w:name w:val="Colorful List Accent 4"/>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7">
    <w:name w:val="Colorful List Accent 5"/>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8">
    <w:name w:val="Colorful List Accent 6"/>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9">
    <w:name w:val="Colorful Grid"/>
    <w:basedOn w:val="36"/>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30">
    <w:name w:val="Colorful Grid Accent 1"/>
    <w:basedOn w:val="36"/>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1">
    <w:name w:val="Colorful Grid Accent 2"/>
    <w:basedOn w:val="36"/>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Colorful Grid Accent 3"/>
    <w:basedOn w:val="36"/>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3">
    <w:name w:val="Colorful Grid Accent 4"/>
    <w:basedOn w:val="36"/>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4">
    <w:name w:val="Colorful Grid Accent 5"/>
    <w:basedOn w:val="36"/>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5">
    <w:name w:val="Colorful Grid Accent 6"/>
    <w:basedOn w:val="36"/>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7">
    <w:name w:val="Strong"/>
    <w:basedOn w:val="136"/>
    <w:qFormat/>
    <w:uiPriority w:val="22"/>
    <w:rPr>
      <w:b/>
      <w:bCs/>
    </w:rPr>
  </w:style>
  <w:style w:type="character" w:styleId="138">
    <w:name w:val="Emphasis"/>
    <w:basedOn w:val="136"/>
    <w:qFormat/>
    <w:uiPriority w:val="20"/>
    <w:rPr>
      <w:i/>
      <w:iCs/>
    </w:rPr>
  </w:style>
  <w:style w:type="character" w:customStyle="1" w:styleId="139">
    <w:name w:val="Header Char"/>
    <w:basedOn w:val="136"/>
    <w:link w:val="30"/>
    <w:qFormat/>
    <w:uiPriority w:val="99"/>
  </w:style>
  <w:style w:type="character" w:customStyle="1" w:styleId="140">
    <w:name w:val="Footer Char"/>
    <w:basedOn w:val="136"/>
    <w:link w:val="29"/>
    <w:qFormat/>
    <w:uiPriority w:val="99"/>
  </w:style>
  <w:style w:type="paragraph" w:styleId="141">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2">
    <w:name w:val="Heading 1 Char"/>
    <w:basedOn w:val="136"/>
    <w:link w:val="8"/>
    <w:qFormat/>
    <w:uiPriority w:val="9"/>
    <w:rPr>
      <w:rFonts w:asciiTheme="majorHAnsi" w:hAnsiTheme="majorHAnsi" w:eastAsiaTheme="majorEastAsia" w:cstheme="majorBidi"/>
      <w:b/>
      <w:bCs/>
      <w:color w:val="376092" w:themeColor="accent1" w:themeShade="BF"/>
      <w:sz w:val="28"/>
      <w:szCs w:val="28"/>
    </w:rPr>
  </w:style>
  <w:style w:type="character" w:customStyle="1" w:styleId="143">
    <w:name w:val="Heading 2 Char"/>
    <w:basedOn w:val="136"/>
    <w:link w:val="9"/>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4">
    <w:name w:val="Heading 3 Char"/>
    <w:basedOn w:val="136"/>
    <w:link w:val="10"/>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5">
    <w:name w:val="Title Char"/>
    <w:basedOn w:val="136"/>
    <w:link w:val="6"/>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6">
    <w:name w:val="Subtitle Char"/>
    <w:basedOn w:val="136"/>
    <w:link w:val="31"/>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7">
    <w:name w:val="List Paragraph"/>
    <w:basedOn w:val="1"/>
    <w:qFormat/>
    <w:uiPriority w:val="34"/>
    <w:pPr>
      <w:ind w:left="720"/>
      <w:contextualSpacing/>
    </w:pPr>
  </w:style>
  <w:style w:type="character" w:customStyle="1" w:styleId="148">
    <w:name w:val="Body Text Char"/>
    <w:basedOn w:val="136"/>
    <w:link w:val="24"/>
    <w:qFormat/>
    <w:uiPriority w:val="99"/>
  </w:style>
  <w:style w:type="character" w:customStyle="1" w:styleId="149">
    <w:name w:val="Body Text 2 Char"/>
    <w:basedOn w:val="136"/>
    <w:link w:val="33"/>
    <w:qFormat/>
    <w:uiPriority w:val="99"/>
  </w:style>
  <w:style w:type="character" w:customStyle="1" w:styleId="150">
    <w:name w:val="Body Text 3 Char"/>
    <w:basedOn w:val="136"/>
    <w:link w:val="22"/>
    <w:qFormat/>
    <w:uiPriority w:val="99"/>
    <w:rPr>
      <w:sz w:val="16"/>
      <w:szCs w:val="16"/>
    </w:rPr>
  </w:style>
  <w:style w:type="character" w:customStyle="1" w:styleId="151">
    <w:name w:val="Macro Text Char"/>
    <w:basedOn w:val="136"/>
    <w:link w:val="7"/>
    <w:qFormat/>
    <w:uiPriority w:val="99"/>
    <w:rPr>
      <w:rFonts w:ascii="Courier" w:hAnsi="Courier"/>
      <w:sz w:val="20"/>
      <w:szCs w:val="20"/>
    </w:rPr>
  </w:style>
  <w:style w:type="paragraph" w:styleId="152">
    <w:name w:val="Quote"/>
    <w:basedOn w:val="1"/>
    <w:next w:val="1"/>
    <w:link w:val="153"/>
    <w:qFormat/>
    <w:uiPriority w:val="29"/>
    <w:rPr>
      <w:i/>
      <w:iCs/>
      <w:color w:val="000000" w:themeColor="text1"/>
      <w14:textFill>
        <w14:solidFill>
          <w14:schemeClr w14:val="tx1"/>
        </w14:solidFill>
      </w14:textFill>
    </w:rPr>
  </w:style>
  <w:style w:type="character" w:customStyle="1" w:styleId="153">
    <w:name w:val="Quote Char"/>
    <w:basedOn w:val="136"/>
    <w:link w:val="152"/>
    <w:qFormat/>
    <w:uiPriority w:val="29"/>
    <w:rPr>
      <w:i/>
      <w:iCs/>
      <w:color w:val="000000" w:themeColor="text1"/>
      <w14:textFill>
        <w14:solidFill>
          <w14:schemeClr w14:val="tx1"/>
        </w14:solidFill>
      </w14:textFill>
    </w:rPr>
  </w:style>
  <w:style w:type="character" w:customStyle="1" w:styleId="154">
    <w:name w:val="Heading 4 Char"/>
    <w:basedOn w:val="136"/>
    <w:link w:val="11"/>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5">
    <w:name w:val="Heading 5 Char"/>
    <w:basedOn w:val="136"/>
    <w:link w:val="12"/>
    <w:semiHidden/>
    <w:qFormat/>
    <w:uiPriority w:val="9"/>
    <w:rPr>
      <w:rFonts w:asciiTheme="majorHAnsi" w:hAnsiTheme="majorHAnsi" w:eastAsiaTheme="majorEastAsia" w:cstheme="majorBidi"/>
      <w:color w:val="254061" w:themeColor="accent1" w:themeShade="80"/>
    </w:rPr>
  </w:style>
  <w:style w:type="character" w:customStyle="1" w:styleId="156">
    <w:name w:val="Heading 6 Char"/>
    <w:basedOn w:val="136"/>
    <w:link w:val="13"/>
    <w:semiHidden/>
    <w:qFormat/>
    <w:uiPriority w:val="9"/>
    <w:rPr>
      <w:rFonts w:asciiTheme="majorHAnsi" w:hAnsiTheme="majorHAnsi" w:eastAsiaTheme="majorEastAsia" w:cstheme="majorBidi"/>
      <w:i/>
      <w:iCs/>
      <w:color w:val="254061" w:themeColor="accent1" w:themeShade="80"/>
    </w:rPr>
  </w:style>
  <w:style w:type="character" w:customStyle="1" w:styleId="157">
    <w:name w:val="Heading 7 Char"/>
    <w:basedOn w:val="136"/>
    <w:link w:val="14"/>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8">
    <w:name w:val="Heading 8 Char"/>
    <w:basedOn w:val="136"/>
    <w:link w:val="15"/>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9">
    <w:name w:val="Heading 9 Char"/>
    <w:basedOn w:val="136"/>
    <w:link w:val="16"/>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60">
    <w:name w:val="Intense Quote"/>
    <w:basedOn w:val="1"/>
    <w:next w:val="1"/>
    <w:link w:val="161"/>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61">
    <w:name w:val="Intense Quote Char"/>
    <w:basedOn w:val="136"/>
    <w:link w:val="160"/>
    <w:qFormat/>
    <w:uiPriority w:val="30"/>
    <w:rPr>
      <w:b/>
      <w:bCs/>
      <w:i/>
      <w:iCs/>
      <w:color w:val="4F81BD" w:themeColor="accent1"/>
      <w14:textFill>
        <w14:solidFill>
          <w14:schemeClr w14:val="accent1"/>
        </w14:solidFill>
      </w14:textFill>
    </w:rPr>
  </w:style>
  <w:style w:type="character" w:customStyle="1" w:styleId="162">
    <w:name w:val="Subtle Emphasis"/>
    <w:basedOn w:val="136"/>
    <w:qFormat/>
    <w:uiPriority w:val="19"/>
    <w:rPr>
      <w:i/>
      <w:iCs/>
      <w:color w:val="808080" w:themeColor="text1" w:themeTint="80"/>
      <w14:textFill>
        <w14:solidFill>
          <w14:schemeClr w14:val="tx1">
            <w14:lumMod w14:val="50000"/>
            <w14:lumOff w14:val="50000"/>
          </w14:schemeClr>
        </w14:solidFill>
      </w14:textFill>
    </w:rPr>
  </w:style>
  <w:style w:type="character" w:customStyle="1" w:styleId="163">
    <w:name w:val="Intense Emphasis"/>
    <w:basedOn w:val="136"/>
    <w:qFormat/>
    <w:uiPriority w:val="21"/>
    <w:rPr>
      <w:b/>
      <w:bCs/>
      <w:i/>
      <w:iCs/>
      <w:color w:val="4F81BD" w:themeColor="accent1"/>
      <w14:textFill>
        <w14:solidFill>
          <w14:schemeClr w14:val="accent1"/>
        </w14:solidFill>
      </w14:textFill>
    </w:rPr>
  </w:style>
  <w:style w:type="character" w:customStyle="1" w:styleId="164">
    <w:name w:val="Subtle Reference"/>
    <w:basedOn w:val="136"/>
    <w:qFormat/>
    <w:uiPriority w:val="31"/>
    <w:rPr>
      <w:smallCaps/>
      <w:color w:val="C0504D" w:themeColor="accent2"/>
      <w:u w:val="single"/>
      <w14:textFill>
        <w14:solidFill>
          <w14:schemeClr w14:val="accent2"/>
        </w14:solidFill>
      </w14:textFill>
    </w:rPr>
  </w:style>
  <w:style w:type="character" w:customStyle="1" w:styleId="165">
    <w:name w:val="Intense Reference"/>
    <w:basedOn w:val="136"/>
    <w:qFormat/>
    <w:uiPriority w:val="32"/>
    <w:rPr>
      <w:b/>
      <w:bCs/>
      <w:smallCaps/>
      <w:color w:val="C0504D" w:themeColor="accent2"/>
      <w:spacing w:val="5"/>
      <w:u w:val="single"/>
      <w14:textFill>
        <w14:solidFill>
          <w14:schemeClr w14:val="accent2"/>
        </w14:solidFill>
      </w14:textFill>
    </w:rPr>
  </w:style>
  <w:style w:type="character" w:customStyle="1" w:styleId="166">
    <w:name w:val="Book Title"/>
    <w:basedOn w:val="136"/>
    <w:qFormat/>
    <w:uiPriority w:val="33"/>
    <w:rPr>
      <w:b/>
      <w:bCs/>
      <w:smallCaps/>
      <w:spacing w:val="5"/>
    </w:rPr>
  </w:style>
  <w:style w:type="paragraph" w:customStyle="1" w:styleId="167">
    <w:name w:val="TOC Heading"/>
    <w:basedOn w:val="8"/>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2360</Words>
  <Characters>2731</Characters>
  <Lines>0</Lines>
  <Paragraphs>0</Paragraphs>
  <TotalTime>19</TotalTime>
  <ScaleCrop>false</ScaleCrop>
  <LinksUpToDate>false</LinksUpToDate>
  <CharactersWithSpaces>2764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梧桐下的樱花</dc:creator>
  <cp:lastModifiedBy>运行规程超管</cp:lastModifiedBy>
  <dcterms:modified xsi:type="dcterms:W3CDTF">2026-10-16T07:24:17Z</dcterms:modified>
  <dc:title>移动立杆“哨兵”监测装置材料费技术特性响应情况表</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eyJoZGlkIjoiN2YzNjBkOTgyNWQ1YTMxYzM3MzMwNWFiODNmOWIzYWMiLCJ1c2VySWQiOiI0MzI3MjExODMifQ==</vt:lpwstr>
  </property>
  <property fmtid="{D5CDD505-2E9C-101B-9397-08002B2CF9AE}" pid="3" name="KSOProductBuildVer">
    <vt:lpwstr>2052-11.8.2.12309</vt:lpwstr>
  </property>
  <property fmtid="{D5CDD505-2E9C-101B-9397-08002B2CF9AE}" pid="4" name="ICV">
    <vt:lpwstr>178ADFB51C044E4ABB8C495417DF5B5C</vt:lpwstr>
  </property>
</Properties>
</file>