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黑体" w:hAnsi="黑体" w:eastAsia="黑体" w:cs="宋体"/>
          <w:bCs/>
          <w:color w:val="000000"/>
          <w:sz w:val="44"/>
          <w:szCs w:val="44"/>
          <w:lang w:val="en-US" w:eastAsia="zh-CN"/>
        </w:rPr>
      </w:pPr>
      <w:r>
        <w:rPr>
          <w:rFonts w:hint="eastAsia" w:ascii="黑体" w:hAnsi="黑体" w:eastAsia="黑体" w:cs="宋体"/>
          <w:bCs/>
          <w:color w:val="000000"/>
          <w:sz w:val="44"/>
          <w:szCs w:val="44"/>
          <w:lang w:val="en-US" w:eastAsia="zh-CN"/>
        </w:rPr>
        <w:t>楚雄供电局2025年度会计账簿、报表档案资料整理装订项目采购询价函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eastAsia" w:ascii="黑体" w:hAnsi="黑体" w:eastAsia="黑体" w:cs="黑体"/>
          <w:b w:val="0"/>
          <w:bCs/>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color w:val="000000"/>
          <w:kern w:val="0"/>
          <w:sz w:val="32"/>
          <w:szCs w:val="32"/>
        </w:rPr>
      </w:pPr>
      <w:r>
        <w:rPr>
          <w:rFonts w:hint="eastAsia" w:ascii="黑体" w:hAnsi="黑体" w:eastAsia="黑体" w:cs="黑体"/>
          <w:b w:val="0"/>
          <w:bCs/>
          <w:color w:val="000000"/>
          <w:sz w:val="32"/>
          <w:szCs w:val="32"/>
        </w:rPr>
        <w:t>一、项目概述及文件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（一）项目概述：为规范楚雄供电局</w:t>
      </w:r>
      <w:r>
        <w:rPr>
          <w:rFonts w:hint="eastAsia" w:ascii="仿宋_GB2312" w:hAnsi="仿宋" w:eastAsia="仿宋_GB2312"/>
          <w:sz w:val="32"/>
          <w:szCs w:val="32"/>
        </w:rPr>
        <w:t>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年度会计账簿</w:t>
      </w:r>
      <w:r>
        <w:rPr>
          <w:rFonts w:hint="eastAsia" w:ascii="仿宋_GB2312" w:hAnsi="仿宋" w:eastAsia="仿宋_GB2312"/>
          <w:sz w:val="32"/>
          <w:szCs w:val="32"/>
          <w:lang w:val="en-US" w:eastAsia="zh-CN"/>
        </w:rPr>
        <w:t>制作</w:t>
      </w:r>
      <w:r>
        <w:rPr>
          <w:rFonts w:hint="eastAsia" w:ascii="仿宋" w:hAnsi="仿宋" w:eastAsia="仿宋" w:cs="仿宋"/>
          <w:color w:val="000000"/>
          <w:sz w:val="32"/>
          <w:szCs w:val="32"/>
          <w:lang w:val="en-US" w:eastAsia="zh-CN"/>
        </w:rPr>
        <w:t>服务管理，提升</w:t>
      </w:r>
      <w:r>
        <w:rPr>
          <w:rFonts w:hint="eastAsia" w:ascii="仿宋_GB2312" w:hAnsi="仿宋" w:eastAsia="仿宋_GB2312"/>
          <w:sz w:val="32"/>
          <w:szCs w:val="32"/>
        </w:rPr>
        <w:t>会计账簿</w:t>
      </w:r>
      <w:r>
        <w:rPr>
          <w:rFonts w:hint="eastAsia" w:ascii="仿宋_GB2312" w:hAnsi="仿宋" w:eastAsia="仿宋_GB2312"/>
          <w:sz w:val="32"/>
          <w:szCs w:val="32"/>
          <w:lang w:val="en-US" w:eastAsia="zh-CN"/>
        </w:rPr>
        <w:t>装订</w:t>
      </w:r>
      <w:r>
        <w:rPr>
          <w:rFonts w:hint="eastAsia" w:ascii="仿宋" w:hAnsi="仿宋" w:eastAsia="仿宋" w:cs="仿宋"/>
          <w:color w:val="000000"/>
          <w:sz w:val="32"/>
          <w:szCs w:val="32"/>
          <w:lang w:val="en-US" w:eastAsia="zh-CN"/>
        </w:rPr>
        <w:t>质量。现对楚雄供电局2025年度会计账簿、报表档案资料整理装订项目进行采购，请贵单位按照本函要求据实、完整提交报价文件。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（二）资金落实情况：</w:t>
      </w:r>
      <w:r>
        <w:rPr>
          <w:rFonts w:hint="eastAsia" w:ascii="仿宋" w:hAnsi="仿宋" w:eastAsia="仿宋" w:cs="仿宋"/>
          <w:color w:val="000000"/>
          <w:sz w:val="32"/>
          <w:szCs w:val="32"/>
          <w:u w:val="single"/>
          <w:lang w:val="en-US" w:eastAsia="zh-CN"/>
        </w:rPr>
        <w:t>已落实</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（三）预计采购金额：</w:t>
      </w:r>
      <w:r>
        <w:rPr>
          <w:rFonts w:hint="eastAsia" w:ascii="仿宋" w:hAnsi="仿宋" w:eastAsia="仿宋" w:cs="仿宋"/>
          <w:color w:val="000000"/>
          <w:sz w:val="32"/>
          <w:szCs w:val="32"/>
          <w:u w:val="none"/>
          <w:lang w:val="en-US" w:eastAsia="zh-CN"/>
        </w:rPr>
        <w:t>人民币</w:t>
      </w:r>
      <w:r>
        <w:rPr>
          <w:rFonts w:hint="eastAsia" w:ascii="仿宋" w:hAnsi="仿宋" w:eastAsia="仿宋" w:cs="仿宋"/>
          <w:color w:val="000000"/>
          <w:sz w:val="32"/>
          <w:szCs w:val="32"/>
          <w:u w:val="single"/>
          <w:lang w:val="en-US" w:eastAsia="zh-CN"/>
        </w:rPr>
        <w:t>2.50</w:t>
      </w:r>
      <w:r>
        <w:rPr>
          <w:rFonts w:hint="eastAsia" w:ascii="仿宋" w:hAnsi="仿宋" w:eastAsia="仿宋" w:cs="仿宋"/>
          <w:color w:val="000000"/>
          <w:sz w:val="32"/>
          <w:szCs w:val="32"/>
          <w:u w:val="none"/>
          <w:lang w:val="en-US" w:eastAsia="zh-CN"/>
        </w:rPr>
        <w:t>万元</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（四）资金类别：</w:t>
      </w:r>
      <w:r>
        <w:rPr>
          <w:rFonts w:hint="eastAsia" w:ascii="仿宋" w:hAnsi="仿宋" w:eastAsia="仿宋" w:cs="仿宋"/>
          <w:color w:val="000000"/>
          <w:sz w:val="32"/>
          <w:szCs w:val="32"/>
          <w:u w:val="single"/>
          <w:lang w:val="en-US" w:eastAsia="zh-CN"/>
        </w:rPr>
        <w:t>管理费用-</w:t>
      </w:r>
      <w:r>
        <w:rPr>
          <w:rFonts w:hint="eastAsia" w:ascii="仿宋" w:hAnsi="仿宋" w:eastAsia="仿宋" w:cs="仿宋"/>
          <w:color w:val="000000"/>
          <w:sz w:val="32"/>
          <w:szCs w:val="32"/>
          <w:u w:val="single"/>
          <w:lang w:val="en-US" w:eastAsia="zh-CN"/>
        </w:rPr>
        <w:t>办公费</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（六）项目最高限价：</w:t>
      </w:r>
      <w:r>
        <w:rPr>
          <w:rFonts w:hint="eastAsia" w:ascii="仿宋" w:hAnsi="仿宋" w:eastAsia="仿宋" w:cs="仿宋"/>
          <w:color w:val="000000"/>
          <w:sz w:val="32"/>
          <w:szCs w:val="32"/>
          <w:u w:val="none"/>
          <w:lang w:val="en-US" w:eastAsia="zh-CN"/>
        </w:rPr>
        <w:t>人民币</w:t>
      </w:r>
      <w:r>
        <w:rPr>
          <w:rFonts w:hint="eastAsia" w:ascii="仿宋" w:hAnsi="仿宋" w:eastAsia="仿宋" w:cs="仿宋"/>
          <w:color w:val="000000"/>
          <w:sz w:val="32"/>
          <w:szCs w:val="32"/>
          <w:u w:val="single"/>
          <w:lang w:val="en-US" w:eastAsia="zh-CN"/>
        </w:rPr>
        <w:t>2.50</w:t>
      </w:r>
      <w:r>
        <w:rPr>
          <w:rFonts w:hint="eastAsia" w:ascii="仿宋" w:hAnsi="仿宋" w:eastAsia="仿宋" w:cs="仿宋"/>
          <w:color w:val="000000"/>
          <w:sz w:val="32"/>
          <w:szCs w:val="32"/>
          <w:u w:val="none"/>
          <w:lang w:val="en-US" w:eastAsia="zh-CN"/>
        </w:rPr>
        <w:t>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（七）项目专业类别：</w:t>
      </w:r>
      <w:r>
        <w:rPr>
          <w:rFonts w:hint="eastAsia" w:ascii="仿宋" w:hAnsi="仿宋" w:eastAsia="仿宋" w:cs="仿宋"/>
          <w:color w:val="000000"/>
          <w:sz w:val="32"/>
          <w:szCs w:val="32"/>
          <w:u w:val="single"/>
          <w:lang w:val="en-US" w:eastAsia="zh-CN"/>
        </w:rPr>
        <w:t>服务</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（八）需求部门：</w:t>
      </w:r>
      <w:r>
        <w:rPr>
          <w:rFonts w:hint="eastAsia" w:ascii="仿宋" w:hAnsi="仿宋" w:eastAsia="仿宋" w:cs="仿宋"/>
          <w:color w:val="000000"/>
          <w:sz w:val="32"/>
          <w:szCs w:val="32"/>
          <w:u w:val="single"/>
          <w:lang w:val="en-US" w:eastAsia="zh-CN"/>
        </w:rPr>
        <w:t>楚雄供电局财务共享中心</w:t>
      </w:r>
      <w:r>
        <w:rPr>
          <w:rFonts w:hint="eastAsia" w:ascii="仿宋" w:hAnsi="仿宋" w:eastAsia="仿宋" w:cs="仿宋"/>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二、采购内容及要求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（一）采购内容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 w:eastAsia="仿宋_GB2312"/>
          <w:sz w:val="32"/>
          <w:szCs w:val="32"/>
        </w:rPr>
      </w:pPr>
      <w:r>
        <w:rPr>
          <w:rFonts w:hint="eastAsia" w:ascii="仿宋" w:hAnsi="仿宋" w:eastAsia="仿宋" w:cs="仿宋"/>
          <w:color w:val="000000"/>
          <w:sz w:val="32"/>
          <w:szCs w:val="32"/>
          <w:lang w:val="en-US" w:eastAsia="zh-CN"/>
        </w:rPr>
        <w:t>1．服务内容：</w:t>
      </w:r>
      <w:r>
        <w:rPr>
          <w:rFonts w:hint="eastAsia" w:ascii="仿宋_GB2312" w:hAnsi="仿宋" w:eastAsia="仿宋_GB2312"/>
          <w:sz w:val="32"/>
          <w:szCs w:val="32"/>
        </w:rPr>
        <w:t>云南电网有</w:t>
      </w:r>
      <w:bookmarkStart w:id="0" w:name="_GoBack"/>
      <w:bookmarkEnd w:id="0"/>
      <w:r>
        <w:rPr>
          <w:rFonts w:hint="eastAsia" w:ascii="仿宋_GB2312" w:hAnsi="仿宋" w:eastAsia="仿宋_GB2312"/>
          <w:sz w:val="32"/>
          <w:szCs w:val="32"/>
        </w:rPr>
        <w:t>限责任公司楚雄供电局202</w:t>
      </w:r>
      <w:r>
        <w:rPr>
          <w:rFonts w:hint="eastAsia" w:ascii="仿宋_GB2312" w:hAnsi="仿宋" w:eastAsia="仿宋_GB2312"/>
          <w:sz w:val="32"/>
          <w:szCs w:val="32"/>
          <w:lang w:val="en-US" w:eastAsia="zh-CN"/>
        </w:rPr>
        <w:t>5</w:t>
      </w:r>
      <w:r>
        <w:rPr>
          <w:rFonts w:hint="eastAsia" w:ascii="仿宋_GB2312" w:hAnsi="仿宋" w:eastAsia="仿宋_GB2312"/>
          <w:sz w:val="32"/>
          <w:szCs w:val="32"/>
        </w:rPr>
        <w:t>年度会计账簿</w:t>
      </w:r>
      <w:r>
        <w:rPr>
          <w:rFonts w:hint="eastAsia" w:ascii="仿宋_GB2312" w:hAnsi="仿宋" w:eastAsia="仿宋_GB2312"/>
          <w:sz w:val="32"/>
          <w:szCs w:val="32"/>
          <w:lang w:val="en-US" w:eastAsia="zh-CN"/>
        </w:rPr>
        <w:t>制作服务</w:t>
      </w:r>
      <w:r>
        <w:rPr>
          <w:rFonts w:hint="eastAsia" w:ascii="仿宋_GB2312" w:hAnsi="仿宋" w:eastAsia="仿宋_GB2312"/>
          <w:sz w:val="32"/>
          <w:szCs w:val="32"/>
        </w:rPr>
        <w:t>项目，</w:t>
      </w:r>
      <w:r>
        <w:rPr>
          <w:rFonts w:hint="eastAsia" w:ascii="仿宋_GB2312" w:hAnsi="仿宋" w:eastAsia="仿宋_GB2312"/>
          <w:sz w:val="32"/>
          <w:szCs w:val="32"/>
          <w:lang w:val="en-US" w:eastAsia="zh-CN"/>
        </w:rPr>
        <w:t>内容</w:t>
      </w:r>
      <w:r>
        <w:rPr>
          <w:rFonts w:hint="eastAsia" w:ascii="仿宋_GB2312" w:hAnsi="仿宋" w:eastAsia="仿宋_GB2312"/>
          <w:sz w:val="32"/>
          <w:szCs w:val="32"/>
        </w:rPr>
        <w:t>包括</w:t>
      </w:r>
      <w:r>
        <w:rPr>
          <w:rFonts w:hint="eastAsia" w:ascii="仿宋_GB2312" w:hAnsi="仿宋" w:eastAsia="仿宋_GB2312"/>
          <w:sz w:val="32"/>
          <w:szCs w:val="32"/>
          <w:lang w:val="en-US" w:eastAsia="zh-CN"/>
        </w:rPr>
        <w:t>会计账薄、报表等档案资料整理、</w:t>
      </w:r>
      <w:r>
        <w:rPr>
          <w:rFonts w:hint="eastAsia" w:ascii="仿宋_GB2312" w:hAnsi="仿宋" w:eastAsia="仿宋_GB2312"/>
          <w:sz w:val="32"/>
          <w:szCs w:val="32"/>
        </w:rPr>
        <w:t>数据输</w:t>
      </w:r>
      <w:r>
        <w:rPr>
          <w:rFonts w:hint="eastAsia" w:ascii="仿宋_GB2312" w:hAnsi="仿宋" w:eastAsia="仿宋_GB2312"/>
          <w:color w:val="auto"/>
          <w:sz w:val="32"/>
          <w:szCs w:val="32"/>
        </w:rPr>
        <w:t>出、数据校对、数据整理、编制目录、排版打印、包装、检查、</w:t>
      </w:r>
      <w:r>
        <w:rPr>
          <w:rFonts w:hint="eastAsia" w:ascii="仿宋_GB2312" w:hAnsi="仿宋" w:eastAsia="仿宋_GB2312"/>
          <w:color w:val="auto"/>
          <w:sz w:val="32"/>
          <w:szCs w:val="32"/>
          <w:lang w:val="en-US" w:eastAsia="zh-CN"/>
        </w:rPr>
        <w:t>装盒、</w:t>
      </w:r>
      <w:r>
        <w:rPr>
          <w:rFonts w:hint="eastAsia" w:ascii="仿宋_GB2312" w:hAnsi="仿宋" w:eastAsia="仿宋_GB2312"/>
          <w:color w:val="auto"/>
          <w:sz w:val="32"/>
          <w:szCs w:val="32"/>
        </w:rPr>
        <w:t>交付等。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000000"/>
          <w:sz w:val="32"/>
          <w:szCs w:val="32"/>
          <w:lang w:val="en-US" w:eastAsia="zh-CN"/>
        </w:rPr>
        <w:t>２．</w:t>
      </w:r>
      <w:r>
        <w:rPr>
          <w:rFonts w:hint="eastAsia" w:ascii="仿宋" w:hAnsi="仿宋" w:eastAsia="仿宋" w:cs="仿宋"/>
          <w:color w:val="000000"/>
          <w:spacing w:val="-6"/>
          <w:kern w:val="0"/>
          <w:sz w:val="32"/>
          <w:szCs w:val="32"/>
          <w:lang w:val="en-US" w:eastAsia="zh-CN"/>
        </w:rPr>
        <w:t>服</w:t>
      </w:r>
      <w:r>
        <w:rPr>
          <w:rFonts w:hint="eastAsia" w:ascii="仿宋" w:hAnsi="仿宋" w:eastAsia="仿宋" w:cs="仿宋"/>
          <w:color w:val="auto"/>
          <w:spacing w:val="-6"/>
          <w:kern w:val="0"/>
          <w:sz w:val="32"/>
          <w:szCs w:val="32"/>
          <w:lang w:val="en-US" w:eastAsia="zh-CN"/>
        </w:rPr>
        <w:t>务期限：自合同签订之日起至</w:t>
      </w:r>
      <w:r>
        <w:rPr>
          <w:rFonts w:hint="eastAsia" w:ascii="仿宋_GB2312" w:hAnsi="仿宋" w:eastAsia="仿宋_GB2312"/>
          <w:sz w:val="32"/>
          <w:szCs w:val="32"/>
        </w:rPr>
        <w:t>202</w:t>
      </w:r>
      <w:r>
        <w:rPr>
          <w:rFonts w:hint="eastAsia" w:ascii="仿宋_GB2312" w:hAnsi="仿宋" w:eastAsia="仿宋_GB2312"/>
          <w:sz w:val="32"/>
          <w:szCs w:val="32"/>
          <w:lang w:val="en-US" w:eastAsia="zh-CN"/>
        </w:rPr>
        <w:t>6</w:t>
      </w:r>
      <w:r>
        <w:rPr>
          <w:rFonts w:hint="eastAsia" w:ascii="仿宋_GB2312" w:hAnsi="仿宋" w:eastAsia="仿宋_GB2312"/>
          <w:sz w:val="32"/>
          <w:szCs w:val="32"/>
        </w:rPr>
        <w:t>年</w:t>
      </w:r>
      <w:r>
        <w:rPr>
          <w:rFonts w:hint="eastAsia" w:ascii="仿宋_GB2312" w:hAnsi="仿宋" w:eastAsia="仿宋_GB2312"/>
          <w:sz w:val="32"/>
          <w:szCs w:val="32"/>
          <w:lang w:val="en-US" w:eastAsia="zh-CN"/>
        </w:rPr>
        <w:t>12</w:t>
      </w:r>
      <w:r>
        <w:rPr>
          <w:rFonts w:hint="eastAsia" w:ascii="仿宋_GB2312" w:hAnsi="仿宋" w:eastAsia="仿宋_GB2312"/>
          <w:sz w:val="32"/>
          <w:szCs w:val="32"/>
        </w:rPr>
        <w:t>月</w:t>
      </w:r>
      <w:r>
        <w:rPr>
          <w:rFonts w:hint="eastAsia" w:ascii="仿宋_GB2312" w:hAnsi="仿宋" w:eastAsia="仿宋_GB2312"/>
          <w:sz w:val="32"/>
          <w:szCs w:val="32"/>
          <w:lang w:val="en-US" w:eastAsia="zh-CN"/>
        </w:rPr>
        <w:t>15</w:t>
      </w:r>
      <w:r>
        <w:rPr>
          <w:rFonts w:hint="eastAsia" w:ascii="仿宋_GB2312" w:hAnsi="仿宋" w:eastAsia="仿宋_GB2312"/>
          <w:sz w:val="32"/>
          <w:szCs w:val="32"/>
        </w:rPr>
        <w:t>日</w:t>
      </w:r>
      <w:r>
        <w:rPr>
          <w:rFonts w:hint="eastAsia" w:ascii="仿宋" w:hAnsi="仿宋" w:eastAsia="仿宋" w:cs="仿宋"/>
          <w:color w:val="auto"/>
          <w:spacing w:val="-6"/>
          <w:kern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３．服务地点：</w:t>
      </w:r>
      <w:r>
        <w:rPr>
          <w:rFonts w:hint="eastAsia" w:ascii="仿宋" w:hAnsi="仿宋" w:eastAsia="仿宋" w:cs="仿宋"/>
          <w:color w:val="auto"/>
          <w:spacing w:val="-6"/>
          <w:kern w:val="0"/>
          <w:sz w:val="32"/>
          <w:szCs w:val="32"/>
          <w:lang w:val="en-US" w:eastAsia="zh-CN"/>
        </w:rPr>
        <w:t>云南省楚雄市。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（二）服务要求</w:t>
      </w:r>
    </w:p>
    <w:tbl>
      <w:tblPr>
        <w:tblStyle w:val="7"/>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2249"/>
        <w:gridCol w:w="5328"/>
        <w:gridCol w:w="1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85" w:type="dxa"/>
            <w:noWrap w:val="0"/>
            <w:vAlign w:val="center"/>
          </w:tcPr>
          <w:p>
            <w:pPr>
              <w:jc w:val="center"/>
              <w:rPr>
                <w:rFonts w:hint="eastAsia" w:ascii="仿宋_GB2312" w:hAnsi="仿宋" w:eastAsia="仿宋_GB2312" w:cs="仿宋"/>
                <w:b/>
                <w:bCs/>
                <w:color w:val="000000"/>
                <w:kern w:val="0"/>
                <w:sz w:val="28"/>
                <w:szCs w:val="28"/>
              </w:rPr>
            </w:pPr>
            <w:r>
              <w:rPr>
                <w:rFonts w:hint="eastAsia" w:ascii="仿宋_GB2312" w:hAnsi="仿宋" w:eastAsia="仿宋_GB2312" w:cs="仿宋"/>
                <w:b/>
                <w:bCs/>
                <w:sz w:val="28"/>
                <w:szCs w:val="28"/>
              </w:rPr>
              <w:t>序号</w:t>
            </w:r>
          </w:p>
        </w:tc>
        <w:tc>
          <w:tcPr>
            <w:tcW w:w="2249" w:type="dxa"/>
            <w:noWrap w:val="0"/>
            <w:vAlign w:val="center"/>
          </w:tcPr>
          <w:p>
            <w:pPr>
              <w:jc w:val="center"/>
              <w:rPr>
                <w:rFonts w:hint="eastAsia" w:ascii="仿宋_GB2312" w:hAnsi="仿宋" w:eastAsia="仿宋_GB2312" w:cs="仿宋"/>
                <w:b/>
                <w:bCs/>
                <w:color w:val="000000"/>
                <w:kern w:val="0"/>
                <w:sz w:val="28"/>
                <w:szCs w:val="28"/>
              </w:rPr>
            </w:pPr>
            <w:r>
              <w:rPr>
                <w:rFonts w:hint="eastAsia" w:ascii="仿宋_GB2312" w:hAnsi="仿宋" w:eastAsia="仿宋_GB2312" w:cs="仿宋"/>
                <w:b/>
                <w:bCs/>
                <w:sz w:val="28"/>
                <w:szCs w:val="28"/>
              </w:rPr>
              <w:t>类别名称</w:t>
            </w:r>
          </w:p>
        </w:tc>
        <w:tc>
          <w:tcPr>
            <w:tcW w:w="5328" w:type="dxa"/>
            <w:noWrap w:val="0"/>
            <w:vAlign w:val="center"/>
          </w:tcPr>
          <w:p>
            <w:pPr>
              <w:jc w:val="center"/>
              <w:rPr>
                <w:rFonts w:hint="eastAsia" w:ascii="仿宋_GB2312" w:hAnsi="仿宋" w:eastAsia="仿宋_GB2312" w:cs="仿宋"/>
                <w:b/>
                <w:bCs/>
                <w:sz w:val="28"/>
                <w:szCs w:val="28"/>
              </w:rPr>
            </w:pPr>
            <w:r>
              <w:rPr>
                <w:rFonts w:hint="eastAsia" w:ascii="仿宋_GB2312" w:hAnsi="仿宋" w:eastAsia="仿宋_GB2312" w:cs="仿宋"/>
                <w:b/>
                <w:bCs/>
                <w:sz w:val="28"/>
                <w:szCs w:val="28"/>
              </w:rPr>
              <w:t>说明</w:t>
            </w:r>
          </w:p>
        </w:tc>
        <w:tc>
          <w:tcPr>
            <w:tcW w:w="1254" w:type="dxa"/>
            <w:noWrap w:val="0"/>
            <w:vAlign w:val="center"/>
          </w:tcPr>
          <w:p>
            <w:pPr>
              <w:jc w:val="center"/>
              <w:rPr>
                <w:rFonts w:hint="eastAsia" w:ascii="仿宋_GB2312" w:hAnsi="仿宋" w:eastAsia="仿宋_GB2312" w:cs="仿宋"/>
                <w:b/>
                <w:bCs/>
                <w:color w:val="000000"/>
                <w:kern w:val="0"/>
                <w:sz w:val="28"/>
                <w:szCs w:val="28"/>
              </w:rPr>
            </w:pPr>
            <w:r>
              <w:rPr>
                <w:rFonts w:hint="eastAsia" w:ascii="仿宋_GB2312" w:hAnsi="仿宋" w:eastAsia="仿宋_GB2312" w:cs="仿宋"/>
                <w:b/>
                <w:bCs/>
                <w:sz w:val="28"/>
                <w:szCs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exact"/>
          <w:jc w:val="center"/>
        </w:trPr>
        <w:tc>
          <w:tcPr>
            <w:tcW w:w="885" w:type="dxa"/>
            <w:noWrap w:val="0"/>
            <w:vAlign w:val="center"/>
          </w:tcPr>
          <w:p>
            <w:pPr>
              <w:spacing w:line="560" w:lineRule="exact"/>
              <w:jc w:val="center"/>
              <w:rPr>
                <w:rFonts w:hint="eastAsia" w:ascii="仿宋_GB2312" w:hAnsi="仿宋" w:eastAsia="仿宋_GB2312" w:cs="仿宋"/>
                <w:bCs/>
                <w:color w:val="000000"/>
                <w:kern w:val="0"/>
                <w:sz w:val="28"/>
                <w:szCs w:val="28"/>
              </w:rPr>
            </w:pPr>
            <w:r>
              <w:rPr>
                <w:rFonts w:hint="eastAsia" w:ascii="仿宋_GB2312" w:hAnsi="仿宋" w:eastAsia="仿宋_GB2312" w:cs="仿宋"/>
                <w:bCs/>
                <w:color w:val="000000"/>
                <w:kern w:val="0"/>
                <w:sz w:val="28"/>
                <w:szCs w:val="28"/>
              </w:rPr>
              <w:t>1</w:t>
            </w:r>
          </w:p>
        </w:tc>
        <w:tc>
          <w:tcPr>
            <w:tcW w:w="2249" w:type="dxa"/>
            <w:noWrap w:val="0"/>
            <w:vAlign w:val="center"/>
          </w:tcPr>
          <w:p>
            <w:pPr>
              <w:jc w:val="center"/>
              <w:rPr>
                <w:rFonts w:hint="eastAsia" w:ascii="仿宋_GB2312" w:hAnsi="仿宋" w:eastAsia="仿宋_GB2312" w:cs="仿宋"/>
                <w:b/>
                <w:bCs/>
                <w:sz w:val="28"/>
                <w:szCs w:val="28"/>
              </w:rPr>
            </w:pPr>
            <w:r>
              <w:rPr>
                <w:rFonts w:hint="eastAsia" w:ascii="仿宋_GB2312" w:hAnsi="仿宋" w:eastAsia="仿宋_GB2312" w:cs="仿宋"/>
                <w:b/>
                <w:bCs/>
                <w:sz w:val="28"/>
                <w:szCs w:val="28"/>
              </w:rPr>
              <w:t>汇总表</w:t>
            </w:r>
          </w:p>
        </w:tc>
        <w:tc>
          <w:tcPr>
            <w:tcW w:w="5328" w:type="dxa"/>
            <w:noWrap w:val="0"/>
            <w:vAlign w:val="center"/>
          </w:tcPr>
          <w:p>
            <w:pPr>
              <w:widowControl/>
              <w:spacing w:line="400" w:lineRule="exact"/>
              <w:jc w:val="center"/>
              <w:rPr>
                <w:rFonts w:hint="eastAsia" w:ascii="仿宋_GB2312" w:hAnsi="仿宋" w:eastAsia="仿宋_GB2312" w:cs="仿宋"/>
                <w:bCs/>
                <w:kern w:val="0"/>
                <w:sz w:val="28"/>
                <w:szCs w:val="28"/>
              </w:rPr>
            </w:pPr>
            <w:r>
              <w:rPr>
                <w:rFonts w:hint="eastAsia" w:ascii="仿宋_GB2312" w:hAnsi="仿宋" w:eastAsia="仿宋_GB2312" w:cs="仿宋"/>
                <w:bCs/>
                <w:kern w:val="0"/>
                <w:sz w:val="28"/>
                <w:szCs w:val="28"/>
              </w:rPr>
              <w:t>总账汇总表、科目汇总表、主核算汇总表、辅核算汇总表、特殊科目专项核算汇总表</w:t>
            </w:r>
          </w:p>
        </w:tc>
        <w:tc>
          <w:tcPr>
            <w:tcW w:w="1254" w:type="dxa"/>
            <w:noWrap w:val="0"/>
            <w:vAlign w:val="center"/>
          </w:tcPr>
          <w:p>
            <w:pPr>
              <w:widowControl/>
              <w:spacing w:line="400" w:lineRule="exact"/>
              <w:jc w:val="center"/>
              <w:rPr>
                <w:rFonts w:hint="eastAsia" w:ascii="黑体" w:hAnsi="仿宋" w:eastAsia="黑体" w:cs="仿宋"/>
                <w:b/>
                <w:bCs/>
                <w:color w:val="FF0000"/>
                <w:kern w:val="0"/>
                <w:sz w:val="28"/>
                <w:szCs w:val="28"/>
              </w:rPr>
            </w:pPr>
            <w:r>
              <w:rPr>
                <w:rFonts w:hint="eastAsia" w:ascii="黑体" w:hAnsi="仿宋" w:eastAsia="黑体" w:cs="仿宋"/>
                <w:b/>
                <w:bCs/>
                <w:kern w:val="0"/>
                <w:sz w:val="28"/>
                <w:szCs w:val="28"/>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exact"/>
          <w:jc w:val="center"/>
        </w:trPr>
        <w:tc>
          <w:tcPr>
            <w:tcW w:w="885" w:type="dxa"/>
            <w:noWrap w:val="0"/>
            <w:vAlign w:val="center"/>
          </w:tcPr>
          <w:p>
            <w:pPr>
              <w:spacing w:line="560" w:lineRule="exact"/>
              <w:jc w:val="center"/>
              <w:rPr>
                <w:rFonts w:hint="eastAsia" w:ascii="仿宋_GB2312" w:hAnsi="仿宋" w:eastAsia="仿宋_GB2312" w:cs="仿宋"/>
                <w:bCs/>
                <w:color w:val="000000"/>
                <w:kern w:val="0"/>
                <w:sz w:val="28"/>
                <w:szCs w:val="28"/>
              </w:rPr>
            </w:pPr>
            <w:r>
              <w:rPr>
                <w:rFonts w:hint="eastAsia" w:ascii="仿宋_GB2312" w:hAnsi="仿宋" w:eastAsia="仿宋_GB2312" w:cs="仿宋"/>
                <w:bCs/>
                <w:color w:val="000000"/>
                <w:kern w:val="0"/>
                <w:sz w:val="28"/>
                <w:szCs w:val="28"/>
              </w:rPr>
              <w:t>2</w:t>
            </w:r>
          </w:p>
        </w:tc>
        <w:tc>
          <w:tcPr>
            <w:tcW w:w="2249" w:type="dxa"/>
            <w:noWrap w:val="0"/>
            <w:vAlign w:val="center"/>
          </w:tcPr>
          <w:p>
            <w:pPr>
              <w:jc w:val="center"/>
              <w:rPr>
                <w:rFonts w:hint="eastAsia" w:ascii="仿宋_GB2312" w:hAnsi="仿宋" w:eastAsia="仿宋_GB2312" w:cs="仿宋"/>
                <w:b/>
                <w:bCs/>
                <w:sz w:val="28"/>
                <w:szCs w:val="28"/>
              </w:rPr>
            </w:pPr>
            <w:r>
              <w:rPr>
                <w:rFonts w:hint="eastAsia" w:ascii="仿宋_GB2312" w:hAnsi="仿宋" w:eastAsia="仿宋_GB2312" w:cs="仿宋"/>
                <w:b/>
                <w:bCs/>
                <w:sz w:val="28"/>
                <w:szCs w:val="28"/>
              </w:rPr>
              <w:t>总分类账</w:t>
            </w:r>
          </w:p>
        </w:tc>
        <w:tc>
          <w:tcPr>
            <w:tcW w:w="5328" w:type="dxa"/>
            <w:noWrap w:val="0"/>
            <w:vAlign w:val="center"/>
          </w:tcPr>
          <w:p>
            <w:pPr>
              <w:widowControl/>
              <w:spacing w:line="400" w:lineRule="exact"/>
              <w:jc w:val="center"/>
              <w:rPr>
                <w:rFonts w:hint="eastAsia" w:ascii="仿宋_GB2312" w:hAnsi="仿宋" w:eastAsia="仿宋_GB2312" w:cs="仿宋"/>
                <w:bCs/>
                <w:kern w:val="0"/>
                <w:sz w:val="28"/>
                <w:szCs w:val="28"/>
              </w:rPr>
            </w:pPr>
            <w:r>
              <w:rPr>
                <w:rFonts w:hint="eastAsia" w:ascii="仿宋_GB2312" w:hAnsi="仿宋" w:eastAsia="仿宋_GB2312" w:cs="仿宋"/>
                <w:bCs/>
                <w:kern w:val="0"/>
                <w:sz w:val="28"/>
                <w:szCs w:val="28"/>
              </w:rPr>
              <w:t>所有一级科目总分类账。</w:t>
            </w:r>
          </w:p>
        </w:tc>
        <w:tc>
          <w:tcPr>
            <w:tcW w:w="1254" w:type="dxa"/>
            <w:noWrap w:val="0"/>
            <w:vAlign w:val="center"/>
          </w:tcPr>
          <w:p>
            <w:pPr>
              <w:widowControl/>
              <w:spacing w:line="400" w:lineRule="exact"/>
              <w:jc w:val="center"/>
              <w:rPr>
                <w:rFonts w:hint="eastAsia" w:ascii="黑体" w:hAnsi="仿宋" w:eastAsia="黑体" w:cs="仿宋"/>
                <w:b/>
                <w:bCs/>
                <w:color w:val="FF0000"/>
                <w:kern w:val="0"/>
                <w:sz w:val="28"/>
                <w:szCs w:val="28"/>
              </w:rPr>
            </w:pPr>
            <w:r>
              <w:rPr>
                <w:rFonts w:hint="eastAsia" w:ascii="黑体" w:hAnsi="仿宋" w:eastAsia="黑体" w:cs="仿宋"/>
                <w:b/>
                <w:bCs/>
                <w:kern w:val="0"/>
                <w:sz w:val="28"/>
                <w:szCs w:val="28"/>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885" w:type="dxa"/>
            <w:noWrap w:val="0"/>
            <w:vAlign w:val="center"/>
          </w:tcPr>
          <w:p>
            <w:pPr>
              <w:spacing w:line="560" w:lineRule="exact"/>
              <w:jc w:val="center"/>
              <w:rPr>
                <w:rFonts w:hint="eastAsia" w:ascii="仿宋_GB2312" w:hAnsi="仿宋" w:eastAsia="仿宋_GB2312" w:cs="仿宋"/>
                <w:bCs/>
                <w:color w:val="000000"/>
                <w:kern w:val="0"/>
                <w:sz w:val="28"/>
                <w:szCs w:val="28"/>
              </w:rPr>
            </w:pPr>
            <w:r>
              <w:rPr>
                <w:rFonts w:hint="eastAsia" w:ascii="仿宋_GB2312" w:hAnsi="仿宋" w:eastAsia="仿宋_GB2312" w:cs="仿宋"/>
                <w:bCs/>
                <w:color w:val="000000"/>
                <w:kern w:val="0"/>
                <w:sz w:val="28"/>
                <w:szCs w:val="28"/>
              </w:rPr>
              <w:t>3</w:t>
            </w:r>
          </w:p>
        </w:tc>
        <w:tc>
          <w:tcPr>
            <w:tcW w:w="2249" w:type="dxa"/>
            <w:noWrap w:val="0"/>
            <w:vAlign w:val="center"/>
          </w:tcPr>
          <w:p>
            <w:pPr>
              <w:jc w:val="center"/>
              <w:rPr>
                <w:rFonts w:hint="eastAsia" w:ascii="仿宋_GB2312" w:hAnsi="仿宋" w:eastAsia="仿宋_GB2312" w:cs="仿宋"/>
                <w:b/>
                <w:bCs/>
                <w:sz w:val="28"/>
                <w:szCs w:val="28"/>
              </w:rPr>
            </w:pPr>
            <w:r>
              <w:rPr>
                <w:rFonts w:hint="eastAsia" w:ascii="仿宋_GB2312" w:hAnsi="仿宋" w:eastAsia="仿宋_GB2312" w:cs="仿宋"/>
                <w:b/>
                <w:bCs/>
                <w:sz w:val="28"/>
                <w:szCs w:val="28"/>
              </w:rPr>
              <w:t>日记账</w:t>
            </w:r>
          </w:p>
        </w:tc>
        <w:tc>
          <w:tcPr>
            <w:tcW w:w="5328" w:type="dxa"/>
            <w:noWrap w:val="0"/>
            <w:vAlign w:val="center"/>
          </w:tcPr>
          <w:p>
            <w:pPr>
              <w:widowControl/>
              <w:spacing w:line="400" w:lineRule="exact"/>
              <w:jc w:val="center"/>
              <w:rPr>
                <w:rFonts w:hint="eastAsia" w:ascii="仿宋_GB2312" w:hAnsi="仿宋" w:eastAsia="仿宋_GB2312" w:cs="仿宋"/>
                <w:bCs/>
                <w:kern w:val="0"/>
                <w:sz w:val="28"/>
                <w:szCs w:val="28"/>
              </w:rPr>
            </w:pPr>
            <w:r>
              <w:rPr>
                <w:rFonts w:hint="eastAsia" w:ascii="仿宋_GB2312" w:hAnsi="仿宋" w:eastAsia="仿宋_GB2312" w:cs="仿宋"/>
                <w:bCs/>
                <w:kern w:val="0"/>
                <w:sz w:val="28"/>
                <w:szCs w:val="28"/>
              </w:rPr>
              <w:t>现金、银行存款明细科目日记账。</w:t>
            </w:r>
          </w:p>
        </w:tc>
        <w:tc>
          <w:tcPr>
            <w:tcW w:w="1254" w:type="dxa"/>
            <w:noWrap w:val="0"/>
            <w:vAlign w:val="center"/>
          </w:tcPr>
          <w:p>
            <w:pPr>
              <w:widowControl/>
              <w:spacing w:line="400" w:lineRule="exact"/>
              <w:jc w:val="center"/>
              <w:rPr>
                <w:rFonts w:hint="eastAsia" w:ascii="黑体" w:hAnsi="仿宋" w:eastAsia="黑体" w:cs="仿宋"/>
                <w:b/>
                <w:bCs/>
                <w:color w:val="FF0000"/>
                <w:kern w:val="0"/>
                <w:sz w:val="28"/>
                <w:szCs w:val="28"/>
              </w:rPr>
            </w:pPr>
            <w:r>
              <w:rPr>
                <w:rFonts w:hint="eastAsia" w:ascii="黑体" w:hAnsi="仿宋" w:eastAsia="黑体" w:cs="仿宋"/>
                <w:b/>
                <w:bCs/>
                <w:kern w:val="0"/>
                <w:sz w:val="28"/>
                <w:szCs w:val="28"/>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exact"/>
          <w:jc w:val="center"/>
        </w:trPr>
        <w:tc>
          <w:tcPr>
            <w:tcW w:w="885" w:type="dxa"/>
            <w:noWrap w:val="0"/>
            <w:vAlign w:val="center"/>
          </w:tcPr>
          <w:p>
            <w:pPr>
              <w:spacing w:line="560" w:lineRule="exact"/>
              <w:jc w:val="center"/>
              <w:rPr>
                <w:rFonts w:hint="eastAsia" w:ascii="仿宋_GB2312" w:hAnsi="仿宋" w:eastAsia="仿宋_GB2312" w:cs="仿宋"/>
                <w:bCs/>
                <w:color w:val="000000"/>
                <w:kern w:val="0"/>
                <w:sz w:val="28"/>
                <w:szCs w:val="28"/>
              </w:rPr>
            </w:pPr>
            <w:r>
              <w:rPr>
                <w:rFonts w:hint="eastAsia" w:ascii="仿宋_GB2312" w:hAnsi="仿宋" w:eastAsia="仿宋_GB2312" w:cs="仿宋"/>
                <w:bCs/>
                <w:color w:val="000000"/>
                <w:kern w:val="0"/>
                <w:sz w:val="28"/>
                <w:szCs w:val="28"/>
              </w:rPr>
              <w:t>4</w:t>
            </w:r>
          </w:p>
        </w:tc>
        <w:tc>
          <w:tcPr>
            <w:tcW w:w="2249" w:type="dxa"/>
            <w:noWrap w:val="0"/>
            <w:vAlign w:val="center"/>
          </w:tcPr>
          <w:p>
            <w:pPr>
              <w:jc w:val="center"/>
              <w:rPr>
                <w:rFonts w:hint="eastAsia" w:ascii="仿宋_GB2312" w:hAnsi="仿宋" w:eastAsia="仿宋_GB2312" w:cs="仿宋"/>
                <w:b/>
                <w:bCs/>
                <w:sz w:val="28"/>
                <w:szCs w:val="28"/>
              </w:rPr>
            </w:pPr>
            <w:r>
              <w:rPr>
                <w:rFonts w:hint="eastAsia" w:ascii="仿宋_GB2312" w:hAnsi="仿宋" w:eastAsia="仿宋_GB2312" w:cs="仿宋"/>
                <w:b/>
                <w:bCs/>
                <w:sz w:val="28"/>
                <w:szCs w:val="28"/>
              </w:rPr>
              <w:t>明细分类账</w:t>
            </w:r>
          </w:p>
        </w:tc>
        <w:tc>
          <w:tcPr>
            <w:tcW w:w="5328" w:type="dxa"/>
            <w:noWrap w:val="0"/>
            <w:vAlign w:val="center"/>
          </w:tcPr>
          <w:p>
            <w:pPr>
              <w:widowControl/>
              <w:spacing w:line="400" w:lineRule="exact"/>
              <w:jc w:val="center"/>
              <w:rPr>
                <w:rFonts w:hint="eastAsia" w:ascii="仿宋_GB2312" w:hAnsi="仿宋" w:eastAsia="仿宋_GB2312" w:cs="仿宋"/>
                <w:bCs/>
                <w:kern w:val="0"/>
                <w:sz w:val="28"/>
                <w:szCs w:val="28"/>
              </w:rPr>
            </w:pPr>
            <w:r>
              <w:rPr>
                <w:rFonts w:hint="eastAsia" w:ascii="仿宋_GB2312" w:hAnsi="仿宋" w:eastAsia="仿宋_GB2312" w:cs="仿宋"/>
                <w:bCs/>
                <w:kern w:val="0"/>
                <w:sz w:val="28"/>
                <w:szCs w:val="28"/>
              </w:rPr>
              <w:t>所有底层科目明细分类账。</w:t>
            </w:r>
          </w:p>
        </w:tc>
        <w:tc>
          <w:tcPr>
            <w:tcW w:w="1254" w:type="dxa"/>
            <w:noWrap w:val="0"/>
            <w:vAlign w:val="center"/>
          </w:tcPr>
          <w:p>
            <w:pPr>
              <w:widowControl/>
              <w:spacing w:line="400" w:lineRule="exact"/>
              <w:jc w:val="center"/>
              <w:rPr>
                <w:rFonts w:hint="eastAsia" w:ascii="黑体" w:hAnsi="仿宋" w:eastAsia="黑体" w:cs="仿宋"/>
                <w:b/>
                <w:bCs/>
                <w:kern w:val="0"/>
                <w:sz w:val="28"/>
                <w:szCs w:val="28"/>
              </w:rPr>
            </w:pPr>
            <w:r>
              <w:rPr>
                <w:rFonts w:hint="eastAsia" w:ascii="黑体" w:hAnsi="仿宋" w:eastAsia="黑体" w:cs="仿宋"/>
                <w:b/>
                <w:bCs/>
                <w:kern w:val="0"/>
                <w:sz w:val="28"/>
                <w:szCs w:val="28"/>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exact"/>
          <w:jc w:val="center"/>
        </w:trPr>
        <w:tc>
          <w:tcPr>
            <w:tcW w:w="885" w:type="dxa"/>
            <w:noWrap w:val="0"/>
            <w:vAlign w:val="center"/>
          </w:tcPr>
          <w:p>
            <w:pPr>
              <w:spacing w:line="560" w:lineRule="exact"/>
              <w:jc w:val="center"/>
              <w:rPr>
                <w:rFonts w:hint="eastAsia" w:ascii="仿宋_GB2312" w:hAnsi="仿宋" w:eastAsia="仿宋_GB2312" w:cs="仿宋"/>
                <w:bCs/>
                <w:color w:val="000000"/>
                <w:kern w:val="0"/>
                <w:sz w:val="28"/>
                <w:szCs w:val="28"/>
              </w:rPr>
            </w:pPr>
            <w:r>
              <w:rPr>
                <w:rFonts w:hint="eastAsia" w:ascii="仿宋_GB2312" w:hAnsi="仿宋" w:eastAsia="仿宋_GB2312" w:cs="仿宋"/>
                <w:bCs/>
                <w:color w:val="000000"/>
                <w:kern w:val="0"/>
                <w:sz w:val="28"/>
                <w:szCs w:val="28"/>
              </w:rPr>
              <w:t>5</w:t>
            </w:r>
          </w:p>
        </w:tc>
        <w:tc>
          <w:tcPr>
            <w:tcW w:w="2249" w:type="dxa"/>
            <w:noWrap w:val="0"/>
            <w:vAlign w:val="center"/>
          </w:tcPr>
          <w:p>
            <w:pPr>
              <w:jc w:val="center"/>
              <w:rPr>
                <w:rFonts w:hint="eastAsia" w:ascii="仿宋_GB2312" w:hAnsi="仿宋" w:eastAsia="仿宋_GB2312" w:cs="仿宋"/>
                <w:b/>
                <w:bCs/>
                <w:sz w:val="28"/>
                <w:szCs w:val="28"/>
              </w:rPr>
            </w:pPr>
            <w:r>
              <w:rPr>
                <w:rFonts w:hint="eastAsia" w:ascii="仿宋_GB2312" w:hAnsi="仿宋" w:eastAsia="仿宋_GB2312" w:cs="仿宋"/>
                <w:b/>
                <w:bCs/>
                <w:sz w:val="28"/>
                <w:szCs w:val="28"/>
              </w:rPr>
              <w:t>专项核算明细账</w:t>
            </w:r>
          </w:p>
        </w:tc>
        <w:tc>
          <w:tcPr>
            <w:tcW w:w="5328" w:type="dxa"/>
            <w:noWrap w:val="0"/>
            <w:vAlign w:val="center"/>
          </w:tcPr>
          <w:p>
            <w:pPr>
              <w:widowControl/>
              <w:spacing w:line="400" w:lineRule="exact"/>
              <w:rPr>
                <w:rFonts w:hint="eastAsia" w:ascii="仿宋_GB2312" w:hAnsi="仿宋" w:eastAsia="仿宋_GB2312" w:cs="仿宋"/>
                <w:bCs/>
                <w:kern w:val="0"/>
                <w:sz w:val="28"/>
                <w:szCs w:val="28"/>
              </w:rPr>
            </w:pPr>
            <w:r>
              <w:rPr>
                <w:rFonts w:hint="eastAsia" w:ascii="仿宋_GB2312" w:hAnsi="仿宋" w:eastAsia="仿宋_GB2312" w:cs="仿宋"/>
                <w:bCs/>
                <w:kern w:val="0"/>
                <w:sz w:val="28"/>
                <w:szCs w:val="28"/>
              </w:rPr>
              <w:t>设置专项核算的科目，科目与专项核算对象交叉统计口径生成的明细分类账。</w:t>
            </w:r>
          </w:p>
        </w:tc>
        <w:tc>
          <w:tcPr>
            <w:tcW w:w="1254" w:type="dxa"/>
            <w:noWrap w:val="0"/>
            <w:vAlign w:val="center"/>
          </w:tcPr>
          <w:p>
            <w:pPr>
              <w:widowControl/>
              <w:spacing w:line="400" w:lineRule="exact"/>
              <w:jc w:val="center"/>
              <w:rPr>
                <w:rFonts w:hint="eastAsia" w:ascii="黑体" w:hAnsi="仿宋" w:eastAsia="黑体" w:cs="仿宋"/>
                <w:b/>
                <w:bCs/>
                <w:color w:val="FF0000"/>
                <w:kern w:val="0"/>
                <w:sz w:val="28"/>
                <w:szCs w:val="28"/>
              </w:rPr>
            </w:pPr>
            <w:r>
              <w:rPr>
                <w:rFonts w:hint="eastAsia" w:ascii="黑体" w:hAnsi="仿宋" w:eastAsia="黑体" w:cs="仿宋"/>
                <w:b/>
                <w:bCs/>
                <w:kern w:val="0"/>
                <w:sz w:val="28"/>
                <w:szCs w:val="28"/>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exact"/>
          <w:jc w:val="center"/>
        </w:trPr>
        <w:tc>
          <w:tcPr>
            <w:tcW w:w="885" w:type="dxa"/>
            <w:noWrap w:val="0"/>
            <w:vAlign w:val="center"/>
          </w:tcPr>
          <w:p>
            <w:pPr>
              <w:spacing w:line="560" w:lineRule="exact"/>
              <w:jc w:val="center"/>
              <w:rPr>
                <w:rFonts w:hint="eastAsia" w:ascii="仿宋_GB2312" w:hAnsi="仿宋" w:eastAsia="仿宋_GB2312" w:cs="仿宋"/>
                <w:bCs/>
                <w:color w:val="000000"/>
                <w:kern w:val="0"/>
                <w:sz w:val="28"/>
                <w:szCs w:val="28"/>
              </w:rPr>
            </w:pPr>
            <w:r>
              <w:rPr>
                <w:rFonts w:hint="eastAsia" w:ascii="仿宋_GB2312" w:hAnsi="仿宋" w:eastAsia="仿宋_GB2312" w:cs="仿宋"/>
                <w:bCs/>
                <w:color w:val="000000"/>
                <w:kern w:val="0"/>
                <w:sz w:val="28"/>
                <w:szCs w:val="28"/>
              </w:rPr>
              <w:t>6</w:t>
            </w:r>
          </w:p>
        </w:tc>
        <w:tc>
          <w:tcPr>
            <w:tcW w:w="2249" w:type="dxa"/>
            <w:noWrap w:val="0"/>
            <w:vAlign w:val="center"/>
          </w:tcPr>
          <w:p>
            <w:pPr>
              <w:jc w:val="center"/>
              <w:rPr>
                <w:rFonts w:hint="eastAsia" w:ascii="仿宋_GB2312" w:hAnsi="仿宋" w:eastAsia="仿宋_GB2312" w:cs="仿宋"/>
                <w:b/>
                <w:bCs/>
                <w:sz w:val="28"/>
                <w:szCs w:val="28"/>
              </w:rPr>
            </w:pPr>
            <w:r>
              <w:rPr>
                <w:rFonts w:hint="eastAsia" w:ascii="仿宋_GB2312" w:hAnsi="仿宋" w:eastAsia="仿宋_GB2312" w:cs="仿宋"/>
                <w:b/>
                <w:bCs/>
                <w:sz w:val="28"/>
                <w:szCs w:val="28"/>
              </w:rPr>
              <w:t>年度决算报表</w:t>
            </w:r>
          </w:p>
        </w:tc>
        <w:tc>
          <w:tcPr>
            <w:tcW w:w="5328" w:type="dxa"/>
            <w:noWrap w:val="0"/>
            <w:vAlign w:val="center"/>
          </w:tcPr>
          <w:p>
            <w:pPr>
              <w:widowControl/>
              <w:spacing w:line="400" w:lineRule="exact"/>
              <w:jc w:val="center"/>
              <w:rPr>
                <w:rFonts w:hint="eastAsia" w:ascii="仿宋_GB2312" w:hAnsi="仿宋" w:eastAsia="仿宋_GB2312" w:cs="仿宋"/>
                <w:bCs/>
                <w:kern w:val="0"/>
                <w:sz w:val="28"/>
                <w:szCs w:val="28"/>
              </w:rPr>
            </w:pPr>
            <w:r>
              <w:rPr>
                <w:rFonts w:hint="eastAsia" w:ascii="仿宋_GB2312" w:hAnsi="仿宋" w:eastAsia="仿宋_GB2312" w:cs="仿宋"/>
                <w:bCs/>
                <w:kern w:val="0"/>
                <w:sz w:val="28"/>
                <w:szCs w:val="28"/>
              </w:rPr>
              <w:t>年度决算报表与相关附件、说明。</w:t>
            </w:r>
          </w:p>
        </w:tc>
        <w:tc>
          <w:tcPr>
            <w:tcW w:w="1254" w:type="dxa"/>
            <w:noWrap w:val="0"/>
            <w:vAlign w:val="center"/>
          </w:tcPr>
          <w:p>
            <w:pPr>
              <w:widowControl/>
              <w:spacing w:line="400" w:lineRule="exact"/>
              <w:jc w:val="center"/>
              <w:rPr>
                <w:rFonts w:hint="eastAsia" w:ascii="黑体" w:hAnsi="仿宋" w:eastAsia="黑体" w:cs="仿宋"/>
                <w:b/>
                <w:bCs/>
                <w:kern w:val="0"/>
                <w:sz w:val="28"/>
                <w:szCs w:val="28"/>
              </w:rPr>
            </w:pPr>
            <w:r>
              <w:rPr>
                <w:rFonts w:hint="eastAsia" w:ascii="黑体" w:hAnsi="仿宋" w:eastAsia="黑体" w:cs="仿宋"/>
                <w:b/>
                <w:bCs/>
                <w:kern w:val="0"/>
                <w:sz w:val="28"/>
                <w:szCs w:val="28"/>
                <w:highlight w:val="none"/>
                <w:lang w:val="en-US" w:eastAsia="zh-CN"/>
              </w:rPr>
              <w:t>1</w:t>
            </w:r>
            <w:r>
              <w:rPr>
                <w:rFonts w:hint="eastAsia" w:ascii="黑体" w:hAnsi="仿宋" w:eastAsia="黑体" w:cs="仿宋"/>
                <w:b/>
                <w:bCs/>
                <w:kern w:val="0"/>
                <w:sz w:val="28"/>
                <w:szCs w:val="28"/>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exact"/>
          <w:jc w:val="center"/>
        </w:trPr>
        <w:tc>
          <w:tcPr>
            <w:tcW w:w="885" w:type="dxa"/>
            <w:noWrap w:val="0"/>
            <w:vAlign w:val="center"/>
          </w:tcPr>
          <w:p>
            <w:pPr>
              <w:spacing w:line="560" w:lineRule="exact"/>
              <w:jc w:val="center"/>
              <w:rPr>
                <w:rFonts w:hint="eastAsia" w:ascii="仿宋_GB2312" w:hAnsi="仿宋" w:eastAsia="仿宋_GB2312" w:cs="仿宋"/>
                <w:bCs/>
                <w:color w:val="000000"/>
                <w:kern w:val="0"/>
                <w:sz w:val="28"/>
                <w:szCs w:val="28"/>
              </w:rPr>
            </w:pPr>
            <w:r>
              <w:rPr>
                <w:rFonts w:hint="eastAsia" w:ascii="仿宋_GB2312" w:hAnsi="仿宋" w:eastAsia="仿宋_GB2312" w:cs="仿宋"/>
                <w:bCs/>
                <w:color w:val="000000"/>
                <w:kern w:val="0"/>
                <w:sz w:val="28"/>
                <w:szCs w:val="28"/>
              </w:rPr>
              <w:t>7</w:t>
            </w:r>
          </w:p>
        </w:tc>
        <w:tc>
          <w:tcPr>
            <w:tcW w:w="2249" w:type="dxa"/>
            <w:noWrap w:val="0"/>
            <w:vAlign w:val="center"/>
          </w:tcPr>
          <w:p>
            <w:pPr>
              <w:jc w:val="center"/>
              <w:rPr>
                <w:rFonts w:hint="eastAsia" w:ascii="仿宋_GB2312" w:hAnsi="仿宋" w:eastAsia="仿宋_GB2312" w:cs="仿宋"/>
                <w:b/>
                <w:bCs/>
                <w:sz w:val="28"/>
                <w:szCs w:val="28"/>
              </w:rPr>
            </w:pPr>
            <w:r>
              <w:rPr>
                <w:rFonts w:hint="eastAsia" w:ascii="仿宋_GB2312" w:hAnsi="仿宋" w:eastAsia="仿宋_GB2312" w:cs="仿宋"/>
                <w:b/>
                <w:bCs/>
                <w:sz w:val="28"/>
                <w:szCs w:val="28"/>
              </w:rPr>
              <w:t>月报（含季报）</w:t>
            </w:r>
          </w:p>
        </w:tc>
        <w:tc>
          <w:tcPr>
            <w:tcW w:w="5328" w:type="dxa"/>
            <w:noWrap w:val="0"/>
            <w:vAlign w:val="center"/>
          </w:tcPr>
          <w:p>
            <w:pPr>
              <w:widowControl/>
              <w:spacing w:line="400" w:lineRule="exact"/>
              <w:jc w:val="center"/>
              <w:rPr>
                <w:rFonts w:hint="eastAsia" w:ascii="仿宋_GB2312" w:hAnsi="仿宋" w:eastAsia="仿宋_GB2312" w:cs="仿宋"/>
                <w:bCs/>
                <w:kern w:val="0"/>
                <w:sz w:val="28"/>
                <w:szCs w:val="28"/>
              </w:rPr>
            </w:pPr>
            <w:r>
              <w:rPr>
                <w:rFonts w:hint="eastAsia" w:ascii="仿宋_GB2312" w:hAnsi="仿宋" w:eastAsia="仿宋_GB2312" w:cs="仿宋"/>
                <w:bCs/>
                <w:kern w:val="0"/>
                <w:sz w:val="28"/>
                <w:szCs w:val="28"/>
              </w:rPr>
              <w:t>1月至12月月报，共12份</w:t>
            </w:r>
          </w:p>
        </w:tc>
        <w:tc>
          <w:tcPr>
            <w:tcW w:w="1254" w:type="dxa"/>
            <w:noWrap w:val="0"/>
            <w:vAlign w:val="center"/>
          </w:tcPr>
          <w:p>
            <w:pPr>
              <w:widowControl/>
              <w:spacing w:line="400" w:lineRule="exact"/>
              <w:jc w:val="center"/>
              <w:rPr>
                <w:rFonts w:hint="eastAsia" w:ascii="黑体" w:hAnsi="仿宋" w:eastAsia="黑体" w:cs="仿宋"/>
                <w:b/>
                <w:bCs/>
                <w:kern w:val="0"/>
                <w:sz w:val="28"/>
                <w:szCs w:val="28"/>
              </w:rPr>
            </w:pPr>
            <w:r>
              <w:rPr>
                <w:rFonts w:hint="eastAsia" w:ascii="黑体" w:hAnsi="仿宋" w:eastAsia="黑体" w:cs="仿宋"/>
                <w:b/>
                <w:bCs/>
                <w:kern w:val="0"/>
                <w:sz w:val="28"/>
                <w:szCs w:val="28"/>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exact"/>
          <w:jc w:val="center"/>
        </w:trPr>
        <w:tc>
          <w:tcPr>
            <w:tcW w:w="885" w:type="dxa"/>
            <w:noWrap w:val="0"/>
            <w:vAlign w:val="center"/>
          </w:tcPr>
          <w:p>
            <w:pPr>
              <w:spacing w:line="560" w:lineRule="exact"/>
              <w:jc w:val="center"/>
              <w:rPr>
                <w:rFonts w:hint="eastAsia" w:ascii="仿宋_GB2312" w:hAnsi="仿宋" w:eastAsia="仿宋_GB2312" w:cs="仿宋"/>
                <w:bCs/>
                <w:color w:val="000000"/>
                <w:kern w:val="0"/>
                <w:sz w:val="28"/>
                <w:szCs w:val="28"/>
                <w:lang w:val="en-US" w:eastAsia="zh-CN"/>
              </w:rPr>
            </w:pPr>
            <w:r>
              <w:rPr>
                <w:rFonts w:hint="eastAsia" w:ascii="仿宋_GB2312" w:hAnsi="仿宋" w:eastAsia="仿宋_GB2312" w:cs="仿宋"/>
                <w:bCs/>
                <w:color w:val="000000"/>
                <w:kern w:val="0"/>
                <w:sz w:val="28"/>
                <w:szCs w:val="28"/>
                <w:lang w:val="en-US" w:eastAsia="zh-CN"/>
              </w:rPr>
              <w:t>8</w:t>
            </w:r>
          </w:p>
        </w:tc>
        <w:tc>
          <w:tcPr>
            <w:tcW w:w="2249" w:type="dxa"/>
            <w:noWrap w:val="0"/>
            <w:vAlign w:val="center"/>
          </w:tcPr>
          <w:p>
            <w:pPr>
              <w:jc w:val="center"/>
              <w:rPr>
                <w:rFonts w:hint="default" w:ascii="仿宋_GB2312" w:hAnsi="仿宋" w:eastAsia="仿宋_GB2312" w:cs="仿宋"/>
                <w:b/>
                <w:bCs/>
                <w:sz w:val="28"/>
                <w:szCs w:val="28"/>
                <w:lang w:val="en-US" w:eastAsia="zh-CN"/>
              </w:rPr>
            </w:pPr>
            <w:r>
              <w:rPr>
                <w:rFonts w:hint="eastAsia" w:ascii="仿宋_GB2312" w:hAnsi="仿宋" w:eastAsia="仿宋_GB2312" w:cs="仿宋"/>
                <w:b/>
                <w:bCs/>
                <w:sz w:val="28"/>
                <w:szCs w:val="28"/>
                <w:lang w:val="en-US" w:eastAsia="zh-CN"/>
              </w:rPr>
              <w:t>装盒</w:t>
            </w:r>
          </w:p>
        </w:tc>
        <w:tc>
          <w:tcPr>
            <w:tcW w:w="5328" w:type="dxa"/>
            <w:noWrap w:val="0"/>
            <w:vAlign w:val="center"/>
          </w:tcPr>
          <w:p>
            <w:pPr>
              <w:widowControl/>
              <w:spacing w:line="400" w:lineRule="exact"/>
              <w:jc w:val="center"/>
              <w:rPr>
                <w:rFonts w:hint="default" w:ascii="仿宋_GB2312" w:hAnsi="仿宋" w:eastAsia="仿宋_GB2312" w:cs="仿宋"/>
                <w:bCs/>
                <w:kern w:val="0"/>
                <w:sz w:val="28"/>
                <w:szCs w:val="28"/>
                <w:lang w:val="en-US" w:eastAsia="zh-CN"/>
              </w:rPr>
            </w:pPr>
            <w:r>
              <w:rPr>
                <w:rFonts w:hint="eastAsia" w:ascii="仿宋_GB2312" w:hAnsi="仿宋" w:eastAsia="仿宋_GB2312" w:cs="仿宋"/>
                <w:bCs/>
                <w:kern w:val="0"/>
                <w:sz w:val="28"/>
                <w:szCs w:val="28"/>
                <w:lang w:val="en-US" w:eastAsia="zh-CN"/>
              </w:rPr>
              <w:t>将所有排版、包装好的所有资料进行装盒</w:t>
            </w:r>
          </w:p>
        </w:tc>
        <w:tc>
          <w:tcPr>
            <w:tcW w:w="1254" w:type="dxa"/>
            <w:noWrap w:val="0"/>
            <w:vAlign w:val="center"/>
          </w:tcPr>
          <w:p>
            <w:pPr>
              <w:widowControl/>
              <w:spacing w:line="400" w:lineRule="exact"/>
              <w:jc w:val="center"/>
              <w:rPr>
                <w:rFonts w:hint="eastAsia" w:ascii="黑体" w:hAnsi="仿宋" w:eastAsia="黑体" w:cs="仿宋"/>
                <w:b/>
                <w:bCs/>
                <w:kern w:val="0"/>
                <w:sz w:val="28"/>
                <w:szCs w:val="28"/>
              </w:rPr>
            </w:pPr>
          </w:p>
        </w:tc>
      </w:tr>
    </w:tbl>
    <w:p>
      <w:pPr>
        <w:autoSpaceDE w:val="0"/>
        <w:spacing w:line="560" w:lineRule="exact"/>
        <w:ind w:firstLine="627" w:firstLineChars="196"/>
        <w:jc w:val="left"/>
        <w:rPr>
          <w:rFonts w:hint="eastAsia" w:ascii="仿宋_GB2312" w:hAnsi="仿宋" w:eastAsia="仿宋_GB2312"/>
          <w:sz w:val="32"/>
          <w:szCs w:val="32"/>
        </w:rPr>
      </w:pPr>
      <w:r>
        <w:rPr>
          <w:rFonts w:hint="eastAsia" w:ascii="仿宋_GB2312" w:hAnsi="仿宋" w:eastAsia="仿宋_GB2312"/>
          <w:sz w:val="32"/>
          <w:szCs w:val="32"/>
        </w:rPr>
        <w:t>交付内容：</w:t>
      </w:r>
    </w:p>
    <w:p>
      <w:pPr>
        <w:autoSpaceDE w:val="0"/>
        <w:spacing w:line="560" w:lineRule="exact"/>
        <w:ind w:firstLine="627" w:firstLineChars="196"/>
        <w:jc w:val="left"/>
        <w:rPr>
          <w:rFonts w:hint="eastAsia" w:ascii="仿宋_GB2312" w:hAnsi="仿宋" w:eastAsia="仿宋_GB2312"/>
          <w:sz w:val="32"/>
          <w:szCs w:val="32"/>
        </w:rPr>
      </w:pPr>
      <w:r>
        <w:rPr>
          <w:rFonts w:hint="eastAsia" w:ascii="仿宋_GB2312" w:hAnsi="仿宋" w:eastAsia="仿宋_GB2312"/>
          <w:sz w:val="32"/>
          <w:szCs w:val="32"/>
        </w:rPr>
        <w:t>1、纸质会计档案一</w:t>
      </w:r>
      <w:r>
        <w:rPr>
          <w:rFonts w:hint="eastAsia" w:ascii="仿宋_GB2312" w:hAnsi="仿宋" w:eastAsia="仿宋_GB2312"/>
          <w:sz w:val="32"/>
          <w:szCs w:val="32"/>
          <w:lang w:val="en-US" w:eastAsia="zh-CN"/>
        </w:rPr>
        <w:t>整</w:t>
      </w:r>
      <w:r>
        <w:rPr>
          <w:rFonts w:hint="eastAsia" w:ascii="仿宋_GB2312" w:hAnsi="仿宋" w:eastAsia="仿宋_GB2312"/>
          <w:sz w:val="32"/>
          <w:szCs w:val="32"/>
        </w:rPr>
        <w:t>套，含装盒</w:t>
      </w:r>
      <w:r>
        <w:rPr>
          <w:rFonts w:hint="eastAsia" w:ascii="仿宋_GB2312" w:hAnsi="仿宋" w:eastAsia="仿宋_GB2312"/>
          <w:sz w:val="32"/>
          <w:szCs w:val="32"/>
          <w:lang w:eastAsia="zh-CN"/>
        </w:rPr>
        <w:t>、</w:t>
      </w:r>
      <w:r>
        <w:rPr>
          <w:rFonts w:hint="eastAsia" w:ascii="仿宋_GB2312" w:hAnsi="仿宋" w:eastAsia="仿宋_GB2312"/>
          <w:sz w:val="32"/>
          <w:szCs w:val="32"/>
          <w:lang w:val="en-US" w:eastAsia="zh-CN"/>
        </w:rPr>
        <w:t>移交清册和送到指定地点</w:t>
      </w:r>
      <w:r>
        <w:rPr>
          <w:rFonts w:hint="eastAsia" w:ascii="仿宋_GB2312" w:hAnsi="仿宋" w:eastAsia="仿宋_GB2312"/>
          <w:sz w:val="32"/>
          <w:szCs w:val="32"/>
        </w:rPr>
        <w:t>。明细如上表。</w:t>
      </w:r>
    </w:p>
    <w:p>
      <w:pPr>
        <w:autoSpaceDE w:val="0"/>
        <w:spacing w:line="560" w:lineRule="exact"/>
        <w:ind w:firstLine="627" w:firstLineChars="196"/>
        <w:jc w:val="left"/>
        <w:rPr>
          <w:rFonts w:hint="eastAsia" w:ascii="仿宋_GB2312" w:hAnsi="仿宋" w:eastAsia="仿宋_GB2312"/>
          <w:sz w:val="32"/>
          <w:szCs w:val="32"/>
        </w:rPr>
      </w:pPr>
      <w:r>
        <w:rPr>
          <w:rFonts w:hint="eastAsia" w:ascii="仿宋_GB2312" w:hAnsi="仿宋" w:eastAsia="仿宋_GB2312"/>
          <w:sz w:val="32"/>
          <w:szCs w:val="32"/>
        </w:rPr>
        <w:t>2、完整电子档案2套。（1）文本版：与纸质档案完全一致，内容包括封面、目录、内页等。（2）电子档案管理版。</w:t>
      </w:r>
    </w:p>
    <w:p>
      <w:pPr>
        <w:autoSpaceDE w:val="0"/>
        <w:spacing w:line="560" w:lineRule="exact"/>
        <w:ind w:firstLine="627" w:firstLineChars="196"/>
        <w:jc w:val="left"/>
        <w:rPr>
          <w:rFonts w:hint="eastAsia"/>
          <w:lang w:val="en-US" w:eastAsia="zh-CN"/>
        </w:rPr>
      </w:pPr>
      <w:r>
        <w:rPr>
          <w:rFonts w:hint="eastAsia" w:ascii="仿宋_GB2312" w:hAnsi="仿宋" w:eastAsia="仿宋_GB2312"/>
          <w:sz w:val="32"/>
          <w:szCs w:val="32"/>
        </w:rPr>
        <w:t>3、数据校对与数据整理底稿。由于系统功能原因，导出的数据常常有缺失、遗漏、错误等情况，需对所有导出的基础文件数据进行一一校对，确保无误后才可进行整理。因此交付时必须提供较对的过程及底稿，以确保完成资料的准确性。</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（三）供应商要求</w:t>
      </w:r>
    </w:p>
    <w:p>
      <w:pPr>
        <w:autoSpaceDE w:val="0"/>
        <w:spacing w:line="560" w:lineRule="exact"/>
        <w:ind w:firstLine="640" w:firstLineChars="200"/>
        <w:jc w:val="left"/>
        <w:rPr>
          <w:rFonts w:hint="eastAsia" w:ascii="仿宋_GB2312" w:hAnsi="仿宋" w:eastAsia="仿宋_GB2312"/>
          <w:sz w:val="32"/>
          <w:szCs w:val="32"/>
        </w:rPr>
      </w:pPr>
      <w:r>
        <w:rPr>
          <w:rFonts w:hint="eastAsia" w:ascii="仿宋_GB2312" w:hAnsi="仿宋" w:eastAsia="仿宋_GB2312"/>
          <w:sz w:val="32"/>
          <w:szCs w:val="32"/>
        </w:rPr>
        <w:t>为了确保项目质量，并对我方数据资料尽到保密责任，对供应商提出要求如下：</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sz w:val="32"/>
          <w:szCs w:val="32"/>
        </w:rPr>
        <w:t>1）供应商工作人员必须</w:t>
      </w:r>
      <w:r>
        <w:rPr>
          <w:rFonts w:hint="eastAsia" w:ascii="仿宋_GB2312" w:hAnsi="仿宋" w:eastAsia="仿宋_GB2312" w:cs="仿宋"/>
          <w:sz w:val="32"/>
          <w:szCs w:val="32"/>
        </w:rPr>
        <w:t>具备三年以上财务工作经验，且熟悉会计档案管理办法的要求；具备相应的职业道德，严格做好数据保密工作。</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2）</w:t>
      </w:r>
      <w:r>
        <w:rPr>
          <w:rFonts w:hint="eastAsia" w:ascii="仿宋_GB2312" w:hAnsi="仿宋" w:eastAsia="仿宋_GB2312"/>
          <w:sz w:val="32"/>
          <w:szCs w:val="32"/>
        </w:rPr>
        <w:t>供应商工作人员能</w:t>
      </w:r>
      <w:r>
        <w:rPr>
          <w:rFonts w:hint="eastAsia" w:ascii="仿宋_GB2312" w:hAnsi="仿宋" w:eastAsia="仿宋_GB2312" w:cs="仿宋"/>
          <w:sz w:val="32"/>
          <w:szCs w:val="32"/>
        </w:rPr>
        <w:t>熟练使用我方财务管理系统，根据项目需要导出准确完整的基础数据；</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sz w:val="32"/>
          <w:szCs w:val="32"/>
        </w:rPr>
        <w:t>3）供应商工作人员须</w:t>
      </w:r>
      <w:r>
        <w:rPr>
          <w:rFonts w:hint="eastAsia" w:ascii="仿宋_GB2312" w:hAnsi="仿宋" w:eastAsia="仿宋_GB2312" w:cs="仿宋"/>
          <w:sz w:val="32"/>
          <w:szCs w:val="32"/>
        </w:rPr>
        <w:t>具备整理大量数据的能力，确保数据整理规范有序，保证项目质量。</w:t>
      </w:r>
    </w:p>
    <w:p>
      <w:pPr>
        <w:autoSpaceDE w:val="0"/>
        <w:spacing w:line="560" w:lineRule="exact"/>
        <w:ind w:firstLine="640" w:firstLineChars="200"/>
        <w:jc w:val="left"/>
        <w:rPr>
          <w:rFonts w:hint="eastAsia" w:ascii="仿宋_GB2312" w:hAnsi="仿宋" w:eastAsia="仿宋_GB2312" w:cs="Times New Roman"/>
          <w:sz w:val="32"/>
          <w:szCs w:val="32"/>
          <w:lang w:eastAsia="zh-CN"/>
        </w:rPr>
      </w:pPr>
      <w:r>
        <w:rPr>
          <w:rFonts w:hint="eastAsia" w:ascii="仿宋_GB2312" w:hAnsi="仿宋" w:eastAsia="仿宋_GB2312"/>
          <w:sz w:val="32"/>
          <w:szCs w:val="32"/>
        </w:rPr>
        <w:t>4）供应商需派工作人员到我方现场进行系统数据的输出、校对等工作。</w:t>
      </w:r>
      <w:r>
        <w:rPr>
          <w:rFonts w:hint="eastAsia" w:ascii="仿宋_GB2312" w:hAnsi="仿宋" w:eastAsia="仿宋_GB2312" w:cs="Times New Roman"/>
          <w:sz w:val="32"/>
          <w:szCs w:val="32"/>
        </w:rPr>
        <w:t>本项目开展的团队成员人员数量不少于2人</w:t>
      </w:r>
      <w:r>
        <w:rPr>
          <w:rFonts w:hint="eastAsia" w:ascii="仿宋_GB2312" w:hAnsi="仿宋" w:eastAsia="仿宋_GB2312" w:cs="Times New Roman"/>
          <w:sz w:val="32"/>
          <w:szCs w:val="32"/>
          <w:lang w:eastAsia="zh-CN"/>
        </w:rPr>
        <w:t>。</w:t>
      </w:r>
    </w:p>
    <w:p>
      <w:pPr>
        <w:autoSpaceDE w:val="0"/>
        <w:spacing w:line="560" w:lineRule="exact"/>
        <w:ind w:firstLine="640" w:firstLineChars="200"/>
        <w:jc w:val="left"/>
        <w:rPr>
          <w:rFonts w:hint="eastAsia" w:ascii="仿宋_GB2312" w:hAnsi="仿宋" w:eastAsia="仿宋_GB2312"/>
          <w:sz w:val="32"/>
          <w:szCs w:val="32"/>
        </w:rPr>
      </w:pPr>
      <w:r>
        <w:rPr>
          <w:rFonts w:hint="eastAsia" w:ascii="仿宋_GB2312" w:hAnsi="仿宋" w:eastAsia="仿宋_GB2312"/>
          <w:sz w:val="32"/>
          <w:szCs w:val="32"/>
        </w:rPr>
        <w:t>5）供应商须提供本项目工作人员资料及参与实施的项目，提供本项目的实施方案。</w:t>
      </w:r>
    </w:p>
    <w:p>
      <w:pPr>
        <w:autoSpaceDE w:val="0"/>
        <w:spacing w:line="560" w:lineRule="exact"/>
        <w:ind w:firstLine="640" w:firstLineChars="200"/>
        <w:jc w:val="left"/>
        <w:rPr>
          <w:rFonts w:hint="eastAsia" w:ascii="仿宋_GB2312" w:hAnsi="仿宋" w:eastAsia="仿宋_GB2312"/>
          <w:sz w:val="32"/>
          <w:szCs w:val="32"/>
        </w:rPr>
      </w:pPr>
      <w:r>
        <w:rPr>
          <w:rFonts w:hint="eastAsia" w:ascii="仿宋_GB2312" w:hAnsi="仿宋" w:eastAsia="仿宋_GB2312"/>
          <w:sz w:val="32"/>
          <w:szCs w:val="32"/>
          <w:lang w:val="en-US" w:eastAsia="zh-CN"/>
        </w:rPr>
        <w:t>6</w:t>
      </w:r>
      <w:r>
        <w:rPr>
          <w:rFonts w:hint="eastAsia" w:ascii="仿宋_GB2312" w:hAnsi="仿宋" w:eastAsia="仿宋_GB2312"/>
          <w:sz w:val="32"/>
          <w:szCs w:val="32"/>
        </w:rPr>
        <w:t>）供应商需在我方要求的工期内完成本项工作。</w:t>
      </w:r>
    </w:p>
    <w:p>
      <w:pPr>
        <w:autoSpaceDE w:val="0"/>
        <w:spacing w:line="560" w:lineRule="exact"/>
        <w:ind w:firstLine="640" w:firstLineChars="200"/>
        <w:jc w:val="left"/>
        <w:rPr>
          <w:rFonts w:hint="eastAsia" w:ascii="仿宋_GB2312" w:hAnsi="仿宋" w:eastAsia="仿宋_GB2312"/>
          <w:sz w:val="32"/>
          <w:szCs w:val="32"/>
        </w:rPr>
      </w:pPr>
      <w:r>
        <w:rPr>
          <w:rFonts w:hint="eastAsia" w:ascii="仿宋_GB2312" w:hAnsi="仿宋" w:eastAsia="仿宋_GB2312"/>
          <w:sz w:val="32"/>
          <w:szCs w:val="32"/>
          <w:lang w:val="en-US" w:eastAsia="zh-CN"/>
        </w:rPr>
        <w:t>7</w:t>
      </w:r>
      <w:r>
        <w:rPr>
          <w:rFonts w:hint="eastAsia" w:ascii="仿宋_GB2312" w:hAnsi="仿宋" w:eastAsia="仿宋_GB2312"/>
          <w:sz w:val="32"/>
          <w:szCs w:val="32"/>
        </w:rPr>
        <w:t>） 供应商交付的纸质档案，纸质和印刷必须满足会计档案耐用性的要求。</w:t>
      </w:r>
    </w:p>
    <w:p>
      <w:pPr>
        <w:autoSpaceDE w:val="0"/>
        <w:spacing w:line="560" w:lineRule="exact"/>
        <w:ind w:firstLine="640" w:firstLineChars="200"/>
        <w:jc w:val="left"/>
        <w:rPr>
          <w:rFonts w:hint="eastAsia" w:ascii="仿宋_GB2312" w:hAnsi="仿宋" w:eastAsia="仿宋_GB2312" w:cs="Times New Roman"/>
          <w:sz w:val="32"/>
          <w:szCs w:val="32"/>
          <w:lang w:val="en-US" w:eastAsia="zh-CN"/>
        </w:rPr>
      </w:pPr>
      <w:r>
        <w:rPr>
          <w:rFonts w:hint="eastAsia" w:ascii="仿宋_GB2312" w:hAnsi="仿宋" w:eastAsia="仿宋_GB2312"/>
          <w:sz w:val="32"/>
          <w:szCs w:val="32"/>
          <w:lang w:val="en-US" w:eastAsia="zh-CN"/>
        </w:rPr>
        <w:t>8</w:t>
      </w:r>
      <w:r>
        <w:rPr>
          <w:rFonts w:hint="eastAsia" w:ascii="仿宋_GB2312" w:hAnsi="仿宋" w:eastAsia="仿宋_GB2312"/>
          <w:sz w:val="32"/>
          <w:szCs w:val="32"/>
        </w:rPr>
        <w:t>）</w:t>
      </w:r>
      <w:r>
        <w:rPr>
          <w:rFonts w:hint="eastAsia" w:ascii="仿宋_GB2312" w:hAnsi="仿宋" w:eastAsia="仿宋_GB2312"/>
          <w:sz w:val="32"/>
          <w:szCs w:val="32"/>
          <w:lang w:val="en-US" w:eastAsia="zh-CN"/>
        </w:rPr>
        <w:t>资质证明及及需提供材料：</w:t>
      </w:r>
      <w:r>
        <w:rPr>
          <w:rFonts w:hint="eastAsia" w:ascii="仿宋_GB2312" w:hAnsi="仿宋" w:eastAsia="仿宋_GB2312" w:cs="Times New Roman"/>
          <w:sz w:val="32"/>
          <w:szCs w:val="32"/>
          <w:lang w:val="en-US" w:eastAsia="zh-CN"/>
        </w:rPr>
        <w:t>营业执照、开户许可证；三年内无违法违规声明、“信用中国”无失信记录证明；供应商须提供三年内同类项目的业绩证明，每年不少于3份。</w:t>
      </w:r>
    </w:p>
    <w:p>
      <w:pPr>
        <w:autoSpaceDE w:val="0"/>
        <w:spacing w:line="560" w:lineRule="exact"/>
        <w:ind w:firstLine="640" w:firstLineChars="200"/>
        <w:jc w:val="left"/>
        <w:rPr>
          <w:rFonts w:hint="eastAsia" w:ascii="仿宋_GB2312" w:hAnsi="仿宋" w:eastAsia="仿宋_GB2312" w:cs="Times New Roman"/>
          <w:bCs w:val="0"/>
          <w:kern w:val="2"/>
          <w:sz w:val="32"/>
          <w:szCs w:val="32"/>
          <w:lang w:val="en-US" w:eastAsia="zh-CN" w:bidi="ar-SA"/>
        </w:rPr>
      </w:pPr>
      <w:r>
        <w:rPr>
          <w:rFonts w:hint="eastAsia" w:ascii="仿宋_GB2312" w:hAnsi="仿宋" w:eastAsia="仿宋_GB2312" w:cs="Times New Roman"/>
          <w:bCs w:val="0"/>
          <w:kern w:val="2"/>
          <w:sz w:val="32"/>
          <w:szCs w:val="32"/>
          <w:lang w:val="en-US" w:eastAsia="zh-CN" w:bidi="ar-SA"/>
        </w:rPr>
        <w:t>注意：投标人应提供真实有效的材料与证明，在审核中发现投标人有提供虚假证明与材料的，将会视为无效报价，并且进入平台失信名单。</w:t>
      </w:r>
    </w:p>
    <w:p>
      <w:pPr>
        <w:pStyle w:val="2"/>
        <w:rPr>
          <w:rFonts w:hint="eastAsia"/>
          <w:b w:val="0"/>
          <w:bCs/>
          <w:lang w:val="en-US" w:eastAsia="zh-CN"/>
        </w:rPr>
      </w:pPr>
      <w:r>
        <w:rPr>
          <w:rFonts w:hint="eastAsia" w:ascii="仿宋_GB2312" w:hAnsi="仿宋" w:eastAsia="仿宋_GB2312" w:cs="Times New Roman"/>
          <w:bCs w:val="0"/>
          <w:kern w:val="2"/>
          <w:sz w:val="32"/>
          <w:szCs w:val="32"/>
          <w:lang w:val="en-US" w:eastAsia="zh-CN" w:bidi="ar-SA"/>
        </w:rPr>
        <w:t>（四）</w:t>
      </w:r>
      <w:r>
        <w:rPr>
          <w:rFonts w:hint="eastAsia" w:ascii="仿宋_GB2312" w:hAnsi="仿宋" w:eastAsia="仿宋_GB2312" w:cs="仿宋"/>
          <w:b w:val="0"/>
          <w:bCs/>
          <w:sz w:val="32"/>
          <w:szCs w:val="32"/>
        </w:rPr>
        <w:t>项目质量要求</w:t>
      </w:r>
    </w:p>
    <w:p>
      <w:pPr>
        <w:autoSpaceDE w:val="0"/>
        <w:spacing w:line="560" w:lineRule="exact"/>
        <w:ind w:firstLine="643" w:firstLineChars="200"/>
        <w:jc w:val="left"/>
        <w:rPr>
          <w:rFonts w:hint="eastAsia" w:ascii="仿宋_GB2312" w:hAnsi="仿宋" w:eastAsia="仿宋_GB2312" w:cs="仿宋"/>
          <w:b/>
          <w:sz w:val="32"/>
          <w:szCs w:val="32"/>
        </w:rPr>
      </w:pPr>
      <w:r>
        <w:rPr>
          <w:rFonts w:hint="eastAsia" w:ascii="仿宋_GB2312" w:hAnsi="仿宋" w:eastAsia="仿宋_GB2312" w:cs="仿宋"/>
          <w:b/>
          <w:sz w:val="32"/>
          <w:szCs w:val="32"/>
        </w:rPr>
        <w:t>1）导出</w:t>
      </w:r>
      <w:r>
        <w:rPr>
          <w:rFonts w:hint="eastAsia" w:ascii="仿宋_GB2312" w:hAnsi="仿宋" w:eastAsia="仿宋_GB2312"/>
          <w:b/>
          <w:sz w:val="32"/>
          <w:szCs w:val="32"/>
        </w:rPr>
        <w:t>数据</w:t>
      </w:r>
      <w:r>
        <w:rPr>
          <w:rFonts w:hint="eastAsia" w:ascii="仿宋_GB2312" w:hAnsi="仿宋" w:eastAsia="仿宋_GB2312"/>
          <w:sz w:val="32"/>
          <w:szCs w:val="32"/>
        </w:rPr>
        <w:t>必须准确、完整。</w:t>
      </w:r>
      <w:r>
        <w:rPr>
          <w:rFonts w:hint="eastAsia" w:ascii="仿宋_GB2312" w:hAnsi="仿宋" w:eastAsia="仿宋_GB2312" w:cs="仿宋"/>
          <w:sz w:val="32"/>
          <w:szCs w:val="32"/>
        </w:rPr>
        <w:t>数据导出要依据本单位会计科目体系，</w:t>
      </w:r>
      <w:r>
        <w:rPr>
          <w:rFonts w:hint="eastAsia" w:ascii="仿宋_GB2312" w:hAnsi="仿宋" w:eastAsia="仿宋_GB2312"/>
          <w:sz w:val="32"/>
          <w:szCs w:val="32"/>
        </w:rPr>
        <w:t>按采购内容所列类别分别导出的每一个类别的数据，</w:t>
      </w:r>
      <w:r>
        <w:rPr>
          <w:rFonts w:hint="eastAsia" w:ascii="仿宋_GB2312" w:hAnsi="仿宋" w:eastAsia="仿宋_GB2312" w:cs="仿宋"/>
          <w:sz w:val="32"/>
          <w:szCs w:val="32"/>
        </w:rPr>
        <w:t>并对导出的每个类别数据</w:t>
      </w:r>
      <w:r>
        <w:rPr>
          <w:rFonts w:hint="eastAsia" w:ascii="仿宋_GB2312" w:hAnsi="仿宋" w:eastAsia="仿宋_GB2312" w:cs="仿宋"/>
          <w:b/>
          <w:sz w:val="32"/>
          <w:szCs w:val="32"/>
        </w:rPr>
        <w:t>进行校验</w:t>
      </w:r>
      <w:r>
        <w:rPr>
          <w:rFonts w:hint="eastAsia" w:ascii="仿宋_GB2312" w:hAnsi="仿宋" w:eastAsia="仿宋_GB2312" w:cs="仿宋"/>
          <w:sz w:val="32"/>
          <w:szCs w:val="32"/>
        </w:rPr>
        <w:t>，检查数据是否正确和完整。</w:t>
      </w:r>
    </w:p>
    <w:p>
      <w:pPr>
        <w:autoSpaceDE w:val="0"/>
        <w:spacing w:line="560" w:lineRule="exact"/>
        <w:ind w:left="640"/>
        <w:jc w:val="left"/>
        <w:rPr>
          <w:rFonts w:hint="eastAsia" w:ascii="仿宋_GB2312" w:hAnsi="仿宋" w:eastAsia="仿宋_GB2312"/>
          <w:sz w:val="32"/>
          <w:szCs w:val="32"/>
        </w:rPr>
      </w:pPr>
      <w:r>
        <w:rPr>
          <w:rFonts w:hint="eastAsia" w:ascii="仿宋_GB2312" w:hAnsi="仿宋" w:eastAsia="仿宋_GB2312"/>
          <w:b/>
          <w:sz w:val="32"/>
          <w:szCs w:val="32"/>
        </w:rPr>
        <w:t>汇总表:</w:t>
      </w:r>
      <w:r>
        <w:rPr>
          <w:rFonts w:hint="eastAsia" w:ascii="仿宋_GB2312" w:hAnsi="仿宋" w:eastAsia="仿宋_GB2312"/>
          <w:sz w:val="32"/>
          <w:szCs w:val="32"/>
        </w:rPr>
        <w:t>导出</w:t>
      </w:r>
      <w:r>
        <w:rPr>
          <w:rFonts w:hint="eastAsia" w:ascii="仿宋_GB2312" w:hAnsi="仿宋" w:eastAsia="仿宋_GB2312" w:cs="仿宋"/>
          <w:bCs/>
          <w:kern w:val="0"/>
          <w:sz w:val="32"/>
          <w:szCs w:val="32"/>
        </w:rPr>
        <w:t>总账汇总表、科目汇总表、主核算汇总表、辅助核算汇总表。检查汇总数据所属单位、起止月份、起止科目名称。按会计科目体系的层级关系和四个表之间数据的相互勾稽关系检查数据的正确性。总账汇总表是第一层级，科目汇总表的总合计应与其总合计一致，同级明细科目的合计应与其上级科目数据一致；主核算汇总表中每个科目下专项核算对象的合计应等于该科目的数据，辅助核算汇总表中每个科目下专项核算对象的合计应等于该科目的数据。</w:t>
      </w:r>
    </w:p>
    <w:p>
      <w:pPr>
        <w:autoSpaceDE w:val="0"/>
        <w:spacing w:line="560" w:lineRule="exact"/>
        <w:ind w:left="640"/>
        <w:jc w:val="left"/>
        <w:rPr>
          <w:rFonts w:hint="eastAsia" w:ascii="仿宋_GB2312" w:hAnsi="仿宋" w:eastAsia="仿宋_GB2312"/>
          <w:sz w:val="32"/>
          <w:szCs w:val="32"/>
        </w:rPr>
      </w:pPr>
      <w:r>
        <w:rPr>
          <w:rFonts w:hint="eastAsia" w:ascii="仿宋_GB2312" w:hAnsi="仿宋" w:eastAsia="仿宋_GB2312"/>
          <w:b/>
          <w:sz w:val="32"/>
          <w:szCs w:val="32"/>
        </w:rPr>
        <w:t>总分类账：</w:t>
      </w:r>
      <w:r>
        <w:rPr>
          <w:rFonts w:hint="eastAsia" w:ascii="仿宋_GB2312" w:hAnsi="仿宋" w:eastAsia="仿宋_GB2312"/>
          <w:sz w:val="32"/>
          <w:szCs w:val="32"/>
        </w:rPr>
        <w:t>导出</w:t>
      </w:r>
      <w:r>
        <w:rPr>
          <w:rFonts w:hint="eastAsia" w:ascii="仿宋_GB2312" w:hAnsi="仿宋" w:eastAsia="仿宋_GB2312" w:cs="仿宋"/>
          <w:bCs/>
          <w:kern w:val="0"/>
          <w:sz w:val="32"/>
          <w:szCs w:val="32"/>
        </w:rPr>
        <w:t>所有本年有发生额或本年无发生但有余额的一级科目总分类账。参照总账汇总表中的科目与导出文件进行比对，导出文件个数应大于等于总账汇总表中的科目个数。年初无余额但本年有发生数又同方向冲销的科目在总账汇总表中不会呈现，这些科目的数据不能遗漏，应按科目编码顺序插入到账页的正确位置，并编进目录中。</w:t>
      </w:r>
    </w:p>
    <w:p>
      <w:pPr>
        <w:autoSpaceDE w:val="0"/>
        <w:spacing w:line="560" w:lineRule="exact"/>
        <w:ind w:left="640"/>
        <w:jc w:val="left"/>
        <w:rPr>
          <w:rFonts w:hint="eastAsia" w:ascii="仿宋_GB2312" w:hAnsi="仿宋" w:eastAsia="仿宋_GB2312"/>
          <w:sz w:val="32"/>
          <w:szCs w:val="32"/>
        </w:rPr>
      </w:pPr>
      <w:r>
        <w:rPr>
          <w:rFonts w:hint="eastAsia" w:ascii="仿宋_GB2312" w:hAnsi="仿宋" w:eastAsia="仿宋_GB2312" w:cs="仿宋"/>
          <w:b/>
          <w:bCs/>
          <w:sz w:val="32"/>
          <w:szCs w:val="32"/>
        </w:rPr>
        <w:t>日记账：</w:t>
      </w:r>
      <w:r>
        <w:rPr>
          <w:rFonts w:hint="eastAsia" w:ascii="仿宋_GB2312" w:hAnsi="仿宋" w:eastAsia="仿宋_GB2312" w:cs="仿宋"/>
          <w:bCs/>
          <w:sz w:val="32"/>
          <w:szCs w:val="32"/>
        </w:rPr>
        <w:t>参照科目汇总表中现金明细科目和主核算汇总表中银行存款科目下设的专项核算“银行账户”，导出</w:t>
      </w:r>
      <w:r>
        <w:rPr>
          <w:rFonts w:hint="eastAsia" w:ascii="仿宋_GB2312" w:hAnsi="仿宋" w:eastAsia="仿宋_GB2312" w:cs="仿宋"/>
          <w:bCs/>
          <w:kern w:val="0"/>
          <w:sz w:val="32"/>
          <w:szCs w:val="32"/>
        </w:rPr>
        <w:t>所有本年有发生额或有余额的</w:t>
      </w:r>
      <w:r>
        <w:rPr>
          <w:rFonts w:hint="eastAsia" w:ascii="仿宋_GB2312" w:hAnsi="仿宋" w:eastAsia="仿宋_GB2312" w:cs="仿宋"/>
          <w:bCs/>
          <w:sz w:val="32"/>
          <w:szCs w:val="32"/>
        </w:rPr>
        <w:t>现金日记账和银行账户日记账，并与两个汇总表中显示的明细项进行比对，导出文件个数应大于等于汇总表中的明细个数。</w:t>
      </w:r>
      <w:r>
        <w:rPr>
          <w:rFonts w:hint="eastAsia" w:ascii="仿宋_GB2312" w:hAnsi="仿宋" w:eastAsia="仿宋_GB2312" w:cs="仿宋"/>
          <w:bCs/>
          <w:kern w:val="0"/>
          <w:sz w:val="32"/>
          <w:szCs w:val="32"/>
        </w:rPr>
        <w:t>年初无余额但本年有发生又同方向冲销的明细科目或银行账户数据在汇总表中不会呈现，这些科目或银行账户的数据不能遗漏，应按科目编码顺序插入到账页的正确位置，并编进目录中。</w:t>
      </w:r>
    </w:p>
    <w:p>
      <w:pPr>
        <w:autoSpaceDE w:val="0"/>
        <w:spacing w:line="560" w:lineRule="exact"/>
        <w:ind w:left="640"/>
        <w:jc w:val="left"/>
        <w:rPr>
          <w:rFonts w:hint="eastAsia" w:ascii="仿宋_GB2312" w:hAnsi="仿宋" w:eastAsia="仿宋_GB2312" w:cs="仿宋"/>
          <w:bCs/>
          <w:sz w:val="32"/>
          <w:szCs w:val="32"/>
        </w:rPr>
      </w:pPr>
      <w:r>
        <w:rPr>
          <w:rFonts w:hint="eastAsia" w:ascii="仿宋_GB2312" w:hAnsi="仿宋" w:eastAsia="仿宋_GB2312" w:cs="仿宋"/>
          <w:b/>
          <w:bCs/>
          <w:sz w:val="32"/>
          <w:szCs w:val="32"/>
        </w:rPr>
        <w:t>明细分类账：</w:t>
      </w:r>
      <w:r>
        <w:rPr>
          <w:rFonts w:hint="eastAsia" w:ascii="仿宋_GB2312" w:hAnsi="仿宋" w:eastAsia="仿宋_GB2312" w:cs="仿宋"/>
          <w:bCs/>
          <w:sz w:val="32"/>
          <w:szCs w:val="32"/>
        </w:rPr>
        <w:t>导出所有</w:t>
      </w:r>
      <w:r>
        <w:rPr>
          <w:rFonts w:hint="eastAsia" w:ascii="仿宋_GB2312" w:hAnsi="仿宋" w:eastAsia="仿宋_GB2312" w:cs="仿宋"/>
          <w:bCs/>
          <w:kern w:val="0"/>
          <w:sz w:val="32"/>
          <w:szCs w:val="32"/>
        </w:rPr>
        <w:t>本年有发生额或有余额的</w:t>
      </w:r>
      <w:r>
        <w:rPr>
          <w:rFonts w:hint="eastAsia" w:ascii="仿宋_GB2312" w:hAnsi="仿宋" w:eastAsia="仿宋_GB2312" w:cs="仿宋"/>
          <w:bCs/>
          <w:sz w:val="32"/>
          <w:szCs w:val="32"/>
        </w:rPr>
        <w:t>底层科目的明细分类账。参照科目汇总表中底层明细科目与导出文件进行比对，导出文件个数应大于等于科目汇总表中的底层科目的个数。</w:t>
      </w:r>
      <w:r>
        <w:rPr>
          <w:rFonts w:hint="eastAsia" w:ascii="仿宋_GB2312" w:hAnsi="仿宋" w:eastAsia="仿宋_GB2312" w:cs="仿宋"/>
          <w:bCs/>
          <w:kern w:val="0"/>
          <w:sz w:val="32"/>
          <w:szCs w:val="32"/>
        </w:rPr>
        <w:t>年初无余额但本年有发生又同方向冲销的明细科目在汇总表中不会呈现，这些明细科目的明细账应按科目编码顺序插入到账页的正确位置，并编进目录中。</w:t>
      </w:r>
    </w:p>
    <w:p>
      <w:pPr>
        <w:autoSpaceDE w:val="0"/>
        <w:spacing w:line="560" w:lineRule="exact"/>
        <w:ind w:left="640"/>
        <w:jc w:val="left"/>
        <w:rPr>
          <w:rFonts w:hint="eastAsia" w:ascii="仿宋_GB2312" w:hAnsi="仿宋" w:eastAsia="仿宋_GB2312" w:cs="仿宋"/>
          <w:bCs/>
          <w:sz w:val="32"/>
          <w:szCs w:val="32"/>
        </w:rPr>
      </w:pPr>
      <w:r>
        <w:rPr>
          <w:rFonts w:hint="eastAsia" w:ascii="仿宋_GB2312" w:hAnsi="仿宋" w:eastAsia="仿宋_GB2312" w:cs="仿宋"/>
          <w:b/>
          <w:bCs/>
          <w:sz w:val="32"/>
          <w:szCs w:val="32"/>
        </w:rPr>
        <w:t>专项核算明细账：</w:t>
      </w:r>
      <w:r>
        <w:rPr>
          <w:rFonts w:hint="eastAsia" w:ascii="仿宋_GB2312" w:hAnsi="仿宋" w:eastAsia="仿宋_GB2312" w:cs="仿宋"/>
          <w:bCs/>
          <w:sz w:val="32"/>
          <w:szCs w:val="32"/>
        </w:rPr>
        <w:t>参照主核算汇总表和辅助核算汇总表，导出设有专项核算的科目的专项核算明细账。专项核算明细账是设有专项核算的明细科目与对应专项核算对象之间的交叉口径形成的明细分类账。在系统的设置中，专项核算类型分为主核算类型和辅助核算类型，设有一个核算类型的科目通常这个核算类型是主核算，设有多个核算类型的科目会将其中的一个核算类型设定为主核算，其他核算类型设为辅核算。设置专项核算的目的通常有两个原因：1）是为了统计汇总数的需要，2）是为了进一步明细核算的需要。因此，在导出专项核算明细账的数据时，需要具体分析主核算汇总表和辅助核算汇总表中的数据，一般不需要导出满足原因1）的专项核算明细，只导出为了明细核算需要的专项核算类型的专项核算明细账。</w:t>
      </w:r>
    </w:p>
    <w:p>
      <w:pPr>
        <w:autoSpaceDE w:val="0"/>
        <w:spacing w:line="560" w:lineRule="exact"/>
        <w:ind w:left="640" w:leftChars="305" w:firstLine="627" w:firstLineChars="196"/>
        <w:jc w:val="left"/>
        <w:rPr>
          <w:rFonts w:hint="eastAsia" w:ascii="仿宋_GB2312" w:hAnsi="仿宋" w:eastAsia="仿宋_GB2312" w:cs="仿宋"/>
          <w:bCs/>
          <w:kern w:val="0"/>
          <w:sz w:val="32"/>
          <w:szCs w:val="32"/>
        </w:rPr>
      </w:pPr>
      <w:r>
        <w:rPr>
          <w:rFonts w:hint="eastAsia" w:ascii="仿宋_GB2312" w:hAnsi="仿宋" w:eastAsia="仿宋_GB2312" w:cs="仿宋"/>
          <w:bCs/>
          <w:sz w:val="32"/>
          <w:szCs w:val="32"/>
        </w:rPr>
        <w:t>每个科目下导出的专项核算明细账的文件个数应大于等于汇总表中显示的明细对象个数，且明细账中的年初数、本年发生数、年末数应与汇总表中该对象的汇总数一致。年初无余额但</w:t>
      </w:r>
      <w:r>
        <w:rPr>
          <w:rFonts w:hint="eastAsia" w:ascii="仿宋_GB2312" w:hAnsi="仿宋" w:eastAsia="仿宋_GB2312" w:cs="仿宋"/>
          <w:bCs/>
          <w:kern w:val="0"/>
          <w:sz w:val="32"/>
          <w:szCs w:val="32"/>
        </w:rPr>
        <w:t>本年有发生又同方向冲销的专项核算对象在汇总表中不会呈现，这些专项核算对象的明细账应按科目编码顺序插入到账页的正确位置，并编进目录中。</w:t>
      </w:r>
    </w:p>
    <w:p>
      <w:pPr>
        <w:autoSpaceDE w:val="0"/>
        <w:spacing w:line="560" w:lineRule="exact"/>
        <w:ind w:left="640"/>
        <w:jc w:val="left"/>
        <w:rPr>
          <w:rFonts w:hint="eastAsia" w:ascii="仿宋_GB2312" w:hAnsi="仿宋" w:eastAsia="仿宋_GB2312" w:cs="仿宋"/>
          <w:bCs/>
          <w:kern w:val="0"/>
          <w:sz w:val="32"/>
          <w:szCs w:val="32"/>
        </w:rPr>
      </w:pPr>
      <w:r>
        <w:rPr>
          <w:rFonts w:hint="eastAsia" w:ascii="仿宋_GB2312" w:hAnsi="仿宋" w:eastAsia="仿宋_GB2312" w:cs="仿宋"/>
          <w:b/>
          <w:bCs/>
          <w:sz w:val="32"/>
          <w:szCs w:val="32"/>
        </w:rPr>
        <w:t>专项核算明细账导出有三个特殊情况需要注意：</w:t>
      </w:r>
    </w:p>
    <w:p>
      <w:pPr>
        <w:numPr>
          <w:ilvl w:val="0"/>
          <w:numId w:val="2"/>
        </w:numPr>
        <w:autoSpaceDE w:val="0"/>
        <w:spacing w:line="560" w:lineRule="exact"/>
        <w:jc w:val="left"/>
        <w:rPr>
          <w:rFonts w:hint="eastAsia" w:ascii="仿宋_GB2312" w:hAnsi="仿宋" w:eastAsia="仿宋_GB2312" w:cs="仿宋"/>
          <w:b/>
          <w:bCs/>
          <w:sz w:val="32"/>
          <w:szCs w:val="32"/>
        </w:rPr>
      </w:pPr>
      <w:r>
        <w:rPr>
          <w:rFonts w:hint="eastAsia" w:ascii="仿宋_GB2312" w:hAnsi="仿宋" w:eastAsia="仿宋_GB2312" w:cs="仿宋"/>
          <w:b/>
          <w:bCs/>
          <w:sz w:val="32"/>
          <w:szCs w:val="32"/>
        </w:rPr>
        <w:t>由于财务系统功能原因，批量导出的专项核算明细账数据错误的</w:t>
      </w:r>
      <w:r>
        <w:rPr>
          <w:rFonts w:hint="eastAsia" w:ascii="仿宋_GB2312" w:hAnsi="仿宋" w:eastAsia="仿宋_GB2312" w:cs="仿宋"/>
          <w:b/>
          <w:bCs/>
          <w:sz w:val="32"/>
          <w:szCs w:val="32"/>
          <w:lang w:eastAsia="zh-CN"/>
        </w:rPr>
        <w:t>（</w:t>
      </w:r>
      <w:r>
        <w:rPr>
          <w:rFonts w:hint="eastAsia" w:ascii="仿宋_GB2312" w:hAnsi="仿宋" w:eastAsia="仿宋_GB2312" w:cs="仿宋"/>
          <w:b/>
          <w:bCs/>
          <w:sz w:val="32"/>
          <w:szCs w:val="32"/>
        </w:rPr>
        <w:t>文件名显示的专项核算对象名称与该文件内显示的专项核算对象名称不一致，且数据是文件内显示的专项核算对象名称的数据</w:t>
      </w:r>
      <w:r>
        <w:rPr>
          <w:rFonts w:hint="eastAsia" w:ascii="仿宋_GB2312" w:hAnsi="仿宋" w:eastAsia="仿宋_GB2312" w:cs="仿宋"/>
          <w:b/>
          <w:bCs/>
          <w:sz w:val="32"/>
          <w:szCs w:val="32"/>
          <w:lang w:val="en-US" w:eastAsia="zh-CN"/>
        </w:rPr>
        <w:t>的</w:t>
      </w:r>
      <w:r>
        <w:rPr>
          <w:rFonts w:hint="eastAsia" w:ascii="仿宋_GB2312" w:hAnsi="仿宋" w:eastAsia="仿宋_GB2312" w:cs="仿宋"/>
          <w:b/>
          <w:bCs/>
          <w:sz w:val="32"/>
          <w:szCs w:val="32"/>
          <w:lang w:eastAsia="zh-CN"/>
        </w:rPr>
        <w:t>），</w:t>
      </w:r>
      <w:r>
        <w:rPr>
          <w:rFonts w:hint="eastAsia" w:ascii="仿宋_GB2312" w:hAnsi="仿宋" w:eastAsia="仿宋_GB2312" w:cs="仿宋"/>
          <w:b/>
          <w:bCs/>
          <w:sz w:val="32"/>
          <w:szCs w:val="32"/>
        </w:rPr>
        <w:t>批量导出后，要对导出的数据文件进行逐一比对，找出错误数据的文件，再重新逐一查询导出。</w:t>
      </w:r>
    </w:p>
    <w:p>
      <w:pPr>
        <w:numPr>
          <w:ilvl w:val="0"/>
          <w:numId w:val="2"/>
        </w:numPr>
        <w:autoSpaceDE w:val="0"/>
        <w:spacing w:line="560" w:lineRule="exact"/>
        <w:jc w:val="left"/>
        <w:rPr>
          <w:rFonts w:hint="eastAsia" w:ascii="仿宋_GB2312" w:hAnsi="仿宋" w:eastAsia="仿宋_GB2312" w:cs="仿宋"/>
          <w:b/>
          <w:bCs/>
          <w:sz w:val="32"/>
          <w:szCs w:val="32"/>
        </w:rPr>
      </w:pPr>
      <w:r>
        <w:rPr>
          <w:rFonts w:hint="eastAsia" w:ascii="仿宋_GB2312" w:hAnsi="仿宋" w:eastAsia="仿宋_GB2312" w:cs="仿宋"/>
          <w:b/>
          <w:bCs/>
          <w:sz w:val="32"/>
          <w:szCs w:val="32"/>
        </w:rPr>
        <w:t>部分专项核算类型的专项核算明细账不能以年度（即1月至12月）为数据期间进行导出，需要按季度或月份为期间导出，且产生多个文件，这部分数据在导出后要进行专门的筛选和合并整理。</w:t>
      </w:r>
    </w:p>
    <w:p>
      <w:pPr>
        <w:numPr>
          <w:ilvl w:val="0"/>
          <w:numId w:val="2"/>
        </w:numPr>
        <w:autoSpaceDE w:val="0"/>
        <w:spacing w:line="560" w:lineRule="exact"/>
        <w:jc w:val="left"/>
        <w:rPr>
          <w:rFonts w:hint="eastAsia" w:ascii="仿宋_GB2312" w:hAnsi="仿宋" w:eastAsia="仿宋_GB2312" w:cs="仿宋"/>
          <w:b/>
          <w:bCs/>
          <w:sz w:val="32"/>
          <w:szCs w:val="32"/>
        </w:rPr>
      </w:pPr>
      <w:r>
        <w:rPr>
          <w:rFonts w:hint="eastAsia" w:ascii="仿宋_GB2312" w:hAnsi="仿宋" w:eastAsia="仿宋_GB2312" w:cs="仿宋"/>
          <w:b/>
          <w:bCs/>
          <w:sz w:val="32"/>
          <w:szCs w:val="32"/>
        </w:rPr>
        <w:t>设置为辅助核算类型的专项核算明细账，导出的专项核算明细账文件内只有科目名称，无专项核算对象名称，这会导致后期打印的数据无法区分专项核算对象，因此需要导出此类文件后，人为将文件名中专项核算对象名称补入文件内的科目名称之后，显示格式为“科目代码+科目名称+专项核算对象名称”。</w:t>
      </w:r>
    </w:p>
    <w:p>
      <w:pPr>
        <w:autoSpaceDE w:val="0"/>
        <w:spacing w:line="560" w:lineRule="exact"/>
        <w:ind w:left="640"/>
        <w:jc w:val="left"/>
        <w:rPr>
          <w:rFonts w:hint="eastAsia" w:ascii="仿宋_GB2312" w:hAnsi="仿宋" w:eastAsia="仿宋_GB2312" w:cs="仿宋"/>
          <w:bCs/>
          <w:kern w:val="0"/>
          <w:sz w:val="32"/>
          <w:szCs w:val="32"/>
        </w:rPr>
      </w:pPr>
      <w:r>
        <w:rPr>
          <w:rFonts w:hint="eastAsia" w:ascii="仿宋_GB2312" w:hAnsi="仿宋" w:eastAsia="仿宋_GB2312" w:cs="仿宋"/>
          <w:b/>
          <w:bCs/>
          <w:kern w:val="0"/>
          <w:sz w:val="32"/>
          <w:szCs w:val="32"/>
        </w:rPr>
        <w:t>年度报表：</w:t>
      </w:r>
      <w:r>
        <w:rPr>
          <w:rFonts w:hint="eastAsia" w:ascii="仿宋_GB2312" w:hAnsi="仿宋" w:eastAsia="仿宋_GB2312" w:cs="仿宋"/>
          <w:bCs/>
          <w:kern w:val="0"/>
          <w:sz w:val="32"/>
          <w:szCs w:val="32"/>
        </w:rPr>
        <w:t>导出有数据的年度决算报表与相关附件、说明。导出报表文件个数应与上年度报表目录进行比对，以确保没有遗漏。导出时注意报表所属单位、月份，报表类型。</w:t>
      </w:r>
    </w:p>
    <w:p>
      <w:pPr>
        <w:autoSpaceDE w:val="0"/>
        <w:spacing w:line="560" w:lineRule="exact"/>
        <w:ind w:left="640"/>
        <w:jc w:val="left"/>
        <w:rPr>
          <w:rFonts w:hint="eastAsia" w:ascii="仿宋_GB2312" w:hAnsi="仿宋" w:eastAsia="仿宋_GB2312" w:cs="仿宋"/>
          <w:b/>
          <w:bCs/>
          <w:sz w:val="32"/>
          <w:szCs w:val="32"/>
        </w:rPr>
      </w:pPr>
      <w:r>
        <w:rPr>
          <w:rFonts w:hint="eastAsia" w:ascii="仿宋_GB2312" w:hAnsi="仿宋" w:eastAsia="仿宋_GB2312" w:cs="仿宋"/>
          <w:b/>
          <w:bCs/>
          <w:kern w:val="0"/>
          <w:sz w:val="32"/>
          <w:szCs w:val="32"/>
        </w:rPr>
        <w:t>月度报表：</w:t>
      </w:r>
      <w:r>
        <w:rPr>
          <w:rFonts w:hint="eastAsia" w:ascii="仿宋_GB2312" w:hAnsi="仿宋" w:eastAsia="仿宋_GB2312" w:cs="仿宋"/>
          <w:bCs/>
          <w:kern w:val="0"/>
          <w:sz w:val="32"/>
          <w:szCs w:val="32"/>
        </w:rPr>
        <w:t>导出1月至12月有数据的月度报表，季度报表，且进行月度与月度之间数据文件的比对，以确保没有遗漏。导出时注意报表所属单位、月份、报表类型。</w:t>
      </w:r>
    </w:p>
    <w:p>
      <w:pPr>
        <w:autoSpaceDE w:val="0"/>
        <w:spacing w:line="560" w:lineRule="exact"/>
        <w:ind w:firstLine="643" w:firstLineChars="200"/>
        <w:jc w:val="left"/>
        <w:rPr>
          <w:rFonts w:hint="eastAsia" w:ascii="仿宋_GB2312" w:hAnsi="仿宋" w:eastAsia="仿宋_GB2312" w:cs="仿宋"/>
          <w:sz w:val="32"/>
          <w:szCs w:val="32"/>
        </w:rPr>
      </w:pPr>
      <w:r>
        <w:rPr>
          <w:rFonts w:hint="eastAsia" w:ascii="仿宋_GB2312" w:hAnsi="仿宋" w:eastAsia="仿宋_GB2312" w:cs="仿宋"/>
          <w:b/>
          <w:sz w:val="32"/>
          <w:szCs w:val="32"/>
        </w:rPr>
        <w:t>2）数据整理，生成打印账页：合理设置</w:t>
      </w:r>
      <w:r>
        <w:rPr>
          <w:rFonts w:hint="eastAsia" w:ascii="仿宋_GB2312" w:hAnsi="仿宋" w:eastAsia="仿宋_GB2312" w:cs="仿宋"/>
          <w:sz w:val="32"/>
          <w:szCs w:val="32"/>
        </w:rPr>
        <w:t>账页边距、行高、列宽、字体、数字格式、字体大小，适合A4纸横向双面打印。折行内容（数字不折行）显示完整，行高合理。页面既能显示最多行数且又清晰、美观。</w:t>
      </w:r>
    </w:p>
    <w:p>
      <w:pPr>
        <w:autoSpaceDE w:val="0"/>
        <w:spacing w:line="560" w:lineRule="exact"/>
        <w:ind w:firstLine="643" w:firstLineChars="200"/>
        <w:jc w:val="left"/>
        <w:rPr>
          <w:rFonts w:hint="eastAsia" w:ascii="仿宋_GB2312" w:hAnsi="仿宋" w:eastAsia="仿宋_GB2312" w:cs="仿宋"/>
          <w:sz w:val="32"/>
          <w:szCs w:val="32"/>
        </w:rPr>
      </w:pPr>
      <w:r>
        <w:rPr>
          <w:rFonts w:hint="eastAsia" w:ascii="仿宋_GB2312" w:hAnsi="仿宋" w:eastAsia="仿宋_GB2312" w:cs="仿宋"/>
          <w:b/>
          <w:sz w:val="32"/>
          <w:szCs w:val="32"/>
        </w:rPr>
        <w:t>账页精简</w:t>
      </w:r>
      <w:r>
        <w:rPr>
          <w:rFonts w:hint="eastAsia" w:ascii="仿宋_GB2312" w:hAnsi="仿宋" w:eastAsia="仿宋_GB2312" w:cs="仿宋"/>
          <w:sz w:val="32"/>
          <w:szCs w:val="32"/>
        </w:rPr>
        <w:t>。为减少打印账页的数量，账页中有空行、空月的要隐藏空行、空月的部分，空页的账页要剔除。</w:t>
      </w:r>
    </w:p>
    <w:p>
      <w:pPr>
        <w:autoSpaceDE w:val="0"/>
        <w:spacing w:line="560" w:lineRule="exact"/>
        <w:ind w:firstLine="643" w:firstLineChars="200"/>
        <w:jc w:val="left"/>
        <w:rPr>
          <w:rFonts w:hint="eastAsia" w:ascii="仿宋_GB2312" w:hAnsi="仿宋" w:eastAsia="仿宋_GB2312" w:cs="仿宋"/>
          <w:b/>
          <w:sz w:val="32"/>
          <w:szCs w:val="32"/>
        </w:rPr>
      </w:pPr>
      <w:r>
        <w:rPr>
          <w:rFonts w:hint="eastAsia" w:ascii="仿宋_GB2312" w:hAnsi="仿宋" w:eastAsia="仿宋_GB2312" w:cs="仿宋"/>
          <w:b/>
          <w:sz w:val="32"/>
          <w:szCs w:val="32"/>
        </w:rPr>
        <w:t>账页上的文字和数据不能被改动，账页文件应在其所在的顺序和类别中，不能串。</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账页按类别编写页码，一个类别的账页从第一页到最后一页的页码连续。整理完成后生成最终要打印的账页。</w:t>
      </w:r>
    </w:p>
    <w:p>
      <w:pPr>
        <w:autoSpaceDE w:val="0"/>
        <w:spacing w:line="560" w:lineRule="exact"/>
        <w:ind w:firstLine="643" w:firstLineChars="200"/>
        <w:jc w:val="left"/>
        <w:rPr>
          <w:rFonts w:hint="eastAsia" w:ascii="仿宋_GB2312" w:hAnsi="仿宋" w:eastAsia="仿宋_GB2312" w:cs="仿宋"/>
          <w:sz w:val="32"/>
          <w:szCs w:val="32"/>
        </w:rPr>
      </w:pPr>
      <w:r>
        <w:rPr>
          <w:rFonts w:hint="eastAsia" w:ascii="仿宋_GB2312" w:hAnsi="仿宋" w:eastAsia="仿宋_GB2312" w:cs="仿宋"/>
          <w:b/>
          <w:sz w:val="32"/>
          <w:szCs w:val="32"/>
        </w:rPr>
        <w:t>3）编目录：</w:t>
      </w:r>
      <w:r>
        <w:rPr>
          <w:rFonts w:hint="eastAsia" w:ascii="仿宋_GB2312" w:hAnsi="仿宋" w:eastAsia="仿宋_GB2312" w:cs="仿宋"/>
          <w:sz w:val="32"/>
          <w:szCs w:val="32"/>
        </w:rPr>
        <w:t>目录按每个类别分别编写，目录条目详细，一个数据明细对应一条目录，一一对应，目录条目对应账页的页码必须准确.</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目录条目要显示完整的科目代码、科目名称、专项核算类型、专项核算对象名称、对应账页的页码。日记账、明细分类账目录要显示完整的科目层级关系。格式参考本文第五部分的目录格式。</w:t>
      </w:r>
    </w:p>
    <w:p>
      <w:pPr>
        <w:autoSpaceDE w:val="0"/>
        <w:spacing w:line="560" w:lineRule="exact"/>
        <w:ind w:firstLine="643" w:firstLineChars="200"/>
        <w:jc w:val="left"/>
        <w:rPr>
          <w:rFonts w:hint="eastAsia" w:ascii="仿宋_GB2312" w:hAnsi="仿宋" w:eastAsia="仿宋_GB2312" w:cs="仿宋"/>
          <w:sz w:val="32"/>
          <w:szCs w:val="32"/>
        </w:rPr>
      </w:pPr>
      <w:r>
        <w:rPr>
          <w:rFonts w:hint="eastAsia" w:ascii="仿宋_GB2312" w:hAnsi="仿宋" w:eastAsia="仿宋_GB2312" w:cs="仿宋"/>
          <w:b/>
          <w:sz w:val="32"/>
          <w:szCs w:val="32"/>
        </w:rPr>
        <w:t>4）分册打印：</w:t>
      </w:r>
      <w:r>
        <w:rPr>
          <w:rFonts w:hint="eastAsia" w:ascii="仿宋_GB2312" w:hAnsi="仿宋" w:eastAsia="仿宋_GB2312" w:cs="仿宋"/>
          <w:sz w:val="32"/>
          <w:szCs w:val="32"/>
        </w:rPr>
        <w:t>根据编好的页码和目录进行科学分册，同一个科目或核算类型的账页不跨册，要分入同一册内。</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账簿打印设置为A4纸横向双面打印，页数小于100页的单面打印。报表打印设置根据每个报表的格式选择合适的方向（横向或竖向）。</w:t>
      </w:r>
    </w:p>
    <w:p>
      <w:pPr>
        <w:autoSpaceDE w:val="0"/>
        <w:spacing w:line="560" w:lineRule="exact"/>
        <w:ind w:firstLine="640" w:firstLineChars="200"/>
        <w:jc w:val="left"/>
        <w:rPr>
          <w:rFonts w:hint="eastAsia" w:ascii="仿宋_GB2312" w:hAnsi="仿宋" w:eastAsia="仿宋_GB2312" w:cs="仿宋"/>
          <w:b/>
          <w:sz w:val="32"/>
          <w:szCs w:val="32"/>
        </w:rPr>
      </w:pPr>
      <w:r>
        <w:rPr>
          <w:rFonts w:hint="eastAsia" w:ascii="仿宋_GB2312" w:hAnsi="仿宋" w:eastAsia="仿宋_GB2312" w:cs="仿宋"/>
          <w:sz w:val="32"/>
          <w:szCs w:val="32"/>
        </w:rPr>
        <w:t>打印纸张要均匀柔韧，打印纸面整洁干净，字迹清晰。每一册最后一页有账页内容的，另附一张空白纸张进行保护。</w:t>
      </w:r>
    </w:p>
    <w:p>
      <w:pPr>
        <w:autoSpaceDE w:val="0"/>
        <w:spacing w:line="560" w:lineRule="exact"/>
        <w:ind w:firstLine="643" w:firstLineChars="200"/>
        <w:jc w:val="left"/>
        <w:rPr>
          <w:rFonts w:hint="eastAsia" w:ascii="仿宋_GB2312" w:hAnsi="仿宋" w:eastAsia="仿宋_GB2312" w:cs="仿宋"/>
          <w:sz w:val="32"/>
          <w:szCs w:val="32"/>
        </w:rPr>
      </w:pPr>
      <w:r>
        <w:rPr>
          <w:rFonts w:hint="eastAsia" w:ascii="仿宋_GB2312" w:hAnsi="仿宋" w:eastAsia="仿宋_GB2312" w:cs="仿宋"/>
          <w:b/>
          <w:sz w:val="32"/>
          <w:szCs w:val="32"/>
        </w:rPr>
        <w:t>5）填写账簿启用表：</w:t>
      </w:r>
      <w:r>
        <w:rPr>
          <w:rFonts w:hint="eastAsia" w:ascii="仿宋_GB2312" w:hAnsi="仿宋" w:eastAsia="仿宋_GB2312" w:cs="仿宋"/>
          <w:sz w:val="32"/>
          <w:szCs w:val="32"/>
        </w:rPr>
        <w:t>账簿启用表信息要准确、完整。包含信息：单位名称、起止日期、账簿类别名称、本类第几册共几册、本册账簿的起止页码、本类账簿页数、人员岗位和姓名。</w:t>
      </w:r>
    </w:p>
    <w:p>
      <w:pPr>
        <w:autoSpaceDE w:val="0"/>
        <w:spacing w:line="560" w:lineRule="exact"/>
        <w:ind w:firstLine="640" w:firstLineChars="200"/>
        <w:jc w:val="left"/>
        <w:rPr>
          <w:rFonts w:hint="eastAsia" w:ascii="仿宋_GB2312" w:hAnsi="仿宋" w:eastAsia="仿宋_GB2312" w:cs="仿宋"/>
          <w:b/>
          <w:sz w:val="32"/>
          <w:szCs w:val="32"/>
        </w:rPr>
      </w:pPr>
      <w:r>
        <w:rPr>
          <w:rFonts w:hint="eastAsia" w:ascii="仿宋_GB2312" w:hAnsi="仿宋" w:eastAsia="仿宋_GB2312" w:cs="仿宋"/>
          <w:sz w:val="32"/>
          <w:szCs w:val="32"/>
        </w:rPr>
        <w:t>一册账簿对应一个账簿启用表，一一对应。</w:t>
      </w:r>
    </w:p>
    <w:p>
      <w:pPr>
        <w:autoSpaceDE w:val="0"/>
        <w:spacing w:line="560" w:lineRule="exact"/>
        <w:ind w:firstLine="643" w:firstLineChars="200"/>
        <w:jc w:val="left"/>
        <w:rPr>
          <w:rFonts w:hint="eastAsia" w:ascii="仿宋_GB2312" w:hAnsi="仿宋" w:eastAsia="仿宋_GB2312" w:cs="仿宋"/>
          <w:sz w:val="32"/>
          <w:szCs w:val="32"/>
        </w:rPr>
      </w:pPr>
      <w:r>
        <w:rPr>
          <w:rFonts w:hint="eastAsia" w:ascii="仿宋_GB2312" w:hAnsi="仿宋" w:eastAsia="仿宋_GB2312" w:cs="仿宋"/>
          <w:b/>
          <w:sz w:val="32"/>
          <w:szCs w:val="32"/>
        </w:rPr>
        <w:t>6）设计账簿封面信息</w:t>
      </w:r>
      <w:r>
        <w:rPr>
          <w:rFonts w:hint="eastAsia" w:ascii="仿宋_GB2312" w:hAnsi="仿宋" w:eastAsia="仿宋_GB2312" w:cs="仿宋"/>
          <w:sz w:val="32"/>
          <w:szCs w:val="32"/>
        </w:rPr>
        <w:t>：参照我方样本，账簿封面采用统一的VI标志和格式。每册账簿的封面信息包括：单位名称、所属年度、账簿类别名称、本类第几册共几册、本册账页的起止科目，专项核算明细账还需加上科目对应的专项类型。每册账簿立面信息包括：单位名称、所属年度、账簿类别名称、本类第几册共几册。</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封面信息要详细、准确、清晰，易于查找。</w:t>
      </w:r>
    </w:p>
    <w:p>
      <w:pPr>
        <w:autoSpaceDE w:val="0"/>
        <w:spacing w:line="560" w:lineRule="exact"/>
        <w:ind w:firstLine="643" w:firstLineChars="200"/>
        <w:jc w:val="left"/>
        <w:rPr>
          <w:rFonts w:hint="eastAsia" w:ascii="仿宋_GB2312" w:hAnsi="仿宋" w:eastAsia="仿宋_GB2312" w:cs="仿宋"/>
          <w:sz w:val="32"/>
          <w:szCs w:val="32"/>
        </w:rPr>
      </w:pPr>
      <w:r>
        <w:rPr>
          <w:rFonts w:hint="eastAsia" w:ascii="仿宋_GB2312" w:hAnsi="仿宋" w:eastAsia="仿宋_GB2312" w:cs="仿宋"/>
          <w:b/>
          <w:sz w:val="32"/>
          <w:szCs w:val="32"/>
        </w:rPr>
        <w:t>7）装订。</w:t>
      </w:r>
      <w:r>
        <w:rPr>
          <w:rFonts w:hint="eastAsia" w:ascii="仿宋_GB2312" w:hAnsi="仿宋" w:eastAsia="仿宋_GB2312" w:cs="仿宋"/>
          <w:sz w:val="32"/>
          <w:szCs w:val="32"/>
        </w:rPr>
        <w:t>每册账簿装订内容包括封面、账簿启用表（红字）、目录、账页四部分，里外内容一一对应。包装要牢固、耐用、防水。</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包装完成后，要逐册检查封面、账簿启用表、目录、账页是否一致，有无损坏或缺失。</w:t>
      </w:r>
    </w:p>
    <w:p>
      <w:pPr>
        <w:autoSpaceDE w:val="0"/>
        <w:spacing w:line="560" w:lineRule="exact"/>
        <w:ind w:firstLine="643" w:firstLineChars="200"/>
        <w:jc w:val="left"/>
        <w:rPr>
          <w:rFonts w:hint="eastAsia" w:ascii="仿宋_GB2312" w:hAnsi="仿宋" w:eastAsia="仿宋_GB2312" w:cs="仿宋"/>
          <w:sz w:val="32"/>
          <w:szCs w:val="32"/>
        </w:rPr>
      </w:pPr>
      <w:r>
        <w:rPr>
          <w:rFonts w:hint="eastAsia" w:ascii="仿宋_GB2312" w:hAnsi="仿宋" w:eastAsia="仿宋_GB2312" w:cs="仿宋"/>
          <w:b/>
          <w:sz w:val="32"/>
          <w:szCs w:val="32"/>
        </w:rPr>
        <w:t>8）报表数据整理与装订：</w:t>
      </w:r>
      <w:r>
        <w:rPr>
          <w:rFonts w:hint="eastAsia" w:ascii="仿宋_GB2312" w:hAnsi="仿宋" w:eastAsia="仿宋_GB2312" w:cs="仿宋"/>
          <w:sz w:val="32"/>
          <w:szCs w:val="32"/>
        </w:rPr>
        <w:t>报表数据中每一张报表的格式都不同，在整理打印格式时，需要每张表逐一进行排版，一张表的数据尽可能在一个打印页面的完整显示。行、列较多的报表不能在一个页面完整打印、或一个页面显示字迹太小的要进行合理分页，注意分页显示的打印页面上设置的循环打印行列，不要断层或没有头尾。</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报表上的文字和数据不能被改动，打印页面的文字和数据要清晰、内容完整。</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年度决算报表需要先分类排序，再编页码。编页码前，参考每个报表中右上方的报表类型名称和编码，对报表进行分类排序，然后依次编写顺序、连续的页码。</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年度决算报表目录是一张报表对应一个页码，一一对应。目录信息包括：报表类别、报表名称、页码。年报目录尽量用一个页面显示，查询更方便。</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月度报表按月份顺序编写目录，目录格式是“月份+页码”，便于查看各月的报表数据。各月报表的首页是本月报表签字页，其后才是本月数据报表。</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报表竖向包装。年报包装内容包括：年度决算报表签字页、目录、数据报表、财务情况说明书、会计报表附注、编表说明、其他附件。月报包装内容包括：目录、各月报表数据（含签字页）。</w:t>
      </w:r>
    </w:p>
    <w:p>
      <w:pPr>
        <w:autoSpaceDE w:val="0"/>
        <w:spacing w:line="560" w:lineRule="exact"/>
        <w:ind w:firstLine="640" w:firstLineChars="200"/>
        <w:jc w:val="left"/>
        <w:rPr>
          <w:rFonts w:hint="eastAsia" w:ascii="仿宋_GB2312" w:hAnsi="仿宋" w:eastAsia="仿宋_GB2312" w:cs="仿宋"/>
          <w:sz w:val="32"/>
          <w:szCs w:val="32"/>
        </w:rPr>
      </w:pPr>
      <w:r>
        <w:rPr>
          <w:rFonts w:hint="eastAsia" w:ascii="仿宋_GB2312" w:hAnsi="仿宋" w:eastAsia="仿宋_GB2312" w:cs="仿宋"/>
          <w:sz w:val="32"/>
          <w:szCs w:val="32"/>
        </w:rPr>
        <w:t>年度报表封面名称：所属单位名称+所属年度+年度财务决算报表；月度报表封面名称：所属单位名称+所属年度和月份+月度报表。</w:t>
      </w:r>
    </w:p>
    <w:p>
      <w:pPr>
        <w:pStyle w:val="2"/>
        <w:rPr>
          <w:rFonts w:hint="eastAsia"/>
          <w:color w:val="auto"/>
        </w:rPr>
      </w:pPr>
      <w:r>
        <w:rPr>
          <w:rFonts w:hint="eastAsia" w:ascii="仿宋_GB2312" w:hAnsi="仿宋" w:eastAsia="仿宋_GB2312" w:cs="仿宋"/>
          <w:b/>
          <w:color w:val="auto"/>
          <w:sz w:val="32"/>
          <w:szCs w:val="32"/>
          <w:lang w:val="en-US" w:eastAsia="zh-CN"/>
        </w:rPr>
        <w:t>9</w:t>
      </w:r>
      <w:r>
        <w:rPr>
          <w:rFonts w:hint="eastAsia" w:ascii="仿宋_GB2312" w:hAnsi="仿宋" w:eastAsia="仿宋_GB2312" w:cs="仿宋"/>
          <w:b/>
          <w:color w:val="auto"/>
          <w:sz w:val="32"/>
          <w:szCs w:val="32"/>
        </w:rPr>
        <w:t>）</w:t>
      </w:r>
      <w:r>
        <w:rPr>
          <w:rFonts w:hint="eastAsia" w:ascii="仿宋_GB2312" w:hAnsi="仿宋" w:eastAsia="仿宋_GB2312" w:cs="仿宋"/>
          <w:b/>
          <w:color w:val="auto"/>
          <w:sz w:val="32"/>
          <w:szCs w:val="32"/>
          <w:lang w:val="en-US" w:eastAsia="zh-CN"/>
        </w:rPr>
        <w:t>装盒</w:t>
      </w:r>
      <w:r>
        <w:rPr>
          <w:rFonts w:hint="eastAsia" w:ascii="仿宋_GB2312" w:hAnsi="仿宋" w:eastAsia="仿宋_GB2312" w:cs="仿宋"/>
          <w:b/>
          <w:color w:val="auto"/>
          <w:sz w:val="32"/>
          <w:szCs w:val="32"/>
        </w:rPr>
        <w:t>：</w:t>
      </w:r>
      <w:r>
        <w:rPr>
          <w:rFonts w:hint="eastAsia" w:ascii="仿宋_GB2312" w:hAnsi="仿宋" w:eastAsia="仿宋_GB2312" w:cs="Times New Roman"/>
          <w:color w:val="auto"/>
          <w:sz w:val="32"/>
          <w:szCs w:val="32"/>
          <w:lang w:val="en-US" w:eastAsia="zh-CN"/>
        </w:rPr>
        <w:t>将所有装订好的资料，按顺序进行装盒。装盒完成后、做好移交清册并送到指定地点。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三、采购其他要求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（一）请在规定时间内登录：中国南方电网-供应链统一服务平台：https://www.bidding.csg.cn/进行报价。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（二）报价必须在零星采购平台系统上进行报价，同时上传加盖公章的PDF报价文件，报价文件格式见附件。各报价人对报价文件的各项内容均应作出响应，非响应性报价均作无效报价处理。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（三）成交原则：在响应本询价函和报价文件所有内容的前提</w:t>
      </w:r>
      <w:r>
        <w:rPr>
          <w:rFonts w:hint="eastAsia" w:ascii="仿宋" w:hAnsi="仿宋" w:eastAsia="仿宋" w:cs="仿宋"/>
          <w:color w:val="auto"/>
          <w:sz w:val="32"/>
          <w:szCs w:val="32"/>
          <w:lang w:val="en-US" w:eastAsia="zh-CN"/>
        </w:rPr>
        <w:t>下，最低价中标原则。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四）采购完成后，成交方应按采购方的要求及时签订合同按照相关要求进行服务。项目以最终成交单价（含税价）按照实际业务量进行结算，供应商需开具增值税专用发票，我方在45日内以银行转账方式对公进行结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（五）报价要求详情按报价文件响应。</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本次零星采购系统报价方式为单价报价，投标单位在系统报价为各类账页包装册数合计金额，要求必须将纸质详细报价明细上传系统。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(六）本次采购金额为预估金额，最终按实际发生的业务量乘以成交单价据实结算。</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0000FF"/>
          <w:sz w:val="32"/>
          <w:szCs w:val="32"/>
          <w:lang w:val="en-US" w:eastAsia="zh-CN"/>
        </w:rPr>
      </w:pP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联系人：李明玉，联系电话：13638715885。</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附件：报价文件格式（另附）</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color w:val="000000"/>
          <w:sz w:val="32"/>
          <w:szCs w:val="32"/>
          <w:lang w:val="en-US" w:eastAsia="zh-CN"/>
        </w:rPr>
      </w:pPr>
    </w:p>
    <w:p>
      <w:pPr>
        <w:pStyle w:val="2"/>
        <w:rPr>
          <w:rFonts w:hint="eastAsia"/>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      云南电网有限责任公司楚雄供电局</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仿宋" w:hAnsi="仿宋" w:eastAsia="仿宋" w:cs="仿宋"/>
          <w:color w:val="000000"/>
          <w:sz w:val="32"/>
          <w:szCs w:val="32"/>
          <w:lang w:val="en-US" w:eastAsia="zh-CN"/>
        </w:rPr>
      </w:pPr>
      <w:r>
        <w:rPr>
          <w:rFonts w:hint="eastAsia" w:ascii="仿宋_GB2312" w:hAnsi="仿宋" w:eastAsia="仿宋_GB2312"/>
          <w:sz w:val="32"/>
          <w:szCs w:val="32"/>
          <w:lang w:val="en-US" w:eastAsia="zh-CN"/>
        </w:rPr>
        <w:t xml:space="preserve">    财务共享服务中心</w:t>
      </w:r>
      <w:r>
        <w:rPr>
          <w:rFonts w:hint="eastAsia" w:ascii="仿宋" w:hAnsi="仿宋" w:eastAsia="仿宋" w:cs="仿宋"/>
          <w:color w:val="000000"/>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     2026年10月10日</w:t>
      </w:r>
    </w:p>
    <w:p>
      <w:pPr>
        <w:pStyle w:val="2"/>
        <w:rPr>
          <w:rFonts w:hint="eastAsia" w:ascii="仿宋" w:hAnsi="仿宋" w:eastAsia="仿宋" w:cs="仿宋"/>
          <w:color w:val="000000"/>
          <w:sz w:val="32"/>
          <w:szCs w:val="32"/>
          <w:lang w:val="en-US" w:eastAsia="zh-CN"/>
        </w:rPr>
      </w:pPr>
    </w:p>
    <w:p>
      <w:pPr>
        <w:rPr>
          <w:rFonts w:hint="eastAsia" w:ascii="仿宋" w:hAnsi="仿宋" w:eastAsia="仿宋" w:cs="仿宋"/>
          <w:color w:val="000000"/>
          <w:sz w:val="32"/>
          <w:szCs w:val="32"/>
          <w:lang w:val="en-US" w:eastAsia="zh-CN"/>
        </w:rPr>
      </w:pPr>
    </w:p>
    <w:p>
      <w:pPr>
        <w:pStyle w:val="2"/>
        <w:rPr>
          <w:rFonts w:hint="eastAsia" w:ascii="仿宋" w:hAnsi="仿宋" w:eastAsia="仿宋" w:cs="仿宋"/>
          <w:color w:val="000000"/>
          <w:sz w:val="32"/>
          <w:szCs w:val="32"/>
          <w:lang w:val="en-US" w:eastAsia="zh-CN"/>
        </w:rPr>
      </w:pPr>
    </w:p>
    <w:p>
      <w:pPr>
        <w:rPr>
          <w:rFonts w:hint="eastAsia" w:ascii="仿宋" w:hAnsi="仿宋" w:eastAsia="仿宋" w:cs="仿宋"/>
          <w:color w:val="000000"/>
          <w:sz w:val="32"/>
          <w:szCs w:val="32"/>
          <w:lang w:val="en-US" w:eastAsia="zh-CN"/>
        </w:rPr>
      </w:pPr>
    </w:p>
    <w:p>
      <w:pPr>
        <w:pStyle w:val="2"/>
        <w:rPr>
          <w:rFonts w:hint="eastAsia" w:ascii="仿宋" w:hAnsi="仿宋" w:eastAsia="仿宋" w:cs="仿宋"/>
          <w:color w:val="000000"/>
          <w:sz w:val="32"/>
          <w:szCs w:val="32"/>
          <w:lang w:val="en-US" w:eastAsia="zh-CN"/>
        </w:rPr>
      </w:pPr>
    </w:p>
    <w:p>
      <w:pPr>
        <w:rPr>
          <w:rFonts w:hint="eastAsia"/>
          <w:lang w:val="en-US" w:eastAsia="zh-CN"/>
        </w:rPr>
      </w:pPr>
    </w:p>
    <w:p>
      <w:pPr>
        <w:pStyle w:val="2"/>
        <w:jc w:val="right"/>
        <w:rPr>
          <w:rFonts w:hint="eastAsia"/>
          <w:color w:val="000000"/>
          <w:lang w:val="en-US" w:eastAsia="zh-CN"/>
        </w:rPr>
      </w:pPr>
    </w:p>
    <w:p>
      <w:pPr>
        <w:pStyle w:val="2"/>
        <w:rPr>
          <w:rFonts w:ascii="方正小标宋简体" w:hAnsi="方正小标宋简体" w:eastAsia="方正小标宋简体" w:cs="方正小标宋简体"/>
          <w:bCs/>
          <w:sz w:val="36"/>
          <w:szCs w:val="36"/>
        </w:rPr>
      </w:pPr>
      <w:r>
        <w:rPr>
          <w:rFonts w:hint="eastAsia" w:ascii="黑体" w:hAnsi="黑体" w:eastAsia="黑体" w:cs="黑体"/>
          <w:bCs/>
          <w:sz w:val="32"/>
          <w:szCs w:val="32"/>
          <w:lang w:val="en-US" w:eastAsia="zh-CN"/>
        </w:rPr>
        <w:t>附件</w:t>
      </w:r>
      <w:r>
        <w:rPr>
          <w:rFonts w:hint="eastAsia" w:ascii="黑体" w:hAnsi="黑体" w:eastAsia="黑体" w:cs="黑体"/>
          <w:bCs/>
          <w:sz w:val="32"/>
          <w:szCs w:val="32"/>
        </w:rPr>
        <w:t>：报价文件格式</w:t>
      </w:r>
    </w:p>
    <w:p>
      <w:pPr>
        <w:pStyle w:val="2"/>
        <w:rPr>
          <w:rFonts w:ascii="方正小标宋简体" w:hAnsi="方正小标宋简体" w:eastAsia="方正小标宋简体" w:cs="方正小标宋简体"/>
          <w:bCs/>
          <w:sz w:val="36"/>
          <w:szCs w:val="36"/>
        </w:rPr>
      </w:pPr>
    </w:p>
    <w:p/>
    <w:p/>
    <w:p>
      <w:pPr>
        <w:pStyle w:val="2"/>
      </w:pPr>
    </w:p>
    <w:p>
      <w:pPr>
        <w:pStyle w:val="2"/>
        <w:jc w:val="center"/>
        <w:rPr>
          <w:rFonts w:hint="eastAsia"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lang w:val="en-US" w:eastAsia="zh-CN"/>
        </w:rPr>
        <w:t>楚雄供电局</w:t>
      </w:r>
      <w:r>
        <w:rPr>
          <w:rFonts w:hint="eastAsia" w:ascii="黑体" w:hAnsi="方正小标宋简体" w:eastAsia="黑体" w:cs="方正小标宋简体"/>
          <w:b/>
          <w:sz w:val="36"/>
          <w:szCs w:val="36"/>
        </w:rPr>
        <w:t>202</w:t>
      </w:r>
      <w:r>
        <w:rPr>
          <w:rFonts w:hint="eastAsia" w:ascii="黑体" w:hAnsi="方正小标宋简体" w:eastAsia="黑体" w:cs="方正小标宋简体"/>
          <w:b/>
          <w:sz w:val="36"/>
          <w:szCs w:val="36"/>
          <w:lang w:val="en-US" w:eastAsia="zh-CN"/>
        </w:rPr>
        <w:t>5</w:t>
      </w:r>
      <w:r>
        <w:rPr>
          <w:rFonts w:hint="eastAsia" w:ascii="黑体" w:hAnsi="方正小标宋简体" w:eastAsia="黑体" w:cs="方正小标宋简体"/>
          <w:b/>
          <w:sz w:val="36"/>
          <w:szCs w:val="36"/>
        </w:rPr>
        <w:t>年度会计账簿、报表档案资料整理装订项目</w:t>
      </w:r>
      <w:r>
        <w:rPr>
          <w:rFonts w:hint="eastAsia" w:ascii="方正小标宋简体" w:hAnsi="方正小标宋简体" w:eastAsia="方正小标宋简体" w:cs="方正小标宋简体"/>
          <w:bCs/>
          <w:sz w:val="36"/>
          <w:szCs w:val="36"/>
          <w:lang w:val="en-US" w:eastAsia="zh-CN"/>
        </w:rPr>
        <w:t>采购</w:t>
      </w:r>
      <w:r>
        <w:rPr>
          <w:rFonts w:hint="eastAsia" w:ascii="方正小标宋简体" w:hAnsi="方正小标宋简体" w:eastAsia="方正小标宋简体" w:cs="方正小标宋简体"/>
          <w:bCs/>
          <w:sz w:val="36"/>
          <w:szCs w:val="36"/>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
      <w:pPr>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hint="eastAsia" w:ascii="黑体" w:hAnsi="黑体" w:eastAsia="黑体" w:cs="黑体"/>
          <w:bCs/>
          <w:sz w:val="32"/>
          <w:szCs w:val="32"/>
        </w:rPr>
      </w:pPr>
      <w:r>
        <w:rPr>
          <w:rFonts w:hint="eastAsia" w:ascii="黑体" w:hAnsi="黑体" w:eastAsia="黑体" w:cs="黑体"/>
          <w:bCs/>
          <w:sz w:val="32"/>
          <w:szCs w:val="32"/>
        </w:rPr>
        <w:t>报价单位（盖章）：</w:t>
      </w:r>
      <w:r>
        <w:rPr>
          <w:rFonts w:hint="eastAsia" w:ascii="黑体" w:hAnsi="黑体" w:eastAsia="黑体" w:cs="黑体"/>
          <w:bCs/>
          <w:sz w:val="32"/>
          <w:szCs w:val="32"/>
          <w:u w:val="single"/>
        </w:rPr>
        <w:t xml:space="preserve">                        </w:t>
      </w:r>
    </w:p>
    <w:p>
      <w:pPr>
        <w:pStyle w:val="2"/>
        <w:ind w:firstLine="1120" w:firstLineChars="350"/>
        <w:rPr>
          <w:rFonts w:hint="eastAsia" w:ascii="黑体" w:hAnsi="黑体" w:eastAsia="黑体" w:cs="黑体"/>
          <w:bCs/>
          <w:sz w:val="32"/>
          <w:szCs w:val="32"/>
          <w:u w:val="single"/>
        </w:rPr>
      </w:pPr>
      <w:r>
        <w:rPr>
          <w:rFonts w:hint="eastAsia" w:ascii="黑体" w:hAnsi="黑体" w:eastAsia="黑体" w:cs="黑体"/>
          <w:bCs/>
          <w:sz w:val="32"/>
          <w:szCs w:val="32"/>
        </w:rPr>
        <w:t>报价日期：</w:t>
      </w:r>
      <w:r>
        <w:rPr>
          <w:rFonts w:hint="eastAsia" w:ascii="黑体" w:hAnsi="黑体" w:eastAsia="黑体" w:cs="黑体"/>
          <w:bCs/>
          <w:sz w:val="32"/>
          <w:szCs w:val="32"/>
          <w:u w:val="single"/>
        </w:rPr>
        <w:t xml:space="preserve">                                </w:t>
      </w:r>
    </w:p>
    <w:p>
      <w:pPr>
        <w:rPr>
          <w:rFonts w:hint="eastAsia" w:ascii="黑体" w:hAnsi="黑体" w:eastAsia="黑体" w:cs="黑体"/>
          <w:bCs/>
          <w:sz w:val="32"/>
          <w:szCs w:val="32"/>
          <w:u w:val="single"/>
        </w:rPr>
      </w:pPr>
    </w:p>
    <w:p>
      <w:pPr>
        <w:pStyle w:val="2"/>
        <w:rPr>
          <w:rFonts w:hint="eastAsia" w:ascii="黑体" w:hAnsi="黑体" w:eastAsia="黑体" w:cs="黑体"/>
          <w:bCs/>
          <w:sz w:val="32"/>
          <w:szCs w:val="32"/>
          <w:u w:val="single"/>
        </w:rPr>
      </w:pPr>
    </w:p>
    <w:p>
      <w:pPr>
        <w:rPr>
          <w:rFonts w:hint="eastAsia" w:ascii="黑体" w:hAnsi="黑体" w:eastAsia="黑体" w:cs="黑体"/>
          <w:bCs/>
          <w:sz w:val="32"/>
          <w:szCs w:val="32"/>
          <w:u w:val="single"/>
        </w:rPr>
      </w:pPr>
    </w:p>
    <w:p>
      <w:pPr>
        <w:pStyle w:val="2"/>
        <w:rPr>
          <w:rFonts w:hint="eastAsia" w:ascii="黑体" w:hAnsi="黑体" w:eastAsia="黑体" w:cs="黑体"/>
          <w:bCs/>
          <w:sz w:val="32"/>
          <w:szCs w:val="32"/>
          <w:u w:val="single"/>
        </w:rPr>
      </w:pPr>
    </w:p>
    <w:p>
      <w:pPr>
        <w:rPr>
          <w:rFonts w:hint="eastAsia" w:ascii="黑体" w:hAnsi="黑体" w:eastAsia="黑体" w:cs="黑体"/>
          <w:bCs/>
          <w:sz w:val="32"/>
          <w:szCs w:val="32"/>
          <w:u w:val="single"/>
        </w:rPr>
      </w:pPr>
    </w:p>
    <w:p>
      <w:pPr>
        <w:pStyle w:val="2"/>
        <w:rPr>
          <w:rFonts w:hint="eastAsia"/>
        </w:rPr>
      </w:pPr>
    </w:p>
    <w:p>
      <w:pPr>
        <w:numPr>
          <w:ilvl w:val="0"/>
          <w:numId w:val="3"/>
        </w:numPr>
        <w:jc w:val="both"/>
        <w:rPr>
          <w:rFonts w:hint="eastAsia" w:ascii="仿宋" w:hAnsi="仿宋" w:eastAsia="仿宋" w:cs="仿宋"/>
          <w:bCs/>
          <w:color w:val="000000"/>
          <w:sz w:val="32"/>
          <w:szCs w:val="32"/>
          <w:lang w:val="en-US" w:eastAsia="zh-CN"/>
        </w:rPr>
      </w:pPr>
      <w:r>
        <w:rPr>
          <w:rFonts w:hint="eastAsia" w:ascii="仿宋" w:hAnsi="仿宋" w:eastAsia="仿宋" w:cs="仿宋"/>
          <w:bCs/>
          <w:color w:val="000000"/>
          <w:sz w:val="32"/>
          <w:szCs w:val="32"/>
          <w:lang w:val="en-US" w:eastAsia="zh-CN"/>
        </w:rPr>
        <w:t>报价表</w:t>
      </w:r>
    </w:p>
    <w:p>
      <w:pPr>
        <w:pStyle w:val="2"/>
        <w:numPr>
          <w:ilvl w:val="0"/>
          <w:numId w:val="0"/>
        </w:numPr>
        <w:rPr>
          <w:rFonts w:hint="eastAsia"/>
          <w:lang w:val="en-US" w:eastAsia="zh-CN"/>
        </w:rPr>
      </w:pPr>
    </w:p>
    <w:p>
      <w:pPr>
        <w:jc w:val="center"/>
        <w:rPr>
          <w:rFonts w:hint="eastAsia" w:ascii="方正小标宋简体" w:hAnsi="方正小标宋简体" w:eastAsia="方正小标宋简体" w:cs="方正小标宋简体"/>
          <w:bCs/>
          <w:color w:val="000000"/>
          <w:sz w:val="36"/>
          <w:szCs w:val="36"/>
          <w:lang w:val="en-US" w:eastAsia="zh-CN"/>
        </w:rPr>
      </w:pPr>
      <w:r>
        <w:rPr>
          <w:rFonts w:hint="eastAsia" w:ascii="方正小标宋简体" w:hAnsi="方正小标宋简体" w:eastAsia="方正小标宋简体" w:cs="方正小标宋简体"/>
          <w:bCs/>
          <w:color w:val="000000"/>
          <w:sz w:val="36"/>
          <w:szCs w:val="36"/>
          <w:lang w:val="en-US" w:eastAsia="zh-CN"/>
        </w:rPr>
        <w:t>楚雄供电局</w:t>
      </w:r>
      <w:r>
        <w:rPr>
          <w:rFonts w:hint="eastAsia" w:ascii="黑体" w:hAnsi="方正小标宋简体" w:eastAsia="黑体" w:cs="方正小标宋简体"/>
          <w:b/>
          <w:sz w:val="36"/>
          <w:szCs w:val="36"/>
        </w:rPr>
        <w:t>202</w:t>
      </w:r>
      <w:r>
        <w:rPr>
          <w:rFonts w:hint="eastAsia" w:ascii="黑体" w:hAnsi="方正小标宋简体" w:eastAsia="黑体" w:cs="方正小标宋简体"/>
          <w:b/>
          <w:sz w:val="36"/>
          <w:szCs w:val="36"/>
          <w:lang w:val="en-US" w:eastAsia="zh-CN"/>
        </w:rPr>
        <w:t>5</w:t>
      </w:r>
      <w:r>
        <w:rPr>
          <w:rFonts w:hint="eastAsia" w:ascii="黑体" w:hAnsi="方正小标宋简体" w:eastAsia="黑体" w:cs="方正小标宋简体"/>
          <w:b/>
          <w:sz w:val="36"/>
          <w:szCs w:val="36"/>
        </w:rPr>
        <w:t>年度会计账簿、报表档案资料整理装订项目</w:t>
      </w:r>
      <w:r>
        <w:rPr>
          <w:rFonts w:hint="eastAsia" w:ascii="方正小标宋简体" w:hAnsi="方正小标宋简体" w:eastAsia="方正小标宋简体" w:cs="方正小标宋简体"/>
          <w:bCs/>
          <w:color w:val="000000"/>
          <w:sz w:val="36"/>
          <w:szCs w:val="36"/>
          <w:lang w:val="en-US" w:eastAsia="zh-CN"/>
        </w:rPr>
        <w:t>采购报价表</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p>
    <w:tbl>
      <w:tblPr>
        <w:tblStyle w:val="7"/>
        <w:tblW w:w="10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1"/>
        <w:gridCol w:w="1505"/>
        <w:gridCol w:w="3906"/>
        <w:gridCol w:w="1455"/>
        <w:gridCol w:w="1068"/>
        <w:gridCol w:w="1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561"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序号</w:t>
            </w:r>
          </w:p>
        </w:tc>
        <w:tc>
          <w:tcPr>
            <w:tcW w:w="150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类别名称</w:t>
            </w:r>
          </w:p>
        </w:tc>
        <w:tc>
          <w:tcPr>
            <w:tcW w:w="3906"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详细内容</w:t>
            </w:r>
          </w:p>
        </w:tc>
        <w:tc>
          <w:tcPr>
            <w:tcW w:w="145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预估包装册数</w:t>
            </w:r>
          </w:p>
        </w:tc>
        <w:tc>
          <w:tcPr>
            <w:tcW w:w="1068"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每册单价</w:t>
            </w:r>
          </w:p>
        </w:tc>
        <w:tc>
          <w:tcPr>
            <w:tcW w:w="1519"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小计(单位：元）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2" w:hRule="exact"/>
          <w:jc w:val="center"/>
        </w:trPr>
        <w:tc>
          <w:tcPr>
            <w:tcW w:w="561"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w:t>
            </w:r>
          </w:p>
        </w:tc>
        <w:tc>
          <w:tcPr>
            <w:tcW w:w="150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汇总表、总分类账、日记账</w:t>
            </w:r>
          </w:p>
        </w:tc>
        <w:tc>
          <w:tcPr>
            <w:tcW w:w="3906"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总账汇总表、科目汇总表、主核算汇总表、辅核算汇总表、特殊科目专项核算汇总。一级科目总分类账。现金、银行存款明细科目日记账。</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表。一级科目总分类账。</w:t>
            </w:r>
          </w:p>
        </w:tc>
        <w:tc>
          <w:tcPr>
            <w:tcW w:w="145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30</w:t>
            </w:r>
          </w:p>
        </w:tc>
        <w:tc>
          <w:tcPr>
            <w:tcW w:w="1068"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p>
        </w:tc>
        <w:tc>
          <w:tcPr>
            <w:tcW w:w="1519"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exact"/>
          <w:jc w:val="center"/>
        </w:trPr>
        <w:tc>
          <w:tcPr>
            <w:tcW w:w="561"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p>
        </w:tc>
        <w:tc>
          <w:tcPr>
            <w:tcW w:w="150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明细分类账</w:t>
            </w:r>
          </w:p>
        </w:tc>
        <w:tc>
          <w:tcPr>
            <w:tcW w:w="3906"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所有底层科目明细分类账。</w:t>
            </w:r>
          </w:p>
        </w:tc>
        <w:tc>
          <w:tcPr>
            <w:tcW w:w="145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40</w:t>
            </w:r>
          </w:p>
        </w:tc>
        <w:tc>
          <w:tcPr>
            <w:tcW w:w="1068"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p>
        </w:tc>
        <w:tc>
          <w:tcPr>
            <w:tcW w:w="1519"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exact"/>
          <w:jc w:val="center"/>
        </w:trPr>
        <w:tc>
          <w:tcPr>
            <w:tcW w:w="561"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w:t>
            </w:r>
          </w:p>
        </w:tc>
        <w:tc>
          <w:tcPr>
            <w:tcW w:w="150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专项核算</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明细账</w:t>
            </w:r>
          </w:p>
        </w:tc>
        <w:tc>
          <w:tcPr>
            <w:tcW w:w="3906"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科目与专项核算对象交叉统计口径生成的明细分类账。</w:t>
            </w:r>
          </w:p>
        </w:tc>
        <w:tc>
          <w:tcPr>
            <w:tcW w:w="145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90</w:t>
            </w:r>
          </w:p>
        </w:tc>
        <w:tc>
          <w:tcPr>
            <w:tcW w:w="1068"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p>
        </w:tc>
        <w:tc>
          <w:tcPr>
            <w:tcW w:w="1519"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exact"/>
          <w:jc w:val="center"/>
        </w:trPr>
        <w:tc>
          <w:tcPr>
            <w:tcW w:w="561"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150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年度财务决算报表、月度报表</w:t>
            </w:r>
          </w:p>
        </w:tc>
        <w:tc>
          <w:tcPr>
            <w:tcW w:w="3906"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年度报表与相关附件、说明。1月至12月月度报表、季度报表、年度决算报表。</w:t>
            </w:r>
          </w:p>
        </w:tc>
        <w:tc>
          <w:tcPr>
            <w:tcW w:w="145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w:t>
            </w:r>
          </w:p>
        </w:tc>
        <w:tc>
          <w:tcPr>
            <w:tcW w:w="1068"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p>
        </w:tc>
        <w:tc>
          <w:tcPr>
            <w:tcW w:w="1519"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eastAsia" w:ascii="仿宋" w:hAnsi="仿宋" w:eastAsia="仿宋" w:cs="仿宋"/>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exact"/>
          <w:jc w:val="center"/>
        </w:trPr>
        <w:tc>
          <w:tcPr>
            <w:tcW w:w="561"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p>
        </w:tc>
        <w:tc>
          <w:tcPr>
            <w:tcW w:w="5411" w:type="dxa"/>
            <w:gridSpan w:val="2"/>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合计</w:t>
            </w:r>
          </w:p>
        </w:tc>
        <w:tc>
          <w:tcPr>
            <w:tcW w:w="1455"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170</w:t>
            </w:r>
          </w:p>
        </w:tc>
        <w:tc>
          <w:tcPr>
            <w:tcW w:w="1068"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p>
        </w:tc>
        <w:tc>
          <w:tcPr>
            <w:tcW w:w="1519" w:type="dxa"/>
            <w:noWrap w:val="0"/>
            <w:vAlign w:val="center"/>
          </w:tcPr>
          <w:p>
            <w:pPr>
              <w:keepNext w:val="0"/>
              <w:keepLines w:val="0"/>
              <w:pageBreakBefore w:val="0"/>
              <w:widowControl w:val="0"/>
              <w:tabs>
                <w:tab w:val="left" w:pos="900"/>
              </w:tabs>
              <w:kinsoku/>
              <w:wordWrap/>
              <w:overflowPunct/>
              <w:topLinePunct w:val="0"/>
              <w:autoSpaceDE/>
              <w:autoSpaceDN/>
              <w:bidi w:val="0"/>
              <w:adjustRightInd/>
              <w:snapToGrid w:val="0"/>
              <w:spacing w:line="440" w:lineRule="exact"/>
              <w:jc w:val="center"/>
              <w:textAlignment w:val="auto"/>
              <w:rPr>
                <w:rFonts w:hint="default" w:ascii="仿宋" w:hAnsi="仿宋" w:eastAsia="仿宋" w:cs="仿宋"/>
                <w:color w:val="000000"/>
                <w:sz w:val="24"/>
                <w:szCs w:val="24"/>
                <w:lang w:val="en-US" w:eastAsia="zh-CN"/>
              </w:rPr>
            </w:pPr>
          </w:p>
        </w:tc>
      </w:tr>
    </w:tbl>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本次采购金额为预估金额，最终按实际发生的业务量乘以成交单价据实结算。</w:t>
      </w:r>
    </w:p>
    <w:p>
      <w:pPr>
        <w:pStyle w:val="2"/>
        <w:rPr>
          <w:rFonts w:hint="eastAsia" w:ascii="仿宋" w:hAnsi="仿宋" w:eastAsia="仿宋" w:cs="仿宋"/>
          <w:color w:val="000000"/>
          <w:sz w:val="32"/>
          <w:szCs w:val="32"/>
          <w:lang w:val="en-US" w:eastAsia="zh-CN"/>
        </w:rPr>
      </w:pPr>
    </w:p>
    <w:p>
      <w:pPr>
        <w:rPr>
          <w:rFonts w:hint="eastAsia"/>
          <w:lang w:val="en-US" w:eastAsia="zh-CN"/>
        </w:rPr>
      </w:pP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承诺</w:t>
      </w:r>
      <w:r>
        <w:rPr>
          <w:rFonts w:hint="eastAsia" w:ascii="仿宋" w:hAnsi="仿宋" w:eastAsia="仿宋" w:cs="仿宋"/>
          <w:color w:val="000000"/>
          <w:sz w:val="28"/>
          <w:szCs w:val="28"/>
        </w:rPr>
        <w:t>：</w:t>
      </w:r>
    </w:p>
    <w:p>
      <w:pPr>
        <w:keepNext w:val="0"/>
        <w:keepLines w:val="0"/>
        <w:pageBreakBefore w:val="0"/>
        <w:widowControl w:val="0"/>
        <w:tabs>
          <w:tab w:val="left" w:pos="900"/>
        </w:tabs>
        <w:kinsoku/>
        <w:wordWrap/>
        <w:overflowPunct/>
        <w:topLinePunct w:val="0"/>
        <w:autoSpaceDE/>
        <w:autoSpaceDN/>
        <w:bidi w:val="0"/>
        <w:adjustRightInd/>
        <w:snapToGrid w:val="0"/>
        <w:spacing w:line="440" w:lineRule="exac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报价的计算</w:t>
      </w:r>
      <w:r>
        <w:rPr>
          <w:rFonts w:hint="eastAsia" w:ascii="仿宋" w:hAnsi="仿宋" w:eastAsia="仿宋" w:cs="仿宋"/>
          <w:color w:val="000000"/>
          <w:sz w:val="28"/>
          <w:szCs w:val="28"/>
          <w:lang w:val="en-US" w:eastAsia="zh-CN"/>
        </w:rPr>
        <w:t>已经</w:t>
      </w:r>
      <w:r>
        <w:rPr>
          <w:rFonts w:hint="eastAsia" w:ascii="仿宋" w:hAnsi="仿宋" w:eastAsia="仿宋" w:cs="仿宋"/>
          <w:color w:val="000000"/>
          <w:sz w:val="28"/>
          <w:szCs w:val="28"/>
        </w:rPr>
        <w:t>包括</w:t>
      </w:r>
      <w:r>
        <w:rPr>
          <w:rFonts w:hint="eastAsia" w:ascii="仿宋" w:hAnsi="仿宋" w:eastAsia="仿宋" w:cs="仿宋"/>
          <w:color w:val="000000"/>
          <w:sz w:val="28"/>
          <w:szCs w:val="28"/>
          <w:lang w:val="en-US" w:eastAsia="zh-CN"/>
        </w:rPr>
        <w:t>我公司</w:t>
      </w:r>
      <w:r>
        <w:rPr>
          <w:rFonts w:hint="eastAsia" w:ascii="仿宋" w:hAnsi="仿宋" w:eastAsia="仿宋" w:cs="仿宋"/>
          <w:color w:val="000000"/>
          <w:sz w:val="28"/>
          <w:szCs w:val="28"/>
        </w:rPr>
        <w:t>成交后为完成合同规定的全部任务需支付的一切费用和拟获得的利润，并考虑了应承担的风险。</w:t>
      </w:r>
    </w:p>
    <w:p>
      <w:pPr>
        <w:keepNext w:val="0"/>
        <w:keepLines w:val="0"/>
        <w:pageBreakBefore w:val="0"/>
        <w:widowControl w:val="0"/>
        <w:kinsoku/>
        <w:overflowPunct/>
        <w:topLinePunct w:val="0"/>
        <w:autoSpaceDE/>
        <w:autoSpaceDN/>
        <w:bidi w:val="0"/>
        <w:spacing w:line="440" w:lineRule="exact"/>
        <w:textAlignment w:val="auto"/>
        <w:rPr>
          <w:rFonts w:hint="eastAsia" w:ascii="仿宋" w:hAnsi="仿宋" w:eastAsia="仿宋" w:cs="仿宋"/>
          <w:b/>
          <w:color w:val="000000"/>
          <w:sz w:val="28"/>
          <w:szCs w:val="28"/>
        </w:rPr>
      </w:pPr>
    </w:p>
    <w:p>
      <w:pPr>
        <w:keepNext w:val="0"/>
        <w:keepLines w:val="0"/>
        <w:pageBreakBefore w:val="0"/>
        <w:widowControl w:val="0"/>
        <w:tabs>
          <w:tab w:val="left" w:pos="4605"/>
        </w:tabs>
        <w:kinsoku/>
        <w:wordWrap w:val="0"/>
        <w:overflowPunct/>
        <w:topLinePunct w:val="0"/>
        <w:autoSpaceDE/>
        <w:autoSpaceDN/>
        <w:bidi w:val="0"/>
        <w:adjustRightInd w:val="0"/>
        <w:snapToGrid w:val="0"/>
        <w:spacing w:line="440" w:lineRule="exact"/>
        <w:jc w:val="center"/>
        <w:textAlignment w:val="auto"/>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报价</w:t>
      </w:r>
      <w:r>
        <w:rPr>
          <w:rFonts w:hint="eastAsia" w:ascii="仿宋" w:hAnsi="仿宋" w:eastAsia="仿宋" w:cs="仿宋"/>
          <w:color w:val="000000"/>
          <w:sz w:val="28"/>
          <w:szCs w:val="28"/>
        </w:rPr>
        <w:t>单位全称（盖单位章）：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keepNext w:val="0"/>
        <w:keepLines w:val="0"/>
        <w:pageBreakBefore w:val="0"/>
        <w:widowControl w:val="0"/>
        <w:tabs>
          <w:tab w:val="left" w:pos="4605"/>
        </w:tabs>
        <w:kinsoku/>
        <w:overflowPunct/>
        <w:topLinePunct w:val="0"/>
        <w:autoSpaceDE/>
        <w:autoSpaceDN/>
        <w:bidi w:val="0"/>
        <w:adjustRightInd w:val="0"/>
        <w:snapToGrid w:val="0"/>
        <w:spacing w:line="440" w:lineRule="exact"/>
        <w:ind w:firstLine="6720" w:firstLineChars="2400"/>
        <w:jc w:val="both"/>
        <w:textAlignment w:val="auto"/>
        <w:rPr>
          <w:rFonts w:hint="eastAsia" w:ascii="仿宋" w:hAnsi="仿宋" w:eastAsia="仿宋" w:cs="仿宋"/>
          <w:color w:val="000000"/>
          <w:sz w:val="28"/>
          <w:szCs w:val="28"/>
        </w:rPr>
      </w:pPr>
    </w:p>
    <w:p>
      <w:pPr>
        <w:keepNext w:val="0"/>
        <w:keepLines w:val="0"/>
        <w:pageBreakBefore w:val="0"/>
        <w:widowControl w:val="0"/>
        <w:tabs>
          <w:tab w:val="left" w:pos="4605"/>
        </w:tabs>
        <w:kinsoku/>
        <w:overflowPunct/>
        <w:topLinePunct w:val="0"/>
        <w:autoSpaceDE/>
        <w:autoSpaceDN/>
        <w:bidi w:val="0"/>
        <w:adjustRightInd w:val="0"/>
        <w:snapToGrid w:val="0"/>
        <w:spacing w:line="440" w:lineRule="exact"/>
        <w:ind w:firstLine="1400" w:firstLineChars="5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法定代表人（或委托代理人）</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签字</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keepNext w:val="0"/>
        <w:keepLines w:val="0"/>
        <w:pageBreakBefore w:val="0"/>
        <w:widowControl w:val="0"/>
        <w:kinsoku/>
        <w:overflowPunct/>
        <w:topLinePunct w:val="0"/>
        <w:autoSpaceDE/>
        <w:autoSpaceDN/>
        <w:bidi w:val="0"/>
        <w:adjustRightInd w:val="0"/>
        <w:snapToGrid w:val="0"/>
        <w:spacing w:line="440" w:lineRule="exact"/>
        <w:ind w:right="420" w:firstLine="2800" w:firstLineChars="1000"/>
        <w:jc w:val="center"/>
        <w:textAlignment w:val="auto"/>
        <w:rPr>
          <w:rFonts w:hint="eastAsia" w:ascii="仿宋" w:hAnsi="仿宋" w:eastAsia="仿宋" w:cs="仿宋"/>
          <w:color w:val="000000"/>
          <w:sz w:val="28"/>
          <w:szCs w:val="28"/>
          <w:lang w:val="en-US" w:eastAsia="zh-CN"/>
        </w:rPr>
      </w:pPr>
    </w:p>
    <w:p>
      <w:pPr>
        <w:keepNext w:val="0"/>
        <w:keepLines w:val="0"/>
        <w:pageBreakBefore w:val="0"/>
        <w:widowControl w:val="0"/>
        <w:kinsoku/>
        <w:overflowPunct/>
        <w:topLinePunct w:val="0"/>
        <w:autoSpaceDE/>
        <w:autoSpaceDN/>
        <w:bidi w:val="0"/>
        <w:adjustRightInd w:val="0"/>
        <w:snapToGrid w:val="0"/>
        <w:spacing w:line="440" w:lineRule="exact"/>
        <w:ind w:right="420" w:firstLine="2800" w:firstLineChars="1000"/>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年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月</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日</w:t>
      </w:r>
    </w:p>
    <w:p>
      <w:pPr>
        <w:numPr>
          <w:ilvl w:val="0"/>
          <w:numId w:val="0"/>
        </w:numPr>
        <w:jc w:val="left"/>
        <w:rPr>
          <w:rFonts w:hint="eastAsia" w:ascii="宋体" w:hAnsi="宋体" w:eastAsia="宋体" w:cs="宋体"/>
          <w:color w:val="000000"/>
          <w:sz w:val="24"/>
          <w:szCs w:val="24"/>
          <w:shd w:val="clear" w:color="auto" w:fill="auto"/>
          <w:lang w:val="en-US" w:eastAsia="zh-CN"/>
        </w:rPr>
        <w:sectPr>
          <w:pgSz w:w="11906" w:h="16838"/>
          <w:pgMar w:top="1440" w:right="1803" w:bottom="698" w:left="1803" w:header="851" w:footer="992" w:gutter="0"/>
          <w:cols w:space="0" w:num="1"/>
          <w:rtlGutter w:val="0"/>
          <w:docGrid w:type="lines" w:linePitch="319" w:charSpace="0"/>
        </w:sectPr>
      </w:pPr>
    </w:p>
    <w:p>
      <w:pPr>
        <w:numPr>
          <w:ilvl w:val="0"/>
          <w:numId w:val="0"/>
        </w:numPr>
        <w:jc w:val="left"/>
        <w:rPr>
          <w:rFonts w:hint="eastAsia"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二、所需证明文件</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1.中华人民共和国境内注册合法运作的法人或其他组织，具有独立履行合同的能力，营业执照在有效期内。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4"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2.供应商在国家企业信用信息公示系统(www.gsxt.gov.cn)中无列入严重违法失信名单（黑名单）信息。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3"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（提供查询截图证明）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3.未在“信用中国”网站(www.creditchina.gov.cn)被列为失信被执行人。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（提供查询截图证明）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0"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bCs/>
                <w:sz w:val="28"/>
                <w:szCs w:val="28"/>
              </w:rPr>
            </w:pPr>
            <w:r>
              <w:rPr>
                <w:rFonts w:hint="eastAsia" w:ascii="仿宋" w:hAnsi="仿宋" w:eastAsia="仿宋" w:cs="仿宋"/>
                <w:b/>
                <w:bCs/>
                <w:sz w:val="28"/>
                <w:szCs w:val="28"/>
              </w:rPr>
              <w:t>三</w:t>
            </w:r>
            <w:r>
              <w:rPr>
                <w:rFonts w:hint="eastAsia" w:ascii="仿宋" w:hAnsi="仿宋" w:eastAsia="仿宋" w:cs="仿宋"/>
                <w:b/>
                <w:bCs/>
                <w:sz w:val="28"/>
                <w:szCs w:val="28"/>
                <w:lang w:val="en-US" w:eastAsia="zh-CN"/>
              </w:rPr>
              <w:t>年</w:t>
            </w:r>
            <w:r>
              <w:rPr>
                <w:rFonts w:hint="eastAsia" w:ascii="仿宋" w:hAnsi="仿宋" w:eastAsia="仿宋" w:cs="仿宋"/>
                <w:b/>
                <w:bCs/>
                <w:sz w:val="28"/>
                <w:szCs w:val="28"/>
              </w:rPr>
              <w:t>内无不良行为记录、没有处于被责令停业、投标资格被取消或者财产被接管、冻结和破产状态等状态的书面声明</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致：云南电网有限责任公司楚雄供电局</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我公司承诺在参加本项目采购活动前三年</w:t>
            </w:r>
            <w:r>
              <w:rPr>
                <w:rFonts w:hint="eastAsia" w:ascii="仿宋" w:hAnsi="仿宋" w:eastAsia="仿宋" w:cs="仿宋"/>
                <w:sz w:val="28"/>
                <w:szCs w:val="28"/>
                <w:lang w:val="en-US" w:eastAsia="zh-CN"/>
              </w:rPr>
              <w:t>（2023年1月1日至今）</w:t>
            </w:r>
            <w:r>
              <w:rPr>
                <w:rFonts w:hint="eastAsia" w:ascii="仿宋" w:hAnsi="仿宋" w:eastAsia="仿宋" w:cs="仿宋"/>
                <w:sz w:val="28"/>
                <w:szCs w:val="28"/>
              </w:rPr>
              <w:t>内，无不良行为记录、没有处于被责令停业、投标资格被取消或者财产被接管、冻结和破产状态等状态。</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特此声明。</w:t>
            </w:r>
          </w:p>
          <w:p>
            <w:pPr>
              <w:pStyle w:val="2"/>
              <w:rPr>
                <w:rFonts w:hint="eastAsia" w:ascii="仿宋" w:hAnsi="仿宋" w:eastAsia="仿宋" w:cs="仿宋"/>
                <w:sz w:val="28"/>
                <w:szCs w:val="28"/>
              </w:rPr>
            </w:pPr>
          </w:p>
          <w:p>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声明</w:t>
            </w:r>
            <w:r>
              <w:rPr>
                <w:rFonts w:hint="eastAsia" w:ascii="仿宋" w:hAnsi="仿宋" w:eastAsia="仿宋" w:cs="仿宋"/>
                <w:sz w:val="28"/>
                <w:szCs w:val="28"/>
              </w:rPr>
              <w:t>单位全称（盖单位章）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p>
          <w:p>
            <w:pPr>
              <w:tabs>
                <w:tab w:val="left" w:pos="4605"/>
              </w:tabs>
              <w:adjustRightInd w:val="0"/>
              <w:snapToGrid w:val="0"/>
              <w:spacing w:line="360" w:lineRule="auto"/>
              <w:ind w:firstLine="1680" w:firstLineChars="600"/>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p>
          <w:p>
            <w:pPr>
              <w:tabs>
                <w:tab w:val="left" w:pos="4605"/>
              </w:tabs>
              <w:adjustRightInd w:val="0"/>
              <w:snapToGrid w:val="0"/>
              <w:spacing w:line="360" w:lineRule="auto"/>
              <w:ind w:firstLine="2800" w:firstLineChars="1000"/>
              <w:jc w:val="both"/>
              <w:rPr>
                <w:rFonts w:hint="eastAsia" w:ascii="仿宋" w:hAnsi="仿宋" w:eastAsia="仿宋" w:cs="仿宋"/>
                <w:color w:val="000000"/>
                <w:kern w:val="2"/>
                <w:sz w:val="28"/>
                <w:szCs w:val="28"/>
                <w:lang w:val="en-US" w:eastAsia="zh-CN" w:bidi="ar-SA"/>
              </w:rPr>
            </w:pPr>
            <w:r>
              <w:rPr>
                <w:rFonts w:hint="eastAsia" w:ascii="仿宋" w:hAnsi="仿宋" w:eastAsia="仿宋" w:cs="仿宋"/>
                <w:sz w:val="28"/>
                <w:szCs w:val="28"/>
                <w:lang w:val="en-US" w:eastAsia="zh-CN"/>
              </w:rPr>
              <w:t xml:space="preserve">                年     月    日</w:t>
            </w:r>
          </w:p>
        </w:tc>
      </w:tr>
    </w:tbl>
    <w:p>
      <w:pPr>
        <w:numPr>
          <w:ilvl w:val="0"/>
          <w:numId w:val="4"/>
        </w:numPr>
        <w:jc w:val="left"/>
        <w:rPr>
          <w:rFonts w:hint="eastAsia"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对照询价函服务要求报价单位服务承诺如下：</w:t>
      </w:r>
    </w:p>
    <w:p>
      <w:pPr>
        <w:pStyle w:val="2"/>
        <w:numPr>
          <w:ilvl w:val="0"/>
          <w:numId w:val="0"/>
        </w:numPr>
        <w:rPr>
          <w:rFonts w:hint="eastAsia"/>
          <w:lang w:val="en-US" w:eastAsia="zh-CN"/>
        </w:rPr>
      </w:pPr>
      <w:r>
        <w:rPr>
          <w:rFonts w:hint="eastAsia"/>
          <w:lang w:val="en-US" w:eastAsia="zh-CN"/>
        </w:rPr>
        <w:t xml:space="preserve">  </w:t>
      </w: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ascii="仿宋" w:hAnsi="仿宋" w:eastAsia="仿宋" w:cs="仿宋"/>
          <w:color w:val="000000"/>
          <w:sz w:val="32"/>
          <w:szCs w:val="32"/>
          <w:shd w:val="clear" w:color="auto" w:fill="auto"/>
          <w:lang w:val="en-US" w:eastAsia="zh-CN"/>
        </w:rPr>
      </w:pPr>
      <w:r>
        <w:rPr>
          <w:rFonts w:hint="eastAsia"/>
          <w:lang w:val="en-US" w:eastAsia="zh-CN"/>
        </w:rPr>
        <w:t xml:space="preserve">                                           </w:t>
      </w:r>
      <w:r>
        <w:rPr>
          <w:rFonts w:hint="eastAsia" w:ascii="仿宋" w:hAnsi="仿宋" w:eastAsia="仿宋" w:cs="仿宋"/>
          <w:color w:val="000000"/>
          <w:sz w:val="32"/>
          <w:szCs w:val="32"/>
          <w:shd w:val="clear" w:color="auto" w:fill="auto"/>
          <w:lang w:val="en-US" w:eastAsia="zh-CN"/>
        </w:rPr>
        <w:t xml:space="preserve"> 单位全称（盖单位章）：</w:t>
      </w:r>
    </w:p>
    <w:p>
      <w:pPr>
        <w:pStyle w:val="2"/>
        <w:ind w:left="5440" w:hanging="5440" w:hangingChars="1700"/>
        <w:rPr>
          <w:rFonts w:hint="default"/>
          <w:lang w:val="en-US" w:eastAsia="zh-CN"/>
        </w:rPr>
      </w:pPr>
      <w:r>
        <w:rPr>
          <w:rFonts w:hint="eastAsia" w:ascii="仿宋" w:hAnsi="仿宋" w:eastAsia="仿宋" w:cs="仿宋"/>
          <w:color w:val="000000"/>
          <w:sz w:val="32"/>
          <w:szCs w:val="32"/>
          <w:shd w:val="clear" w:color="auto" w:fill="auto"/>
          <w:lang w:val="en-US" w:eastAsia="zh-CN"/>
        </w:rPr>
        <w:t xml:space="preserve">                   法</w:t>
      </w:r>
      <w:r>
        <w:rPr>
          <w:rFonts w:hint="eastAsia" w:ascii="仿宋" w:hAnsi="仿宋" w:eastAsia="仿宋" w:cs="仿宋"/>
          <w:sz w:val="28"/>
          <w:szCs w:val="28"/>
          <w:lang w:val="en-US" w:eastAsia="zh-CN"/>
        </w:rPr>
        <w:t>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32"/>
          <w:szCs w:val="32"/>
          <w:shd w:val="clear" w:color="auto" w:fill="auto"/>
          <w:lang w:val="en-US" w:eastAsia="zh-CN"/>
        </w:rPr>
        <w:t xml:space="preserve">     年    月     日</w:t>
      </w:r>
    </w:p>
    <w:sectPr>
      <w:pgSz w:w="11906" w:h="16838"/>
      <w:pgMar w:top="1440" w:right="1803" w:bottom="698"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YaHei">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0D656"/>
    <w:multiLevelType w:val="singleLevel"/>
    <w:tmpl w:val="93F0D656"/>
    <w:lvl w:ilvl="0" w:tentative="0">
      <w:start w:val="3"/>
      <w:numFmt w:val="chineseCounting"/>
      <w:suff w:val="nothing"/>
      <w:lvlText w:val="%1、"/>
      <w:lvlJc w:val="left"/>
      <w:rPr>
        <w:rFonts w:hint="eastAsia"/>
      </w:rPr>
    </w:lvl>
  </w:abstractNum>
  <w:abstractNum w:abstractNumId="1">
    <w:nsid w:val="E9D411B1"/>
    <w:multiLevelType w:val="singleLevel"/>
    <w:tmpl w:val="E9D411B1"/>
    <w:lvl w:ilvl="0" w:tentative="0">
      <w:start w:val="1"/>
      <w:numFmt w:val="chineseCounting"/>
      <w:suff w:val="nothing"/>
      <w:lvlText w:val="%1、"/>
      <w:lvlJc w:val="left"/>
      <w:rPr>
        <w:rFonts w:hint="eastAsia"/>
      </w:rPr>
    </w:lvl>
  </w:abstractNum>
  <w:abstractNum w:abstractNumId="2">
    <w:nsid w:val="0033E92B"/>
    <w:multiLevelType w:val="multilevel"/>
    <w:tmpl w:val="0033E92B"/>
    <w:lvl w:ilvl="0" w:tentative="0">
      <w:start w:val="1"/>
      <w:numFmt w:val="decimal"/>
      <w:lvlText w:val="%1."/>
      <w:lvlJc w:val="left"/>
      <w:pPr>
        <w:tabs>
          <w:tab w:val="left" w:pos="425"/>
        </w:tabs>
        <w:ind w:left="425" w:hanging="425"/>
      </w:pPr>
      <w:rPr>
        <w:rFonts w:hint="default" w:ascii="Times New Roman" w:hAnsi="Times New Roman" w:eastAsia="宋体"/>
        <w:b/>
        <w:bCs/>
        <w:i w:val="0"/>
        <w:spacing w:val="-12"/>
        <w:sz w:val="32"/>
        <w:szCs w:val="32"/>
      </w:rPr>
    </w:lvl>
    <w:lvl w:ilvl="1" w:tentative="0">
      <w:start w:val="1"/>
      <w:numFmt w:val="decimal"/>
      <w:pStyle w:val="4"/>
      <w:lvlText w:val="%1.%2."/>
      <w:lvlJc w:val="left"/>
      <w:pPr>
        <w:tabs>
          <w:tab w:val="left" w:pos="567"/>
        </w:tabs>
        <w:ind w:left="567" w:hanging="567"/>
      </w:pPr>
      <w:rPr>
        <w:rFonts w:hint="default" w:ascii="Times New Roman" w:hAnsi="Times New Roman" w:eastAsia="宋体"/>
        <w:sz w:val="24"/>
        <w:szCs w:val="24"/>
      </w:rPr>
    </w:lvl>
    <w:lvl w:ilvl="2" w:tentative="0">
      <w:start w:val="1"/>
      <w:numFmt w:val="decimal"/>
      <w:lvlText w:val="%1.%2.%3."/>
      <w:lvlJc w:val="left"/>
      <w:pPr>
        <w:tabs>
          <w:tab w:val="left" w:pos="709"/>
        </w:tabs>
        <w:ind w:left="709" w:hanging="709"/>
      </w:pPr>
      <w:rPr>
        <w:rFonts w:hint="default" w:ascii="Times New Roman" w:hAnsi="Times New Roman" w:cs="Arial"/>
        <w:sz w:val="24"/>
        <w:szCs w:val="18"/>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4FE540DC"/>
    <w:multiLevelType w:val="multilevel"/>
    <w:tmpl w:val="4FE540DC"/>
    <w:lvl w:ilvl="0" w:tentative="0">
      <w:start w:val="1"/>
      <w:numFmt w:val="japaneseCounting"/>
      <w:lvlText w:val="第%1、"/>
      <w:lvlJc w:val="left"/>
      <w:pPr>
        <w:tabs>
          <w:tab w:val="left" w:pos="1720"/>
        </w:tabs>
        <w:ind w:left="1720" w:hanging="108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550B"/>
    <w:rsid w:val="00BA7841"/>
    <w:rsid w:val="00D24EE8"/>
    <w:rsid w:val="00EA40E8"/>
    <w:rsid w:val="010E72CB"/>
    <w:rsid w:val="0185498B"/>
    <w:rsid w:val="01D86994"/>
    <w:rsid w:val="021C6183"/>
    <w:rsid w:val="022C6480"/>
    <w:rsid w:val="02571E41"/>
    <w:rsid w:val="02582765"/>
    <w:rsid w:val="028213AB"/>
    <w:rsid w:val="02BC4A08"/>
    <w:rsid w:val="02CC0C6B"/>
    <w:rsid w:val="02D2242F"/>
    <w:rsid w:val="032121AE"/>
    <w:rsid w:val="03793EC1"/>
    <w:rsid w:val="03F84410"/>
    <w:rsid w:val="040B3430"/>
    <w:rsid w:val="042F1187"/>
    <w:rsid w:val="046C4ECF"/>
    <w:rsid w:val="0493460E"/>
    <w:rsid w:val="04AB7CA1"/>
    <w:rsid w:val="04C1264B"/>
    <w:rsid w:val="04C87066"/>
    <w:rsid w:val="04D50E40"/>
    <w:rsid w:val="04DE120A"/>
    <w:rsid w:val="04E50571"/>
    <w:rsid w:val="04FD1ABF"/>
    <w:rsid w:val="05133C63"/>
    <w:rsid w:val="05295E06"/>
    <w:rsid w:val="05806815"/>
    <w:rsid w:val="05A54517"/>
    <w:rsid w:val="05D77224"/>
    <w:rsid w:val="05E07B33"/>
    <w:rsid w:val="05E47832"/>
    <w:rsid w:val="06233AA0"/>
    <w:rsid w:val="065A3F7A"/>
    <w:rsid w:val="066F10E5"/>
    <w:rsid w:val="067D5433"/>
    <w:rsid w:val="06832BC0"/>
    <w:rsid w:val="06CB2FB4"/>
    <w:rsid w:val="06DF5D71"/>
    <w:rsid w:val="0755517A"/>
    <w:rsid w:val="07677852"/>
    <w:rsid w:val="07BC3BC1"/>
    <w:rsid w:val="07C708A7"/>
    <w:rsid w:val="07D805DB"/>
    <w:rsid w:val="07E92107"/>
    <w:rsid w:val="07EF4010"/>
    <w:rsid w:val="08362206"/>
    <w:rsid w:val="086B3544"/>
    <w:rsid w:val="08762FEF"/>
    <w:rsid w:val="08945E23"/>
    <w:rsid w:val="089E3A0A"/>
    <w:rsid w:val="08C21DEA"/>
    <w:rsid w:val="097E3822"/>
    <w:rsid w:val="098826F0"/>
    <w:rsid w:val="09AE727E"/>
    <w:rsid w:val="09C94B9B"/>
    <w:rsid w:val="09DB0B64"/>
    <w:rsid w:val="0A1A6F23"/>
    <w:rsid w:val="0A1C2427"/>
    <w:rsid w:val="0A2729B6"/>
    <w:rsid w:val="0A3367C8"/>
    <w:rsid w:val="0A747118"/>
    <w:rsid w:val="0A750537"/>
    <w:rsid w:val="0A852D4F"/>
    <w:rsid w:val="0AC076B1"/>
    <w:rsid w:val="0AC8253F"/>
    <w:rsid w:val="0B1C7373"/>
    <w:rsid w:val="0B8E2950"/>
    <w:rsid w:val="0BCF5714"/>
    <w:rsid w:val="0BF90FD9"/>
    <w:rsid w:val="0C2B6903"/>
    <w:rsid w:val="0C72032D"/>
    <w:rsid w:val="0C802A84"/>
    <w:rsid w:val="0C8900B4"/>
    <w:rsid w:val="0C93502E"/>
    <w:rsid w:val="0CC25AAE"/>
    <w:rsid w:val="0CC95F2C"/>
    <w:rsid w:val="0CF3634C"/>
    <w:rsid w:val="0D1C170F"/>
    <w:rsid w:val="0D2B3B79"/>
    <w:rsid w:val="0D475DD6"/>
    <w:rsid w:val="0D5A6FF5"/>
    <w:rsid w:val="0D631E83"/>
    <w:rsid w:val="0D6F3717"/>
    <w:rsid w:val="0DCD3AB1"/>
    <w:rsid w:val="0DD359BA"/>
    <w:rsid w:val="0DE51158"/>
    <w:rsid w:val="0E134225"/>
    <w:rsid w:val="0E281E9F"/>
    <w:rsid w:val="0E5D33A0"/>
    <w:rsid w:val="0E5E0E21"/>
    <w:rsid w:val="0E64202F"/>
    <w:rsid w:val="0E8353D4"/>
    <w:rsid w:val="0E860CE1"/>
    <w:rsid w:val="0E864564"/>
    <w:rsid w:val="0ECE4958"/>
    <w:rsid w:val="0FAD7FC0"/>
    <w:rsid w:val="0FB85BDB"/>
    <w:rsid w:val="101504F3"/>
    <w:rsid w:val="10855BDB"/>
    <w:rsid w:val="1093553E"/>
    <w:rsid w:val="10C1060B"/>
    <w:rsid w:val="10C2280A"/>
    <w:rsid w:val="10CE1135"/>
    <w:rsid w:val="110D2C89"/>
    <w:rsid w:val="111E1B8C"/>
    <w:rsid w:val="112459A8"/>
    <w:rsid w:val="115B4F87"/>
    <w:rsid w:val="117D2F3D"/>
    <w:rsid w:val="118D31D7"/>
    <w:rsid w:val="11AE2812"/>
    <w:rsid w:val="11D93657"/>
    <w:rsid w:val="11EE7D79"/>
    <w:rsid w:val="11F47704"/>
    <w:rsid w:val="120B18A7"/>
    <w:rsid w:val="123D7AF8"/>
    <w:rsid w:val="125C0E38"/>
    <w:rsid w:val="127E3DE4"/>
    <w:rsid w:val="129D4699"/>
    <w:rsid w:val="12A83E03"/>
    <w:rsid w:val="12AE23B5"/>
    <w:rsid w:val="13106186"/>
    <w:rsid w:val="134C5737"/>
    <w:rsid w:val="136A056A"/>
    <w:rsid w:val="13864617"/>
    <w:rsid w:val="142F7384"/>
    <w:rsid w:val="14494355"/>
    <w:rsid w:val="14AD65F8"/>
    <w:rsid w:val="153B0F5F"/>
    <w:rsid w:val="15447178"/>
    <w:rsid w:val="155C2C83"/>
    <w:rsid w:val="15954377"/>
    <w:rsid w:val="159F4828"/>
    <w:rsid w:val="15A3750D"/>
    <w:rsid w:val="15C47445"/>
    <w:rsid w:val="15CF3257"/>
    <w:rsid w:val="15D0582D"/>
    <w:rsid w:val="15FA1B1D"/>
    <w:rsid w:val="16102E19"/>
    <w:rsid w:val="162E33D0"/>
    <w:rsid w:val="163A2992"/>
    <w:rsid w:val="1649511F"/>
    <w:rsid w:val="167B1172"/>
    <w:rsid w:val="16884C04"/>
    <w:rsid w:val="16B52250"/>
    <w:rsid w:val="16E634FA"/>
    <w:rsid w:val="17006E4C"/>
    <w:rsid w:val="172D34BD"/>
    <w:rsid w:val="17B111EE"/>
    <w:rsid w:val="17D10799"/>
    <w:rsid w:val="1812784C"/>
    <w:rsid w:val="182E403B"/>
    <w:rsid w:val="18816044"/>
    <w:rsid w:val="18A93985"/>
    <w:rsid w:val="18C035AA"/>
    <w:rsid w:val="18CC73BC"/>
    <w:rsid w:val="18ED6A14"/>
    <w:rsid w:val="18F3698C"/>
    <w:rsid w:val="1905081B"/>
    <w:rsid w:val="19067AD5"/>
    <w:rsid w:val="193F18FA"/>
    <w:rsid w:val="19457086"/>
    <w:rsid w:val="196640D0"/>
    <w:rsid w:val="19AD1F2E"/>
    <w:rsid w:val="19DD2A7D"/>
    <w:rsid w:val="19EF2318"/>
    <w:rsid w:val="19FE5F37"/>
    <w:rsid w:val="1A09249E"/>
    <w:rsid w:val="1A2F6BB8"/>
    <w:rsid w:val="1A9731B0"/>
    <w:rsid w:val="1A9D1D74"/>
    <w:rsid w:val="1AA25CBE"/>
    <w:rsid w:val="1AA90ECC"/>
    <w:rsid w:val="1B3A2C90"/>
    <w:rsid w:val="1BAF61FB"/>
    <w:rsid w:val="1BF44807"/>
    <w:rsid w:val="1BFF39FC"/>
    <w:rsid w:val="1C26713F"/>
    <w:rsid w:val="1C7A6BC9"/>
    <w:rsid w:val="1C8361D3"/>
    <w:rsid w:val="1CA41BE9"/>
    <w:rsid w:val="1CF60711"/>
    <w:rsid w:val="1D8A0F84"/>
    <w:rsid w:val="1DB72D4D"/>
    <w:rsid w:val="1E192DF2"/>
    <w:rsid w:val="1E501C47"/>
    <w:rsid w:val="1EA13FCF"/>
    <w:rsid w:val="1EB253BF"/>
    <w:rsid w:val="1EB458DE"/>
    <w:rsid w:val="1ECE79C0"/>
    <w:rsid w:val="1F2E5690"/>
    <w:rsid w:val="1F5C077B"/>
    <w:rsid w:val="1FD430C8"/>
    <w:rsid w:val="2024414B"/>
    <w:rsid w:val="203778E9"/>
    <w:rsid w:val="206B103D"/>
    <w:rsid w:val="206E5844"/>
    <w:rsid w:val="20785D53"/>
    <w:rsid w:val="20AC6B0C"/>
    <w:rsid w:val="20AE2068"/>
    <w:rsid w:val="21004DB3"/>
    <w:rsid w:val="212F207F"/>
    <w:rsid w:val="213A656E"/>
    <w:rsid w:val="214B212B"/>
    <w:rsid w:val="218E591C"/>
    <w:rsid w:val="21B07443"/>
    <w:rsid w:val="21B422D8"/>
    <w:rsid w:val="21F50B43"/>
    <w:rsid w:val="22016900"/>
    <w:rsid w:val="2248175B"/>
    <w:rsid w:val="22734C95"/>
    <w:rsid w:val="22B456FE"/>
    <w:rsid w:val="22E84C54"/>
    <w:rsid w:val="23001DD5"/>
    <w:rsid w:val="2312270F"/>
    <w:rsid w:val="233B46DE"/>
    <w:rsid w:val="23436267"/>
    <w:rsid w:val="236E03B0"/>
    <w:rsid w:val="23AD7E95"/>
    <w:rsid w:val="247962E4"/>
    <w:rsid w:val="2485597A"/>
    <w:rsid w:val="24CA72ED"/>
    <w:rsid w:val="24F14CA9"/>
    <w:rsid w:val="254237AE"/>
    <w:rsid w:val="256E2074"/>
    <w:rsid w:val="25773693"/>
    <w:rsid w:val="25A45DD1"/>
    <w:rsid w:val="26942A3E"/>
    <w:rsid w:val="26AD4BFB"/>
    <w:rsid w:val="26E94DE4"/>
    <w:rsid w:val="26EA4592"/>
    <w:rsid w:val="274554FD"/>
    <w:rsid w:val="274A6102"/>
    <w:rsid w:val="27575417"/>
    <w:rsid w:val="278504E5"/>
    <w:rsid w:val="27C2034A"/>
    <w:rsid w:val="27EE4691"/>
    <w:rsid w:val="27F30B19"/>
    <w:rsid w:val="2838132E"/>
    <w:rsid w:val="283B38A8"/>
    <w:rsid w:val="287A2F0C"/>
    <w:rsid w:val="2888100C"/>
    <w:rsid w:val="28B00ECC"/>
    <w:rsid w:val="28BF6F68"/>
    <w:rsid w:val="294D204F"/>
    <w:rsid w:val="29F02A84"/>
    <w:rsid w:val="2A1C1423"/>
    <w:rsid w:val="2A8A1A57"/>
    <w:rsid w:val="2AE87872"/>
    <w:rsid w:val="2B0B6B2D"/>
    <w:rsid w:val="2B372E74"/>
    <w:rsid w:val="2B563729"/>
    <w:rsid w:val="2BAE6336"/>
    <w:rsid w:val="2BC2085A"/>
    <w:rsid w:val="2C792F4D"/>
    <w:rsid w:val="2C8B05AE"/>
    <w:rsid w:val="2D537CEC"/>
    <w:rsid w:val="2D560C70"/>
    <w:rsid w:val="2D9E7E85"/>
    <w:rsid w:val="2DB52D58"/>
    <w:rsid w:val="2DB5450D"/>
    <w:rsid w:val="2DC05EB6"/>
    <w:rsid w:val="2DFE2383"/>
    <w:rsid w:val="2E03680A"/>
    <w:rsid w:val="2E0629C2"/>
    <w:rsid w:val="2E070A94"/>
    <w:rsid w:val="2E1E06B9"/>
    <w:rsid w:val="2E3B6964"/>
    <w:rsid w:val="2E40086E"/>
    <w:rsid w:val="2E8944E5"/>
    <w:rsid w:val="2E9C0E80"/>
    <w:rsid w:val="2EAC496F"/>
    <w:rsid w:val="2F0B37BA"/>
    <w:rsid w:val="2F3A5849"/>
    <w:rsid w:val="2F413C94"/>
    <w:rsid w:val="2F61059D"/>
    <w:rsid w:val="2F837F80"/>
    <w:rsid w:val="2F8A71A4"/>
    <w:rsid w:val="2FF31539"/>
    <w:rsid w:val="2FFB6945"/>
    <w:rsid w:val="30A5135D"/>
    <w:rsid w:val="30A76C19"/>
    <w:rsid w:val="30AF76EE"/>
    <w:rsid w:val="30F658E4"/>
    <w:rsid w:val="314B2DEF"/>
    <w:rsid w:val="315A0567"/>
    <w:rsid w:val="3172522D"/>
    <w:rsid w:val="31734EAD"/>
    <w:rsid w:val="31B77767"/>
    <w:rsid w:val="320A66A5"/>
    <w:rsid w:val="32604EB6"/>
    <w:rsid w:val="32685022"/>
    <w:rsid w:val="32797FDE"/>
    <w:rsid w:val="327D776A"/>
    <w:rsid w:val="329E1117"/>
    <w:rsid w:val="335D0251"/>
    <w:rsid w:val="33730803"/>
    <w:rsid w:val="33745697"/>
    <w:rsid w:val="33D25C91"/>
    <w:rsid w:val="33DD78A5"/>
    <w:rsid w:val="33EA1139"/>
    <w:rsid w:val="340F0BA2"/>
    <w:rsid w:val="341E5E27"/>
    <w:rsid w:val="34520C1C"/>
    <w:rsid w:val="347656B7"/>
    <w:rsid w:val="34AF33B3"/>
    <w:rsid w:val="34EA455F"/>
    <w:rsid w:val="34F574B2"/>
    <w:rsid w:val="350B1FFF"/>
    <w:rsid w:val="350F0F1C"/>
    <w:rsid w:val="353C0AE6"/>
    <w:rsid w:val="354F6482"/>
    <w:rsid w:val="356C3834"/>
    <w:rsid w:val="358E506D"/>
    <w:rsid w:val="35BA13B5"/>
    <w:rsid w:val="35BF6BEA"/>
    <w:rsid w:val="35C054BC"/>
    <w:rsid w:val="35C44201"/>
    <w:rsid w:val="361E5856"/>
    <w:rsid w:val="362B4B6B"/>
    <w:rsid w:val="362E38F2"/>
    <w:rsid w:val="362E6C65"/>
    <w:rsid w:val="364B2EA2"/>
    <w:rsid w:val="368D390B"/>
    <w:rsid w:val="36B54AD0"/>
    <w:rsid w:val="36D1697E"/>
    <w:rsid w:val="36D56AA1"/>
    <w:rsid w:val="36DD498F"/>
    <w:rsid w:val="36F53E62"/>
    <w:rsid w:val="37005E48"/>
    <w:rsid w:val="370138CA"/>
    <w:rsid w:val="371D37D3"/>
    <w:rsid w:val="373045E4"/>
    <w:rsid w:val="374C59AF"/>
    <w:rsid w:val="375161E0"/>
    <w:rsid w:val="377A5E33"/>
    <w:rsid w:val="378E0036"/>
    <w:rsid w:val="37C2178A"/>
    <w:rsid w:val="37C83693"/>
    <w:rsid w:val="38217626"/>
    <w:rsid w:val="385B0683"/>
    <w:rsid w:val="385C3F07"/>
    <w:rsid w:val="388614C8"/>
    <w:rsid w:val="38864C2A"/>
    <w:rsid w:val="38A609AF"/>
    <w:rsid w:val="38EF30F5"/>
    <w:rsid w:val="38F54FFF"/>
    <w:rsid w:val="38F60D15"/>
    <w:rsid w:val="39093C9F"/>
    <w:rsid w:val="393A2270"/>
    <w:rsid w:val="393C24D3"/>
    <w:rsid w:val="395F7FA5"/>
    <w:rsid w:val="3970274A"/>
    <w:rsid w:val="39706B79"/>
    <w:rsid w:val="397D1A60"/>
    <w:rsid w:val="397D3044"/>
    <w:rsid w:val="39BF24C9"/>
    <w:rsid w:val="3A2D6380"/>
    <w:rsid w:val="3A361056"/>
    <w:rsid w:val="3A4614A9"/>
    <w:rsid w:val="3A6550D9"/>
    <w:rsid w:val="3A7403C7"/>
    <w:rsid w:val="3A744576"/>
    <w:rsid w:val="3A9721AC"/>
    <w:rsid w:val="3AAA7204"/>
    <w:rsid w:val="3AB85F64"/>
    <w:rsid w:val="3BD266B1"/>
    <w:rsid w:val="3C0A208E"/>
    <w:rsid w:val="3C560E0F"/>
    <w:rsid w:val="3C8A3C61"/>
    <w:rsid w:val="3C8F22E7"/>
    <w:rsid w:val="3CF2458A"/>
    <w:rsid w:val="3CF53310"/>
    <w:rsid w:val="3D53112B"/>
    <w:rsid w:val="3D8D000C"/>
    <w:rsid w:val="3DA86637"/>
    <w:rsid w:val="3DFB31A0"/>
    <w:rsid w:val="3E091B54"/>
    <w:rsid w:val="3E166C6B"/>
    <w:rsid w:val="3E332998"/>
    <w:rsid w:val="3E4A5E40"/>
    <w:rsid w:val="3E860224"/>
    <w:rsid w:val="3EAF3CA0"/>
    <w:rsid w:val="3EC57D08"/>
    <w:rsid w:val="3F762A0F"/>
    <w:rsid w:val="3FDA11F0"/>
    <w:rsid w:val="402C3DD7"/>
    <w:rsid w:val="403929AD"/>
    <w:rsid w:val="404C7EF5"/>
    <w:rsid w:val="406114B7"/>
    <w:rsid w:val="407D28DD"/>
    <w:rsid w:val="40D97773"/>
    <w:rsid w:val="40DD0378"/>
    <w:rsid w:val="41271A71"/>
    <w:rsid w:val="415A0FC6"/>
    <w:rsid w:val="417F0110"/>
    <w:rsid w:val="418F019B"/>
    <w:rsid w:val="41950B2F"/>
    <w:rsid w:val="41BA22E4"/>
    <w:rsid w:val="41C0096A"/>
    <w:rsid w:val="41F117A5"/>
    <w:rsid w:val="4200658E"/>
    <w:rsid w:val="4203015A"/>
    <w:rsid w:val="422D0F9E"/>
    <w:rsid w:val="423F62D6"/>
    <w:rsid w:val="427F3327"/>
    <w:rsid w:val="42E73C50"/>
    <w:rsid w:val="42FF4ACA"/>
    <w:rsid w:val="433E7EE2"/>
    <w:rsid w:val="439E0787"/>
    <w:rsid w:val="43B60E25"/>
    <w:rsid w:val="43B91DAA"/>
    <w:rsid w:val="43D55E57"/>
    <w:rsid w:val="44350AC4"/>
    <w:rsid w:val="44B21FC2"/>
    <w:rsid w:val="44CF5C8B"/>
    <w:rsid w:val="45AE0F60"/>
    <w:rsid w:val="45C50B85"/>
    <w:rsid w:val="45F261D2"/>
    <w:rsid w:val="461576C8"/>
    <w:rsid w:val="4635213E"/>
    <w:rsid w:val="464D77E5"/>
    <w:rsid w:val="466103B9"/>
    <w:rsid w:val="46810F38"/>
    <w:rsid w:val="46A401F3"/>
    <w:rsid w:val="46D66444"/>
    <w:rsid w:val="4779309D"/>
    <w:rsid w:val="47F6431D"/>
    <w:rsid w:val="482F577C"/>
    <w:rsid w:val="485830BD"/>
    <w:rsid w:val="486636D8"/>
    <w:rsid w:val="48D7140D"/>
    <w:rsid w:val="491237F0"/>
    <w:rsid w:val="493417A6"/>
    <w:rsid w:val="49921B40"/>
    <w:rsid w:val="49C32CF5"/>
    <w:rsid w:val="49D61665"/>
    <w:rsid w:val="49D876AD"/>
    <w:rsid w:val="4A034E31"/>
    <w:rsid w:val="4A7B4246"/>
    <w:rsid w:val="4AE41970"/>
    <w:rsid w:val="4B027F42"/>
    <w:rsid w:val="4B29302C"/>
    <w:rsid w:val="4B2B76E3"/>
    <w:rsid w:val="4C3C7520"/>
    <w:rsid w:val="4C472D96"/>
    <w:rsid w:val="4C596AD0"/>
    <w:rsid w:val="4C6F6A75"/>
    <w:rsid w:val="4C704112"/>
    <w:rsid w:val="4CDD20C9"/>
    <w:rsid w:val="4CDE6D29"/>
    <w:rsid w:val="4D0A435E"/>
    <w:rsid w:val="4D13022B"/>
    <w:rsid w:val="4D624D84"/>
    <w:rsid w:val="4D636650"/>
    <w:rsid w:val="4D7B242B"/>
    <w:rsid w:val="4D9664D8"/>
    <w:rsid w:val="4E057E10"/>
    <w:rsid w:val="4E0F4718"/>
    <w:rsid w:val="4F0A7089"/>
    <w:rsid w:val="4F3F6893"/>
    <w:rsid w:val="4F851586"/>
    <w:rsid w:val="4F857B04"/>
    <w:rsid w:val="4FDA6778"/>
    <w:rsid w:val="4FF4183A"/>
    <w:rsid w:val="50081462"/>
    <w:rsid w:val="50234908"/>
    <w:rsid w:val="5039271F"/>
    <w:rsid w:val="50413EB8"/>
    <w:rsid w:val="50AD6A6A"/>
    <w:rsid w:val="50DF30C1"/>
    <w:rsid w:val="50E0053E"/>
    <w:rsid w:val="50FA10E8"/>
    <w:rsid w:val="512C4DBA"/>
    <w:rsid w:val="514946EA"/>
    <w:rsid w:val="51595D54"/>
    <w:rsid w:val="5171202B"/>
    <w:rsid w:val="517C5E3E"/>
    <w:rsid w:val="51987CEC"/>
    <w:rsid w:val="52044E1D"/>
    <w:rsid w:val="52582EC7"/>
    <w:rsid w:val="527E5A0B"/>
    <w:rsid w:val="528E36FC"/>
    <w:rsid w:val="52D12EEC"/>
    <w:rsid w:val="52D518F2"/>
    <w:rsid w:val="52F7312C"/>
    <w:rsid w:val="53065945"/>
    <w:rsid w:val="53132A5C"/>
    <w:rsid w:val="53325996"/>
    <w:rsid w:val="535A53CF"/>
    <w:rsid w:val="537304F7"/>
    <w:rsid w:val="53836593"/>
    <w:rsid w:val="54471B54"/>
    <w:rsid w:val="54514662"/>
    <w:rsid w:val="54872221"/>
    <w:rsid w:val="549C21E7"/>
    <w:rsid w:val="54B245CB"/>
    <w:rsid w:val="54C77B24"/>
    <w:rsid w:val="54E219D3"/>
    <w:rsid w:val="54E75E5A"/>
    <w:rsid w:val="553923E1"/>
    <w:rsid w:val="5583397C"/>
    <w:rsid w:val="55BC7137"/>
    <w:rsid w:val="55CB6AB2"/>
    <w:rsid w:val="55F60C46"/>
    <w:rsid w:val="55FF30A4"/>
    <w:rsid w:val="56677A70"/>
    <w:rsid w:val="56B93B57"/>
    <w:rsid w:val="56BA15D9"/>
    <w:rsid w:val="56C169E5"/>
    <w:rsid w:val="56F65BBA"/>
    <w:rsid w:val="57081358"/>
    <w:rsid w:val="571741CA"/>
    <w:rsid w:val="57212282"/>
    <w:rsid w:val="576158FB"/>
    <w:rsid w:val="5868001A"/>
    <w:rsid w:val="58717DA3"/>
    <w:rsid w:val="58AA6505"/>
    <w:rsid w:val="58C838B7"/>
    <w:rsid w:val="58F47BFE"/>
    <w:rsid w:val="59487688"/>
    <w:rsid w:val="597D42DF"/>
    <w:rsid w:val="59D13D69"/>
    <w:rsid w:val="5A2B1077"/>
    <w:rsid w:val="5A2C317E"/>
    <w:rsid w:val="5A6545DD"/>
    <w:rsid w:val="5A802C08"/>
    <w:rsid w:val="5AB20E59"/>
    <w:rsid w:val="5ABF016F"/>
    <w:rsid w:val="5B235C95"/>
    <w:rsid w:val="5B4E676F"/>
    <w:rsid w:val="5B5309E2"/>
    <w:rsid w:val="5B661C01"/>
    <w:rsid w:val="5B694208"/>
    <w:rsid w:val="5BE22850"/>
    <w:rsid w:val="5BE57F51"/>
    <w:rsid w:val="5C11169E"/>
    <w:rsid w:val="5C125416"/>
    <w:rsid w:val="5C7774C0"/>
    <w:rsid w:val="5C862ADC"/>
    <w:rsid w:val="5CCB6F4A"/>
    <w:rsid w:val="5CF63611"/>
    <w:rsid w:val="5CF73E5F"/>
    <w:rsid w:val="5CF86B15"/>
    <w:rsid w:val="5CFC2F9C"/>
    <w:rsid w:val="5D156599"/>
    <w:rsid w:val="5D7F7CF2"/>
    <w:rsid w:val="5DA16434"/>
    <w:rsid w:val="5DAB1F64"/>
    <w:rsid w:val="5DB623CB"/>
    <w:rsid w:val="5DBE305A"/>
    <w:rsid w:val="5DE97722"/>
    <w:rsid w:val="5DED3669"/>
    <w:rsid w:val="5DFD63C2"/>
    <w:rsid w:val="5E3D13AA"/>
    <w:rsid w:val="5E612863"/>
    <w:rsid w:val="5E6202E5"/>
    <w:rsid w:val="5E7E6A79"/>
    <w:rsid w:val="5E96388F"/>
    <w:rsid w:val="5ED602A4"/>
    <w:rsid w:val="5EDD7C2F"/>
    <w:rsid w:val="5EDF0423"/>
    <w:rsid w:val="5F0D61FF"/>
    <w:rsid w:val="5F5E4089"/>
    <w:rsid w:val="5FC0636E"/>
    <w:rsid w:val="60164611"/>
    <w:rsid w:val="6045009A"/>
    <w:rsid w:val="60983788"/>
    <w:rsid w:val="61082B42"/>
    <w:rsid w:val="611C17E3"/>
    <w:rsid w:val="61466DA4"/>
    <w:rsid w:val="614F54B5"/>
    <w:rsid w:val="61784695"/>
    <w:rsid w:val="61A161B8"/>
    <w:rsid w:val="61D91B96"/>
    <w:rsid w:val="626A3131"/>
    <w:rsid w:val="6280139D"/>
    <w:rsid w:val="628E1C9B"/>
    <w:rsid w:val="62B6027F"/>
    <w:rsid w:val="62D35631"/>
    <w:rsid w:val="634B0772"/>
    <w:rsid w:val="63F7410E"/>
    <w:rsid w:val="63F81B90"/>
    <w:rsid w:val="63F91396"/>
    <w:rsid w:val="645B1C35"/>
    <w:rsid w:val="6460191F"/>
    <w:rsid w:val="64606EBA"/>
    <w:rsid w:val="64BF1076"/>
    <w:rsid w:val="65351CCB"/>
    <w:rsid w:val="6570177D"/>
    <w:rsid w:val="65B14764"/>
    <w:rsid w:val="65C37F02"/>
    <w:rsid w:val="66325FB7"/>
    <w:rsid w:val="66C71D2E"/>
    <w:rsid w:val="66CB0734"/>
    <w:rsid w:val="66E9417E"/>
    <w:rsid w:val="66FC06F6"/>
    <w:rsid w:val="6709601B"/>
    <w:rsid w:val="672E7154"/>
    <w:rsid w:val="675B254A"/>
    <w:rsid w:val="6796587F"/>
    <w:rsid w:val="679A4C3E"/>
    <w:rsid w:val="67E97887"/>
    <w:rsid w:val="68515FB2"/>
    <w:rsid w:val="68CE4682"/>
    <w:rsid w:val="68D50789"/>
    <w:rsid w:val="69090895"/>
    <w:rsid w:val="69F44464"/>
    <w:rsid w:val="6A2C45BE"/>
    <w:rsid w:val="6A32554A"/>
    <w:rsid w:val="6A4609EB"/>
    <w:rsid w:val="6A596387"/>
    <w:rsid w:val="6A6A40A3"/>
    <w:rsid w:val="6AA1457D"/>
    <w:rsid w:val="6AAA4E8C"/>
    <w:rsid w:val="6AB06D96"/>
    <w:rsid w:val="6AC8443C"/>
    <w:rsid w:val="6ADF79DE"/>
    <w:rsid w:val="6AE17565"/>
    <w:rsid w:val="6B01589B"/>
    <w:rsid w:val="6BDF5315"/>
    <w:rsid w:val="6C1E04BB"/>
    <w:rsid w:val="6C30791F"/>
    <w:rsid w:val="6C5C22D4"/>
    <w:rsid w:val="6D0C5CB8"/>
    <w:rsid w:val="6DA20152"/>
    <w:rsid w:val="6E2F5A53"/>
    <w:rsid w:val="6E5B561D"/>
    <w:rsid w:val="6E7603C5"/>
    <w:rsid w:val="6E8405B2"/>
    <w:rsid w:val="6E9C008D"/>
    <w:rsid w:val="6EA66996"/>
    <w:rsid w:val="6EA9791B"/>
    <w:rsid w:val="6EAB2E1E"/>
    <w:rsid w:val="6EB33AAD"/>
    <w:rsid w:val="6EFA1CA3"/>
    <w:rsid w:val="6F2A6F6F"/>
    <w:rsid w:val="6F334B66"/>
    <w:rsid w:val="6F80797E"/>
    <w:rsid w:val="6FCC1FFC"/>
    <w:rsid w:val="6FCE3438"/>
    <w:rsid w:val="6FD9000D"/>
    <w:rsid w:val="6FF675BD"/>
    <w:rsid w:val="70026C53"/>
    <w:rsid w:val="700346D4"/>
    <w:rsid w:val="700D5560"/>
    <w:rsid w:val="700D71E2"/>
    <w:rsid w:val="7014672D"/>
    <w:rsid w:val="70441BEA"/>
    <w:rsid w:val="70807521"/>
    <w:rsid w:val="709E2354"/>
    <w:rsid w:val="70AB0365"/>
    <w:rsid w:val="71016B75"/>
    <w:rsid w:val="710D4B86"/>
    <w:rsid w:val="71627B0C"/>
    <w:rsid w:val="7172232C"/>
    <w:rsid w:val="717767B4"/>
    <w:rsid w:val="71CB623E"/>
    <w:rsid w:val="71D80DD7"/>
    <w:rsid w:val="71DB1D5C"/>
    <w:rsid w:val="71DF0762"/>
    <w:rsid w:val="71F42F17"/>
    <w:rsid w:val="72822425"/>
    <w:rsid w:val="72AB332E"/>
    <w:rsid w:val="72C41CD9"/>
    <w:rsid w:val="72FB060A"/>
    <w:rsid w:val="7345352C"/>
    <w:rsid w:val="736C4E1F"/>
    <w:rsid w:val="737F240C"/>
    <w:rsid w:val="73CA1587"/>
    <w:rsid w:val="73D51B16"/>
    <w:rsid w:val="740500E7"/>
    <w:rsid w:val="743D0241"/>
    <w:rsid w:val="75076A10"/>
    <w:rsid w:val="754E3BED"/>
    <w:rsid w:val="755D199D"/>
    <w:rsid w:val="758827E2"/>
    <w:rsid w:val="75AF2E1D"/>
    <w:rsid w:val="76070B31"/>
    <w:rsid w:val="761D53B8"/>
    <w:rsid w:val="765F3F37"/>
    <w:rsid w:val="769E4528"/>
    <w:rsid w:val="76A209B0"/>
    <w:rsid w:val="76EC20A9"/>
    <w:rsid w:val="77383B2B"/>
    <w:rsid w:val="77935D3A"/>
    <w:rsid w:val="779934C6"/>
    <w:rsid w:val="77AA04E6"/>
    <w:rsid w:val="77B34070"/>
    <w:rsid w:val="78304CBF"/>
    <w:rsid w:val="78391D4B"/>
    <w:rsid w:val="78524E73"/>
    <w:rsid w:val="785D2852"/>
    <w:rsid w:val="7862510D"/>
    <w:rsid w:val="7869031C"/>
    <w:rsid w:val="78BE1FA4"/>
    <w:rsid w:val="78C0027C"/>
    <w:rsid w:val="78CA3838"/>
    <w:rsid w:val="796727BD"/>
    <w:rsid w:val="797A0159"/>
    <w:rsid w:val="79BD574A"/>
    <w:rsid w:val="79CB0C87"/>
    <w:rsid w:val="79F24465"/>
    <w:rsid w:val="79FA77AD"/>
    <w:rsid w:val="7A2463F3"/>
    <w:rsid w:val="7A390B01"/>
    <w:rsid w:val="7ABE2D6E"/>
    <w:rsid w:val="7B041516"/>
    <w:rsid w:val="7B0E5FF1"/>
    <w:rsid w:val="7B137603"/>
    <w:rsid w:val="7B170E7E"/>
    <w:rsid w:val="7B5B066E"/>
    <w:rsid w:val="7B95754E"/>
    <w:rsid w:val="7B9A1458"/>
    <w:rsid w:val="7BE152AD"/>
    <w:rsid w:val="7C4363ED"/>
    <w:rsid w:val="7C463AA1"/>
    <w:rsid w:val="7C582B10"/>
    <w:rsid w:val="7C650662"/>
    <w:rsid w:val="7C9653D3"/>
    <w:rsid w:val="7CB57626"/>
    <w:rsid w:val="7CC86647"/>
    <w:rsid w:val="7CF60376"/>
    <w:rsid w:val="7D4A2D6A"/>
    <w:rsid w:val="7DAF138C"/>
    <w:rsid w:val="7DD70A02"/>
    <w:rsid w:val="7E04739F"/>
    <w:rsid w:val="7E065CCE"/>
    <w:rsid w:val="7E4F51C9"/>
    <w:rsid w:val="7E597CD7"/>
    <w:rsid w:val="7E8678A1"/>
    <w:rsid w:val="7E8A0C7D"/>
    <w:rsid w:val="7EE06CB6"/>
    <w:rsid w:val="7F2C38B2"/>
    <w:rsid w:val="7F5B6882"/>
    <w:rsid w:val="7FE163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3"/>
    <w:next w:val="1"/>
    <w:qFormat/>
    <w:uiPriority w:val="0"/>
    <w:pPr>
      <w:numPr>
        <w:ilvl w:val="1"/>
        <w:numId w:val="1"/>
      </w:numPr>
      <w:tabs>
        <w:tab w:val="left" w:pos="1276"/>
      </w:tabs>
      <w:outlineLvl w:val="1"/>
    </w:pPr>
    <w:rPr>
      <w:rFonts w:eastAsia="黑体"/>
      <w:szCs w:val="21"/>
    </w:rPr>
  </w:style>
  <w:style w:type="character" w:default="1" w:styleId="9">
    <w:name w:val="Default Paragraph Font"/>
    <w:qFormat/>
    <w:uiPriority w:val="0"/>
  </w:style>
  <w:style w:type="table" w:default="1" w:styleId="7">
    <w:name w:val="Normal Table"/>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Autospacing="0"/>
    </w:pPr>
  </w:style>
  <w:style w:type="paragraph" w:styleId="5">
    <w:name w:val="Normal Indent"/>
    <w:basedOn w:val="1"/>
    <w:qFormat/>
    <w:uiPriority w:val="0"/>
    <w:pPr>
      <w:widowControl w:val="0"/>
      <w:ind w:firstLine="420"/>
      <w:jc w:val="both"/>
    </w:pPr>
    <w:rPr>
      <w:rFonts w:ascii="Times New Roman" w:hAnsi="Times New Roman" w:eastAsia="宋体" w:cs="Times New Roman"/>
      <w:kern w:val="2"/>
      <w:sz w:val="24"/>
      <w:lang w:val="en-US" w:eastAsia="zh-CN" w:bidi="ar-SA"/>
    </w:rPr>
  </w:style>
  <w:style w:type="paragraph" w:styleId="6">
    <w:name w:val="Normal (Web)"/>
    <w:qFormat/>
    <w:uiPriority w:val="0"/>
    <w:pPr>
      <w:spacing w:beforeAutospacing="1" w:afterAutospacing="1"/>
    </w:pPr>
    <w:rPr>
      <w:rFonts w:hint="eastAsia" w:ascii="宋体" w:hAnsi="宋体" w:eastAsia="宋体" w:cs="Times New Roman"/>
      <w:sz w:val="24"/>
      <w:szCs w:val="24"/>
      <w:lang w:val="en-US" w:eastAsia="zh-CN" w:bidi="ar-SA"/>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qFormat/>
    <w:uiPriority w:val="0"/>
    <w:rPr>
      <w:color w:val="0000FF"/>
      <w:u w:val="single"/>
    </w:rPr>
  </w:style>
  <w:style w:type="character" w:customStyle="1" w:styleId="11">
    <w:name w:val="fontstyle01"/>
    <w:basedOn w:val="9"/>
    <w:qFormat/>
    <w:uiPriority w:val="0"/>
    <w:rPr>
      <w:rFonts w:ascii="MicrosoftYaHei" w:hAnsi="MicrosoftYaHei" w:eastAsia="MicrosoftYaHei" w:cs="MicrosoftYaHei"/>
      <w:color w:val="000000"/>
      <w:sz w:val="22"/>
      <w:szCs w:val="22"/>
    </w:rPr>
  </w:style>
  <w:style w:type="paragraph" w:customStyle="1" w:styleId="12">
    <w:name w:val="正文4"/>
    <w:basedOn w:val="1"/>
    <w:qFormat/>
    <w:uiPriority w:val="0"/>
    <w:pPr>
      <w:autoSpaceDE w:val="0"/>
      <w:autoSpaceDN w:val="0"/>
      <w:adjustRightInd w:val="0"/>
    </w:pPr>
    <w:rPr>
      <w:rFonts w:hAnsi="宋体"/>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3243</Words>
  <Characters>3447</Characters>
  <Lines>0</Lines>
  <Paragraphs>183</Paragraphs>
  <TotalTime>11</TotalTime>
  <ScaleCrop>false</ScaleCrop>
  <LinksUpToDate>false</LinksUpToDate>
  <CharactersWithSpaces>3827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2018-09-08T11:06:00Z</dcterms:created>
  <dc:creator>何雯</dc:creator>
  <cp:lastModifiedBy>wps</cp:lastModifiedBy>
  <cp:lastPrinted>2026-10-27T03:21:59Z</cp:lastPrinted>
  <dcterms:modified xsi:type="dcterms:W3CDTF">2026-10-27T03:24:56Z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C38597A241BD4330974611FAC1B5F104</vt:lpwstr>
  </property>
  <property fmtid="{D5CDD505-2E9C-101B-9397-08002B2CF9AE}" pid="4" name="WondersoftTag">
    <vt:lpwstr>08346F25-8B48-4E85-808C-B5CFB2675607#2#2ADFC1FE-8038411C-B005355D-DC6CBCD3##0</vt:lpwstr>
  </property>
</Properties>
</file>