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F193B72">
      <w:pPr>
        <w:jc w:val="center"/>
        <w:rPr>
          <w:rFonts w:hint="eastAsia" w:asciiTheme="minorEastAsia" w:hAnsiTheme="minorEastAsia" w:eastAsiaTheme="minorEastAsia" w:cstheme="minorEastAsia"/>
          <w:b/>
          <w:bCs/>
          <w:color w:val="auto"/>
          <w:sz w:val="32"/>
          <w:szCs w:val="32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32"/>
          <w:szCs w:val="32"/>
          <w:lang w:val="en-US" w:eastAsia="zh-CN"/>
        </w:rPr>
        <w:t>500kV沿海西部通道加强工程（标段二）</w:t>
      </w:r>
    </w:p>
    <w:p w14:paraId="1D59C7EE">
      <w:pPr>
        <w:jc w:val="center"/>
        <w:rPr>
          <w:rFonts w:hint="eastAsia" w:asciiTheme="minorEastAsia" w:hAnsiTheme="minorEastAsia" w:eastAsiaTheme="minorEastAsia" w:cstheme="minorEastAsia"/>
          <w:b/>
          <w:bCs/>
          <w:color w:val="auto"/>
          <w:sz w:val="32"/>
          <w:szCs w:val="32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32"/>
          <w:szCs w:val="32"/>
          <w:lang w:val="en-US" w:eastAsia="zh-CN"/>
        </w:rPr>
        <w:t>光缆熔接技术规范书</w:t>
      </w:r>
    </w:p>
    <w:p w14:paraId="0B413D6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华文仿宋" w:hAnsi="华文仿宋" w:eastAsia="华文仿宋" w:cs="华文仿宋"/>
          <w:color w:val="auto"/>
          <w:sz w:val="28"/>
          <w:szCs w:val="28"/>
          <w:lang w:val="en-US" w:eastAsia="zh-CN"/>
        </w:rPr>
      </w:pPr>
      <w:r>
        <w:rPr>
          <w:rFonts w:hint="eastAsia" w:ascii="华文仿宋" w:hAnsi="华文仿宋" w:eastAsia="华文仿宋" w:cs="华文仿宋"/>
          <w:color w:val="auto"/>
          <w:sz w:val="28"/>
          <w:szCs w:val="28"/>
          <w:lang w:val="en-US" w:eastAsia="zh-CN"/>
        </w:rPr>
        <w:t>500kV沿海西部通道加强工程（标段二）有四个子单位工程，分别为：</w:t>
      </w:r>
    </w:p>
    <w:p w14:paraId="529E65A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 w:ascii="华文仿宋" w:hAnsi="华文仿宋" w:eastAsia="华文仿宋" w:cs="华文仿宋"/>
          <w:color w:val="auto"/>
          <w:sz w:val="28"/>
          <w:szCs w:val="28"/>
          <w:lang w:val="en-US" w:eastAsia="zh-CN"/>
        </w:rPr>
      </w:pPr>
      <w:r>
        <w:rPr>
          <w:rFonts w:hint="eastAsia" w:ascii="华文仿宋" w:hAnsi="华文仿宋" w:eastAsia="华文仿宋" w:cs="华文仿宋"/>
          <w:color w:val="auto"/>
          <w:sz w:val="28"/>
          <w:szCs w:val="28"/>
          <w:lang w:val="en-US" w:eastAsia="zh-CN"/>
        </w:rPr>
        <w:t>①防城港核电站～南宁500千伏Ⅰ回线路改接新江500千伏变电站线路工程</w:t>
      </w:r>
    </w:p>
    <w:p w14:paraId="5B33069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 w:ascii="华文仿宋" w:hAnsi="华文仿宋" w:eastAsia="华文仿宋" w:cs="华文仿宋"/>
          <w:color w:val="auto"/>
          <w:sz w:val="28"/>
          <w:szCs w:val="28"/>
          <w:lang w:val="en-US" w:eastAsia="zh-CN"/>
        </w:rPr>
      </w:pPr>
      <w:r>
        <w:rPr>
          <w:rFonts w:hint="eastAsia" w:ascii="华文仿宋" w:hAnsi="华文仿宋" w:eastAsia="华文仿宋" w:cs="华文仿宋"/>
          <w:color w:val="auto"/>
          <w:sz w:val="28"/>
          <w:szCs w:val="28"/>
          <w:lang w:val="en-US" w:eastAsia="zh-CN"/>
        </w:rPr>
        <w:t>②防城港核电站～南宁500千伏Ⅱ回线路与海港～新江500千伏线路搭接工程</w:t>
      </w:r>
    </w:p>
    <w:p w14:paraId="7CD4788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eastAsia" w:ascii="华文仿宋" w:hAnsi="华文仿宋" w:eastAsia="华文仿宋" w:cs="华文仿宋"/>
          <w:color w:val="auto"/>
          <w:sz w:val="28"/>
          <w:szCs w:val="28"/>
          <w:lang w:val="en-US" w:eastAsia="zh-CN"/>
        </w:rPr>
      </w:pPr>
      <w:r>
        <w:rPr>
          <w:rFonts w:hint="eastAsia" w:ascii="华文仿宋" w:hAnsi="华文仿宋" w:eastAsia="华文仿宋" w:cs="华文仿宋"/>
          <w:color w:val="auto"/>
          <w:sz w:val="28"/>
          <w:szCs w:val="28"/>
          <w:lang w:val="en-US" w:eastAsia="zh-CN"/>
        </w:rPr>
        <w:t>③防城港核电站～南宁500千伏Ⅰ回线路与海港～新江500千伏线路搭接工程</w:t>
      </w:r>
    </w:p>
    <w:p w14:paraId="051DC2B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华文仿宋" w:hAnsi="华文仿宋" w:eastAsia="华文仿宋" w:cs="华文仿宋"/>
          <w:color w:val="auto"/>
          <w:sz w:val="28"/>
          <w:szCs w:val="28"/>
          <w:lang w:val="en-US" w:eastAsia="zh-CN"/>
        </w:rPr>
      </w:pPr>
      <w:r>
        <w:rPr>
          <w:rFonts w:hint="eastAsia" w:ascii="华文仿宋" w:hAnsi="华文仿宋" w:eastAsia="华文仿宋" w:cs="华文仿宋"/>
          <w:color w:val="auto"/>
          <w:sz w:val="28"/>
          <w:szCs w:val="28"/>
          <w:lang w:val="en-US" w:eastAsia="zh-CN"/>
        </w:rPr>
        <w:t>④防城港核电站～南宁500千伏Ⅱ回线路改接至海港500千伏变电站线路工程</w:t>
      </w:r>
    </w:p>
    <w:p w14:paraId="0F75E52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2" w:firstLineChars="200"/>
        <w:textAlignment w:val="auto"/>
        <w:rPr>
          <w:rFonts w:hint="default" w:ascii="仿宋" w:hAnsi="仿宋" w:eastAsia="仿宋" w:cs="仿宋"/>
          <w:b/>
          <w:bCs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28"/>
          <w:szCs w:val="28"/>
          <w:lang w:val="en-US" w:eastAsia="zh-CN"/>
        </w:rPr>
        <w:t>一、工程简介：</w:t>
      </w:r>
    </w:p>
    <w:p w14:paraId="78F2B08C">
      <w:pPr>
        <w:keepNext w:val="0"/>
        <w:keepLines w:val="0"/>
        <w:widowControl/>
        <w:suppressLineNumbers w:val="0"/>
        <w:ind w:firstLine="560" w:firstLineChars="200"/>
        <w:jc w:val="left"/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  <w:t xml:space="preserve">①防城港核电站～南宁 </w:t>
      </w:r>
      <w:r>
        <w:rPr>
          <w:rFonts w:hint="default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  <w:t xml:space="preserve">500kV </w:t>
      </w: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  <w:t>Ⅰ回线路改接新江（民歌）</w:t>
      </w:r>
      <w:r>
        <w:rPr>
          <w:rFonts w:hint="default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  <w:t xml:space="preserve">500kV </w:t>
      </w: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  <w:t xml:space="preserve">变电站线路工程（非南宁市段）前进方向左侧架设 </w:t>
      </w:r>
      <w:r>
        <w:rPr>
          <w:rFonts w:hint="default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  <w:t xml:space="preserve">1 </w:t>
      </w: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  <w:t xml:space="preserve">根 </w:t>
      </w:r>
      <w:r>
        <w:rPr>
          <w:rFonts w:hint="default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  <w:t xml:space="preserve">OPGW </w:t>
      </w: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  <w:t>光缆，线路前进方向为：</w:t>
      </w:r>
      <w:r>
        <w:rPr>
          <w:rFonts w:hint="default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  <w:t xml:space="preserve">500kV </w:t>
      </w: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  <w:t xml:space="preserve">光南甲线改接点 </w:t>
      </w:r>
      <w:r>
        <w:rPr>
          <w:rFonts w:hint="default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  <w:t xml:space="preserve">GA1 </w:t>
      </w: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  <w:t xml:space="preserve">至 </w:t>
      </w:r>
      <w:r>
        <w:rPr>
          <w:rFonts w:hint="default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  <w:t>GA214</w:t>
      </w: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  <w:t>。</w:t>
      </w:r>
    </w:p>
    <w:p w14:paraId="173891E2">
      <w:pPr>
        <w:keepNext w:val="0"/>
        <w:keepLines w:val="0"/>
        <w:widowControl/>
        <w:suppressLineNumbers w:val="0"/>
        <w:ind w:firstLine="560" w:firstLineChars="200"/>
        <w:jc w:val="left"/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  <w:t>②</w:t>
      </w:r>
      <w:r>
        <w:rPr>
          <w:rFonts w:hint="default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  <w:t xml:space="preserve">防城港核电站～南宁 500kV </w:t>
      </w: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  <w:t xml:space="preserve">Ⅱ回线路改接至海港 </w:t>
      </w:r>
      <w:r>
        <w:rPr>
          <w:rFonts w:hint="default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  <w:t xml:space="preserve">500kV </w:t>
      </w: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  <w:t xml:space="preserve">变电站线路工程新建段在前进方向左侧架设 </w:t>
      </w:r>
      <w:r>
        <w:rPr>
          <w:rFonts w:hint="default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  <w:t xml:space="preserve">1 </w:t>
      </w: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  <w:t xml:space="preserve">根为 </w:t>
      </w:r>
      <w:r>
        <w:rPr>
          <w:rFonts w:hint="default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  <w:t xml:space="preserve">48 </w:t>
      </w: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  <w:t xml:space="preserve">芯 </w:t>
      </w:r>
      <w:r>
        <w:rPr>
          <w:rFonts w:hint="default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  <w:t xml:space="preserve">OPGW-150 </w:t>
      </w: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  <w:t xml:space="preserve">光缆，利旧段架设 </w:t>
      </w:r>
      <w:r>
        <w:rPr>
          <w:rFonts w:hint="default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  <w:t xml:space="preserve">2 </w:t>
      </w: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  <w:t xml:space="preserve">根 </w:t>
      </w:r>
      <w:r>
        <w:rPr>
          <w:rFonts w:hint="default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  <w:t xml:space="preserve">48 </w:t>
      </w: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  <w:t xml:space="preserve">芯光缆 </w:t>
      </w:r>
      <w:r>
        <w:rPr>
          <w:rFonts w:hint="default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  <w:t xml:space="preserve">OPGW-150 </w:t>
      </w: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  <w:t xml:space="preserve">光缆；线路前进方向为 </w:t>
      </w:r>
      <w:r>
        <w:rPr>
          <w:rFonts w:hint="default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  <w:t xml:space="preserve">500kV </w:t>
      </w: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  <w:t>海港变出线间隔至南宁变。</w:t>
      </w:r>
    </w:p>
    <w:p w14:paraId="7F9BAAB7">
      <w:pPr>
        <w:keepNext w:val="0"/>
        <w:keepLines w:val="0"/>
        <w:widowControl/>
        <w:suppressLineNumbers w:val="0"/>
        <w:ind w:firstLine="560" w:firstLineChars="200"/>
        <w:jc w:val="left"/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  <w:t>③将原海民甲线的光缆路由通过GB1C-GC2D进行光缆连接，恢复光缆原路由。</w:t>
      </w:r>
    </w:p>
    <w:p w14:paraId="0B0855C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2" w:firstLineChars="200"/>
        <w:textAlignment w:val="auto"/>
        <w:rPr>
          <w:rFonts w:hint="default" w:ascii="仿宋" w:hAnsi="仿宋" w:eastAsia="仿宋" w:cs="仿宋"/>
          <w:b/>
          <w:bCs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28"/>
          <w:szCs w:val="28"/>
          <w:lang w:val="en-US" w:eastAsia="zh-CN"/>
        </w:rPr>
        <w:t>二、作业地点及要求</w:t>
      </w:r>
    </w:p>
    <w:p w14:paraId="48351A1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default" w:ascii="仿宋" w:hAnsi="仿宋" w:eastAsia="仿宋" w:cs="仿宋"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</w:rPr>
        <w:t>1.工程项目所在地为</w:t>
      </w: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广西防城港市钦州市（防城区、钦北区、钦南区）</w:t>
      </w:r>
    </w:p>
    <w:p w14:paraId="6625380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" w:hAnsi="仿宋" w:eastAsia="仿宋" w:cs="仿宋"/>
          <w:color w:val="auto"/>
          <w:sz w:val="28"/>
          <w:szCs w:val="28"/>
        </w:rPr>
      </w:pPr>
      <w:r>
        <w:rPr>
          <w:rFonts w:hint="eastAsia" w:ascii="仿宋" w:hAnsi="仿宋" w:eastAsia="仿宋" w:cs="仿宋"/>
          <w:color w:val="auto"/>
          <w:sz w:val="28"/>
          <w:szCs w:val="28"/>
        </w:rPr>
        <w:t>2.熔接的光缆的型号</w:t>
      </w:r>
      <w:r>
        <w:rPr>
          <w:rFonts w:hint="eastAsia" w:ascii="仿宋" w:hAnsi="仿宋" w:eastAsia="仿宋" w:cs="仿宋"/>
          <w:color w:val="auto"/>
          <w:sz w:val="28"/>
          <w:szCs w:val="28"/>
          <w:lang w:eastAsia="zh-CN"/>
        </w:rPr>
        <w:t>：</w:t>
      </w: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lang w:eastAsia="zh-CN"/>
        </w:rPr>
        <w:t>GYFTY86-36B1.</w:t>
      </w: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  <w:t>3、GYFTY86-24B1.3、OPGW-48B1-150[98. 7:275.0]、OPGW-36B1-120[159.8:121.5]、OPGW-16B1+8B4-130（利旧），需熔接</w:t>
      </w: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光缆型号芯数包含24芯、36芯、48芯</w:t>
      </w:r>
      <w:r>
        <w:rPr>
          <w:rFonts w:hint="eastAsia" w:ascii="仿宋" w:hAnsi="仿宋" w:eastAsia="仿宋" w:cs="仿宋"/>
          <w:color w:val="auto"/>
          <w:sz w:val="28"/>
          <w:szCs w:val="28"/>
        </w:rPr>
        <w:t>。</w:t>
      </w:r>
    </w:p>
    <w:p w14:paraId="4286653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" w:hAnsi="仿宋" w:eastAsia="仿宋" w:cs="仿宋"/>
          <w:color w:val="auto"/>
          <w:sz w:val="28"/>
          <w:szCs w:val="28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3</w:t>
      </w:r>
      <w:r>
        <w:rPr>
          <w:rFonts w:hint="eastAsia" w:ascii="仿宋" w:hAnsi="仿宋" w:eastAsia="仿宋" w:cs="仿宋"/>
          <w:color w:val="auto"/>
          <w:sz w:val="28"/>
          <w:szCs w:val="28"/>
        </w:rPr>
        <w:t>.需要服务的内容：熔接</w:t>
      </w:r>
      <w:r>
        <w:rPr>
          <w:rFonts w:hint="eastAsia" w:ascii="仿宋" w:hAnsi="仿宋" w:eastAsia="仿宋" w:cs="仿宋"/>
          <w:color w:val="auto"/>
          <w:sz w:val="28"/>
          <w:szCs w:val="28"/>
          <w:lang w:eastAsia="zh-CN"/>
        </w:rPr>
        <w:t>、</w:t>
      </w: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接续盒衰减测试、</w:t>
      </w:r>
      <w:r>
        <w:rPr>
          <w:rFonts w:hint="eastAsia" w:ascii="仿宋" w:hAnsi="仿宋" w:eastAsia="仿宋" w:cs="仿宋"/>
          <w:color w:val="auto"/>
          <w:sz w:val="28"/>
          <w:szCs w:val="28"/>
        </w:rPr>
        <w:t>全线测通，确保通过通信</w:t>
      </w: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班</w:t>
      </w:r>
      <w:r>
        <w:rPr>
          <w:rFonts w:hint="eastAsia" w:ascii="仿宋" w:hAnsi="仿宋" w:eastAsia="仿宋" w:cs="仿宋"/>
          <w:color w:val="auto"/>
          <w:sz w:val="28"/>
          <w:szCs w:val="28"/>
        </w:rPr>
        <w:t>竣工验收。</w:t>
      </w:r>
    </w:p>
    <w:p w14:paraId="25DBC0F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</w:rPr>
        <w:t>本次需求为</w:t>
      </w: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:</w:t>
      </w:r>
    </w:p>
    <w:p w14:paraId="7B140835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</w:pPr>
      <w:r>
        <w:rPr>
          <w:rFonts w:hint="eastAsia" w:ascii="华文仿宋" w:hAnsi="华文仿宋" w:eastAsia="华文仿宋" w:cs="华文仿宋"/>
          <w:color w:val="auto"/>
          <w:sz w:val="28"/>
          <w:szCs w:val="28"/>
          <w:lang w:val="en-US" w:eastAsia="zh-CN"/>
        </w:rPr>
        <w:t>防城港核电站～南宁500千伏Ⅱ回线路改接至海港500千伏变电站线路工程、及</w:t>
      </w: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lang w:val="en-US" w:eastAsia="zh-CN"/>
        </w:rPr>
        <w:t>原海民甲线的光缆路由通过GB1C-GC2D进行光缆连接，恢复光缆原路由。</w:t>
      </w: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熔接接续盒数量为</w:t>
      </w:r>
      <w:r>
        <w:rPr>
          <w:rFonts w:hint="eastAsia" w:ascii="仿宋" w:hAnsi="仿宋" w:eastAsia="仿宋" w:cs="仿宋"/>
          <w:color w:val="FF0000"/>
          <w:sz w:val="28"/>
          <w:szCs w:val="28"/>
          <w:lang w:val="en-US" w:eastAsia="zh-CN"/>
        </w:rPr>
        <w:t>11</w:t>
      </w: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个，</w:t>
      </w:r>
      <w:r>
        <w:rPr>
          <w:rFonts w:hint="eastAsia" w:ascii="仿宋" w:hAnsi="仿宋" w:eastAsia="仿宋" w:cs="仿宋"/>
          <w:color w:val="auto"/>
          <w:sz w:val="28"/>
          <w:szCs w:val="28"/>
        </w:rPr>
        <w:t>初步</w:t>
      </w: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定</w:t>
      </w:r>
      <w:r>
        <w:rPr>
          <w:rFonts w:hint="eastAsia" w:ascii="仿宋" w:hAnsi="仿宋" w:eastAsia="仿宋" w:cs="仿宋"/>
          <w:color w:val="auto"/>
          <w:sz w:val="28"/>
          <w:szCs w:val="28"/>
        </w:rPr>
        <w:t>为2026年</w:t>
      </w: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11</w:t>
      </w:r>
      <w:r>
        <w:rPr>
          <w:rFonts w:hint="eastAsia" w:ascii="仿宋" w:hAnsi="仿宋" w:eastAsia="仿宋" w:cs="仿宋"/>
          <w:color w:val="auto"/>
          <w:sz w:val="28"/>
          <w:szCs w:val="28"/>
        </w:rPr>
        <w:t>月</w:t>
      </w: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中、下旬开始熔接（要求熔接、测试完成时间不得超过3天，具体熔接时间及地点以项目通知时间为准）。</w:t>
      </w:r>
    </w:p>
    <w:p w14:paraId="6360C8E6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光缆熔接头明细：</w:t>
      </w:r>
    </w:p>
    <w:p w14:paraId="31B4648C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1120" w:firstLineChars="400"/>
        <w:textAlignment w:val="auto"/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OPGW-48B1-150[98.7:275.0](48芯)-6个</w:t>
      </w:r>
    </w:p>
    <w:p w14:paraId="03E9170B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1120" w:firstLineChars="400"/>
        <w:textAlignment w:val="auto"/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</w:pPr>
      <w:r>
        <w:rPr>
          <w:rFonts w:hint="default" w:ascii="仿宋" w:hAnsi="仿宋" w:eastAsia="仿宋" w:cs="仿宋"/>
          <w:color w:val="auto"/>
          <w:sz w:val="28"/>
          <w:szCs w:val="28"/>
          <w:lang w:val="en-US" w:eastAsia="zh-CN"/>
        </w:rPr>
        <w:t>OPGW-16B1+8B4-130 (24芯)</w:t>
      </w: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-3个</w:t>
      </w:r>
      <w:bookmarkStart w:id="0" w:name="_GoBack"/>
      <w:bookmarkEnd w:id="0"/>
    </w:p>
    <w:p w14:paraId="7A8CC409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1120" w:firstLineChars="400"/>
        <w:textAlignment w:val="auto"/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</w:pPr>
      <w:r>
        <w:rPr>
          <w:rFonts w:hint="default" w:ascii="仿宋" w:hAnsi="仿宋" w:eastAsia="仿宋" w:cs="仿宋"/>
          <w:color w:val="auto"/>
          <w:sz w:val="28"/>
          <w:szCs w:val="28"/>
          <w:lang w:val="en-US" w:eastAsia="zh-CN"/>
        </w:rPr>
        <w:t>GYFTY86-36B1.3 (36芯)</w:t>
      </w: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-1个</w:t>
      </w:r>
    </w:p>
    <w:p w14:paraId="7D381AB9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1120" w:firstLineChars="400"/>
        <w:textAlignment w:val="auto"/>
        <w:rPr>
          <w:rFonts w:hint="default" w:ascii="仿宋" w:hAnsi="仿宋" w:eastAsia="仿宋" w:cs="仿宋"/>
          <w:color w:val="auto"/>
          <w:sz w:val="28"/>
          <w:szCs w:val="28"/>
          <w:lang w:val="en-US" w:eastAsia="zh-CN"/>
        </w:rPr>
      </w:pPr>
      <w:r>
        <w:rPr>
          <w:rFonts w:hint="default" w:ascii="仿宋" w:hAnsi="仿宋" w:eastAsia="仿宋" w:cs="仿宋"/>
          <w:color w:val="auto"/>
          <w:sz w:val="28"/>
          <w:szCs w:val="28"/>
          <w:lang w:val="en-US" w:eastAsia="zh-CN"/>
        </w:rPr>
        <w:t>GYFTY86-24B1.3 (24芯)</w:t>
      </w: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-1个</w:t>
      </w:r>
    </w:p>
    <w:p w14:paraId="545C151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" w:hAnsi="仿宋" w:eastAsia="仿宋" w:cs="仿宋"/>
          <w:color w:val="auto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5</w:t>
      </w:r>
      <w:r>
        <w:rPr>
          <w:rFonts w:hint="eastAsia" w:ascii="仿宋" w:hAnsi="仿宋" w:eastAsia="仿宋" w:cs="仿宋"/>
          <w:color w:val="auto"/>
          <w:sz w:val="28"/>
          <w:szCs w:val="28"/>
        </w:rPr>
        <w:t>.</w:t>
      </w: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执行标准：</w:t>
      </w:r>
      <w:r>
        <w:rPr>
          <w:rFonts w:hint="eastAsia" w:ascii="仿宋" w:hAnsi="仿宋" w:eastAsia="仿宋" w:cs="仿宋"/>
          <w:color w:val="auto"/>
          <w:sz w:val="28"/>
          <w:szCs w:val="28"/>
          <w:lang w:eastAsia="zh-CN"/>
        </w:rPr>
        <w:t>《电力光纤通信工程验收规范》（DL</w:t>
      </w: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/</w:t>
      </w:r>
      <w:r>
        <w:rPr>
          <w:rFonts w:hint="eastAsia" w:ascii="仿宋" w:hAnsi="仿宋" w:eastAsia="仿宋" w:cs="仿宋"/>
          <w:color w:val="auto"/>
          <w:sz w:val="28"/>
          <w:szCs w:val="28"/>
          <w:lang w:eastAsia="zh-CN"/>
        </w:rPr>
        <w:t>T 5344-2018）。</w:t>
      </w:r>
    </w:p>
    <w:p w14:paraId="186EBAE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559" w:leftChars="266" w:firstLine="0" w:firstLineChars="0"/>
        <w:textAlignment w:val="auto"/>
        <w:rPr>
          <w:rFonts w:hint="default" w:ascii="仿宋" w:hAnsi="仿宋" w:eastAsia="仿宋" w:cs="仿宋"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6</w:t>
      </w:r>
      <w:r>
        <w:rPr>
          <w:rFonts w:hint="eastAsia" w:ascii="仿宋" w:hAnsi="仿宋" w:eastAsia="仿宋" w:cs="仿宋"/>
          <w:color w:val="auto"/>
          <w:sz w:val="28"/>
          <w:szCs w:val="28"/>
        </w:rPr>
        <w:t>.需要具备的资质</w:t>
      </w:r>
      <w:r>
        <w:rPr>
          <w:rFonts w:hint="eastAsia" w:ascii="仿宋" w:hAnsi="仿宋" w:eastAsia="仿宋" w:cs="仿宋"/>
          <w:color w:val="auto"/>
          <w:sz w:val="28"/>
          <w:szCs w:val="28"/>
          <w:lang w:eastAsia="zh-CN"/>
        </w:rPr>
        <w:t>：</w:t>
      </w:r>
      <w:r>
        <w:rPr>
          <w:rFonts w:hint="eastAsia" w:ascii="仿宋" w:hAnsi="仿宋" w:eastAsia="仿宋" w:cs="仿宋"/>
          <w:color w:val="auto"/>
          <w:sz w:val="28"/>
          <w:szCs w:val="28"/>
        </w:rPr>
        <w:t>具备熔接光缆等相关工作的营业执照</w:t>
      </w: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。</w:t>
      </w: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br w:type="textWrapping"/>
      </w: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7、需提供光缆熔接的OTDR测试报告、熔接记录表、中续断测试报告。</w:t>
      </w:r>
    </w:p>
    <w:p w14:paraId="4F69DF08">
      <w:pPr>
        <w:rPr>
          <w:rFonts w:hint="default"/>
          <w:lang w:val="en-US" w:eastAsia="zh-CN"/>
        </w:rPr>
      </w:pPr>
    </w:p>
    <w:sectPr>
      <w:pgSz w:w="11906" w:h="16838"/>
      <w:pgMar w:top="1440" w:right="1080" w:bottom="1440" w:left="1080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1D42F31"/>
    <w:multiLevelType w:val="singleLevel"/>
    <w:tmpl w:val="D1D42F31"/>
    <w:lvl w:ilvl="0" w:tentative="0">
      <w:start w:val="1"/>
      <w:numFmt w:val="decimal"/>
      <w:suff w:val="nothing"/>
      <w:lvlText w:val="（%1）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WU2YTEyOTAzOGJhZDNlNWZiNGNmODU4Yjk3NzUyNWMifQ=="/>
  </w:docVars>
  <w:rsids>
    <w:rsidRoot w:val="00000000"/>
    <w:rsid w:val="01A06D45"/>
    <w:rsid w:val="03391DE6"/>
    <w:rsid w:val="04671EF4"/>
    <w:rsid w:val="04A533BA"/>
    <w:rsid w:val="05FD32C9"/>
    <w:rsid w:val="071B2C0B"/>
    <w:rsid w:val="0B760E40"/>
    <w:rsid w:val="0D004C93"/>
    <w:rsid w:val="0E7E0566"/>
    <w:rsid w:val="0F0202E6"/>
    <w:rsid w:val="11733A03"/>
    <w:rsid w:val="134F57A4"/>
    <w:rsid w:val="141F6AE8"/>
    <w:rsid w:val="17EE050A"/>
    <w:rsid w:val="18D17A0D"/>
    <w:rsid w:val="1A302507"/>
    <w:rsid w:val="1C9B387A"/>
    <w:rsid w:val="1ECB716D"/>
    <w:rsid w:val="213827F6"/>
    <w:rsid w:val="2309269C"/>
    <w:rsid w:val="23BB026B"/>
    <w:rsid w:val="268B161A"/>
    <w:rsid w:val="27A877A0"/>
    <w:rsid w:val="28C073ED"/>
    <w:rsid w:val="2AF552B4"/>
    <w:rsid w:val="2B2A7653"/>
    <w:rsid w:val="2C4C3297"/>
    <w:rsid w:val="2C610E53"/>
    <w:rsid w:val="2CD957D4"/>
    <w:rsid w:val="2E5977A3"/>
    <w:rsid w:val="2E8325DC"/>
    <w:rsid w:val="2ED26038"/>
    <w:rsid w:val="30701F30"/>
    <w:rsid w:val="31B04B94"/>
    <w:rsid w:val="346E4696"/>
    <w:rsid w:val="357F4062"/>
    <w:rsid w:val="35DD7F64"/>
    <w:rsid w:val="372B59F8"/>
    <w:rsid w:val="377918F1"/>
    <w:rsid w:val="38363DCF"/>
    <w:rsid w:val="39C34753"/>
    <w:rsid w:val="3E4E1307"/>
    <w:rsid w:val="3EBF33C0"/>
    <w:rsid w:val="40702F0B"/>
    <w:rsid w:val="409F471E"/>
    <w:rsid w:val="430B339C"/>
    <w:rsid w:val="43DD7542"/>
    <w:rsid w:val="47026C2B"/>
    <w:rsid w:val="4789756D"/>
    <w:rsid w:val="47D06A35"/>
    <w:rsid w:val="4A332615"/>
    <w:rsid w:val="4D990CB8"/>
    <w:rsid w:val="4E992F9E"/>
    <w:rsid w:val="568B2AE7"/>
    <w:rsid w:val="58366547"/>
    <w:rsid w:val="590103CD"/>
    <w:rsid w:val="5AD21F10"/>
    <w:rsid w:val="62184D07"/>
    <w:rsid w:val="648E0A50"/>
    <w:rsid w:val="657F3B1C"/>
    <w:rsid w:val="67401089"/>
    <w:rsid w:val="687F6869"/>
    <w:rsid w:val="696B7D83"/>
    <w:rsid w:val="6B794260"/>
    <w:rsid w:val="7055363A"/>
    <w:rsid w:val="73944C37"/>
    <w:rsid w:val="75C56449"/>
    <w:rsid w:val="75F3688B"/>
    <w:rsid w:val="7AC91D74"/>
    <w:rsid w:val="7BB350DA"/>
    <w:rsid w:val="7C721C55"/>
    <w:rsid w:val="7D3703DC"/>
    <w:rsid w:val="7DAC2BC2"/>
    <w:rsid w:val="7E490D14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632</Words>
  <Characters>826</Characters>
  <Lines>0</Lines>
  <Paragraphs>0</Paragraphs>
  <TotalTime>1</TotalTime>
  <ScaleCrop>false</ScaleCrop>
  <LinksUpToDate>false</LinksUpToDate>
  <CharactersWithSpaces>856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2026-04-10T06:43:00Z</dcterms:created>
  <dc:creator>lenovo1</dc:creator>
  <cp:lastModifiedBy>Lucifer</cp:lastModifiedBy>
  <dcterms:modified xsi:type="dcterms:W3CDTF">2026-10-28T06:52:22Z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KSOTemplateDocerSaveRecord">
    <vt:lpwstr>eyJoZGlkIjoiZmJiYmMyNWMzMzEyY2Q1ZjcxNTFkNjIwMDg1YTM1ZTEiLCJ1c2VySWQiOiIxMjMwNDczNzc3In0=</vt:lpwstr>
  </property>
  <property fmtid="{D5CDD505-2E9C-101B-9397-08002B2CF9AE}" pid="4" name="ICV">
    <vt:lpwstr>4D5D6DBD4B3A435F9AF8863A2CDA211D_13</vt:lpwstr>
  </property>
</Properties>
</file>