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E6DA5C">
      <w:pPr>
        <w:pStyle w:val="3"/>
        <w:spacing w:before="0" w:after="0" w:line="360" w:lineRule="auto"/>
        <w:jc w:val="both"/>
        <w:rPr>
          <w:rFonts w:hint="default" w:ascii="黑体" w:hAnsi="黑体" w:eastAsia="黑体" w:cs="黑体"/>
          <w:b/>
          <w:bCs/>
          <w:color w:val="auto"/>
          <w:kern w:val="2"/>
          <w:sz w:val="32"/>
          <w:szCs w:val="32"/>
          <w:highlight w:val="none"/>
          <w:lang w:val="en-US" w:eastAsia="zh-CN"/>
        </w:rPr>
      </w:pPr>
      <w:bookmarkStart w:id="0" w:name="_Toc15706"/>
      <w:r>
        <w:rPr>
          <w:rFonts w:hint="eastAsia" w:ascii="黑体" w:hAnsi="黑体" w:eastAsia="黑体" w:cs="黑体"/>
          <w:b/>
          <w:bCs/>
          <w:color w:val="auto"/>
          <w:kern w:val="2"/>
          <w:sz w:val="32"/>
          <w:szCs w:val="32"/>
          <w:highlight w:val="none"/>
          <w:lang w:val="en-US" w:eastAsia="zh-CN"/>
        </w:rPr>
        <w:t>附录H</w:t>
      </w:r>
      <w:bookmarkEnd w:id="0"/>
    </w:p>
    <w:p w14:paraId="75845793">
      <w:pPr>
        <w:pageBreakBefore w:val="0"/>
        <w:widowControl w:val="0"/>
        <w:kinsoku/>
        <w:wordWrap/>
        <w:overflowPunct/>
        <w:topLinePunct w:val="0"/>
        <w:bidi w:val="0"/>
        <w:snapToGrid/>
        <w:spacing w:before="0" w:after="0" w:line="600" w:lineRule="exact"/>
        <w:jc w:val="center"/>
        <w:textAlignment w:val="auto"/>
        <w:outlineLvl w:val="9"/>
        <w:rPr>
          <w:rFonts w:hint="default" w:ascii="黑体" w:hAnsi="黑体" w:eastAsia="黑体" w:cs="黑体"/>
          <w:b w:val="0"/>
          <w:bCs w:val="0"/>
          <w:color w:val="auto"/>
          <w:kern w:val="2"/>
          <w:sz w:val="32"/>
          <w:szCs w:val="32"/>
          <w:highlight w:val="none"/>
          <w:lang w:val="en-US" w:eastAsia="zh-CN"/>
        </w:rPr>
      </w:pPr>
      <w:r>
        <w:rPr>
          <w:rFonts w:hint="eastAsia" w:ascii="黑体" w:hAnsi="黑体" w:eastAsia="黑体" w:cs="黑体"/>
          <w:b w:val="0"/>
          <w:bCs w:val="0"/>
          <w:color w:val="auto"/>
          <w:kern w:val="2"/>
          <w:sz w:val="32"/>
          <w:szCs w:val="32"/>
          <w:highlight w:val="none"/>
          <w:lang w:val="en-US" w:eastAsia="zh-CN"/>
        </w:rPr>
        <w:t>零星采购项目要求模版</w:t>
      </w:r>
    </w:p>
    <w:tbl>
      <w:tblPr>
        <w:tblStyle w:val="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003"/>
        <w:gridCol w:w="441"/>
        <w:gridCol w:w="1545"/>
        <w:gridCol w:w="1674"/>
        <w:gridCol w:w="785"/>
        <w:gridCol w:w="555"/>
        <w:gridCol w:w="867"/>
        <w:gridCol w:w="984"/>
        <w:gridCol w:w="1434"/>
      </w:tblGrid>
      <w:tr w14:paraId="49DE2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474" w:hRule="atLeast"/>
          <w:jc w:val="center"/>
        </w:trPr>
        <w:tc>
          <w:tcPr>
            <w:tcW w:w="1003" w:type="dxa"/>
            <w:tcBorders>
              <w:tl2br w:val="nil"/>
              <w:tr2bl w:val="nil"/>
            </w:tcBorders>
            <w:shd w:val="clear" w:color="auto" w:fill="FFFFFF" w:themeFill="background1"/>
            <w:vAlign w:val="center"/>
          </w:tcPr>
          <w:p w14:paraId="76DA2BA1">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采购单位</w:t>
            </w:r>
          </w:p>
        </w:tc>
        <w:tc>
          <w:tcPr>
            <w:tcW w:w="3660" w:type="dxa"/>
            <w:gridSpan w:val="3"/>
            <w:tcBorders>
              <w:tl2br w:val="nil"/>
              <w:tr2bl w:val="nil"/>
            </w:tcBorders>
            <w:shd w:val="clear" w:color="auto" w:fill="FFFFFF" w:themeFill="background1"/>
            <w:vAlign w:val="center"/>
          </w:tcPr>
          <w:p w14:paraId="3D2428C8">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琼海供电局</w:t>
            </w:r>
          </w:p>
        </w:tc>
        <w:tc>
          <w:tcPr>
            <w:tcW w:w="1340" w:type="dxa"/>
            <w:gridSpan w:val="2"/>
            <w:tcBorders>
              <w:tl2br w:val="nil"/>
              <w:tr2bl w:val="nil"/>
            </w:tcBorders>
            <w:shd w:val="clear" w:color="auto" w:fill="FFFFFF" w:themeFill="background1"/>
            <w:vAlign w:val="center"/>
          </w:tcPr>
          <w:p w14:paraId="39C1694D">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采购承办部门（中心）</w:t>
            </w:r>
          </w:p>
        </w:tc>
        <w:tc>
          <w:tcPr>
            <w:tcW w:w="3285" w:type="dxa"/>
            <w:gridSpan w:val="3"/>
            <w:tcBorders>
              <w:tl2br w:val="nil"/>
              <w:tr2bl w:val="nil"/>
            </w:tcBorders>
            <w:shd w:val="clear" w:color="auto" w:fill="FFFFFF" w:themeFill="background1"/>
            <w:vAlign w:val="center"/>
          </w:tcPr>
          <w:p w14:paraId="25DF5907">
            <w:pPr>
              <w:snapToGrid w:val="0"/>
              <w:spacing w:line="200" w:lineRule="exact"/>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color w:val="auto"/>
                <w:sz w:val="21"/>
                <w:szCs w:val="21"/>
                <w:highlight w:val="none"/>
                <w:u w:val="none"/>
                <w:lang w:val="en-US" w:eastAsia="zh-CN"/>
              </w:rPr>
              <w:t>办公室</w:t>
            </w:r>
          </w:p>
        </w:tc>
      </w:tr>
      <w:tr w14:paraId="2840F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003" w:type="dxa"/>
            <w:tcBorders>
              <w:tl2br w:val="nil"/>
              <w:tr2bl w:val="nil"/>
            </w:tcBorders>
            <w:shd w:val="clear" w:color="auto" w:fill="FFFFFF" w:themeFill="background1"/>
            <w:vAlign w:val="center"/>
          </w:tcPr>
          <w:p w14:paraId="2E6AE308">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采购项目名称</w:t>
            </w:r>
          </w:p>
        </w:tc>
        <w:tc>
          <w:tcPr>
            <w:tcW w:w="3660" w:type="dxa"/>
            <w:gridSpan w:val="3"/>
            <w:tcBorders>
              <w:tl2br w:val="nil"/>
              <w:tr2bl w:val="nil"/>
            </w:tcBorders>
            <w:shd w:val="clear" w:color="auto" w:fill="FFFFFF" w:themeFill="background1"/>
            <w:vAlign w:val="center"/>
          </w:tcPr>
          <w:p w14:paraId="3501EADF">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default" w:asciiTheme="minorEastAsia" w:hAnsiTheme="minorEastAsia" w:eastAsiaTheme="minorEastAsia" w:cstheme="minorEastAsia"/>
                <w:sz w:val="18"/>
                <w:szCs w:val="18"/>
                <w:lang w:val="en-US" w:eastAsia="zh-CN"/>
              </w:rPr>
              <w:t>琼海供电局生产调度大楼地基鉴定</w:t>
            </w:r>
          </w:p>
        </w:tc>
        <w:tc>
          <w:tcPr>
            <w:tcW w:w="1340" w:type="dxa"/>
            <w:gridSpan w:val="2"/>
            <w:tcBorders>
              <w:tl2br w:val="nil"/>
              <w:tr2bl w:val="nil"/>
            </w:tcBorders>
            <w:shd w:val="clear" w:color="auto" w:fill="FFFFFF" w:themeFill="background1"/>
            <w:vAlign w:val="center"/>
          </w:tcPr>
          <w:p w14:paraId="34203827">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采购概算金额</w:t>
            </w:r>
          </w:p>
          <w:p w14:paraId="7C7C0DA1">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（万元）</w:t>
            </w:r>
          </w:p>
        </w:tc>
        <w:tc>
          <w:tcPr>
            <w:tcW w:w="3285" w:type="dxa"/>
            <w:gridSpan w:val="3"/>
            <w:tcBorders>
              <w:tl2br w:val="nil"/>
              <w:tr2bl w:val="nil"/>
            </w:tcBorders>
            <w:shd w:val="clear" w:color="auto" w:fill="FFFFFF" w:themeFill="background1"/>
            <w:vAlign w:val="center"/>
          </w:tcPr>
          <w:p w14:paraId="66252406">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24000</w:t>
            </w:r>
          </w:p>
        </w:tc>
      </w:tr>
      <w:tr w14:paraId="6A069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 w:type="dxa"/>
            <w:tcBorders>
              <w:tl2br w:val="nil"/>
              <w:tr2bl w:val="nil"/>
            </w:tcBorders>
            <w:shd w:val="clear" w:color="auto" w:fill="FFFFFF" w:themeFill="background1"/>
            <w:vAlign w:val="center"/>
          </w:tcPr>
          <w:p w14:paraId="1ED0C2C4">
            <w:pPr>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项目类别</w:t>
            </w:r>
          </w:p>
        </w:tc>
        <w:tc>
          <w:tcPr>
            <w:tcW w:w="3660" w:type="dxa"/>
            <w:gridSpan w:val="3"/>
            <w:tcBorders>
              <w:tl2br w:val="nil"/>
              <w:tr2bl w:val="nil"/>
            </w:tcBorders>
            <w:shd w:val="clear" w:color="auto" w:fill="FFFFFF" w:themeFill="background1"/>
            <w:vAlign w:val="center"/>
          </w:tcPr>
          <w:p w14:paraId="763A008F">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 xml:space="preserve">工程  □货物  </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服务</w:t>
            </w:r>
          </w:p>
        </w:tc>
        <w:tc>
          <w:tcPr>
            <w:tcW w:w="1340" w:type="dxa"/>
            <w:gridSpan w:val="2"/>
            <w:tcBorders>
              <w:tl2br w:val="nil"/>
              <w:tr2bl w:val="nil"/>
            </w:tcBorders>
            <w:shd w:val="clear" w:color="auto" w:fill="FFFFFF" w:themeFill="background1"/>
            <w:vAlign w:val="center"/>
          </w:tcPr>
          <w:p w14:paraId="66046783">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资金来源</w:t>
            </w:r>
          </w:p>
        </w:tc>
        <w:tc>
          <w:tcPr>
            <w:tcW w:w="3285" w:type="dxa"/>
            <w:gridSpan w:val="3"/>
            <w:tcBorders>
              <w:tl2br w:val="nil"/>
              <w:tr2bl w:val="nil"/>
            </w:tcBorders>
            <w:shd w:val="clear" w:color="auto" w:fill="FFFFFF" w:themeFill="background1"/>
            <w:vAlign w:val="center"/>
          </w:tcPr>
          <w:p w14:paraId="492F0D21">
            <w:pPr>
              <w:snapToGrid w:val="0"/>
              <w:spacing w:line="200" w:lineRule="exact"/>
              <w:jc w:val="center"/>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中介费</w:t>
            </w:r>
          </w:p>
        </w:tc>
      </w:tr>
      <w:tr w14:paraId="2FC8C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 w:type="dxa"/>
            <w:vMerge w:val="restart"/>
            <w:tcBorders>
              <w:tl2br w:val="nil"/>
              <w:tr2bl w:val="nil"/>
            </w:tcBorders>
            <w:shd w:val="clear" w:color="auto" w:fill="FFFFFF" w:themeFill="background1"/>
            <w:vAlign w:val="center"/>
          </w:tcPr>
          <w:p w14:paraId="03188A69">
            <w:pPr>
              <w:snapToGrid w:val="0"/>
              <w:spacing w:line="200" w:lineRule="exact"/>
              <w:jc w:val="center"/>
              <w:rPr>
                <w:rFonts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rPr>
              <w:t>采购品类及数量</w:t>
            </w:r>
          </w:p>
        </w:tc>
        <w:tc>
          <w:tcPr>
            <w:tcW w:w="441" w:type="dxa"/>
            <w:tcBorders>
              <w:tl2br w:val="nil"/>
              <w:tr2bl w:val="nil"/>
            </w:tcBorders>
            <w:shd w:val="clear" w:color="auto" w:fill="FFFFFF" w:themeFill="background1"/>
            <w:vAlign w:val="center"/>
          </w:tcPr>
          <w:p w14:paraId="0711F845">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序号</w:t>
            </w:r>
          </w:p>
        </w:tc>
        <w:tc>
          <w:tcPr>
            <w:tcW w:w="1545" w:type="dxa"/>
            <w:tcBorders>
              <w:tl2br w:val="nil"/>
              <w:tr2bl w:val="nil"/>
            </w:tcBorders>
            <w:shd w:val="clear" w:color="auto" w:fill="FFFFFF" w:themeFill="background1"/>
            <w:vAlign w:val="center"/>
          </w:tcPr>
          <w:p w14:paraId="43C56214">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名称</w:t>
            </w:r>
          </w:p>
        </w:tc>
        <w:tc>
          <w:tcPr>
            <w:tcW w:w="1674" w:type="dxa"/>
            <w:tcBorders>
              <w:tl2br w:val="nil"/>
              <w:tr2bl w:val="nil"/>
            </w:tcBorders>
            <w:shd w:val="clear" w:color="auto" w:fill="FFFFFF" w:themeFill="background1"/>
            <w:vAlign w:val="center"/>
          </w:tcPr>
          <w:p w14:paraId="01B1B62A">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规格型号/主要技术、商务要求</w:t>
            </w:r>
          </w:p>
        </w:tc>
        <w:tc>
          <w:tcPr>
            <w:tcW w:w="785" w:type="dxa"/>
            <w:tcBorders>
              <w:tl2br w:val="nil"/>
              <w:tr2bl w:val="nil"/>
            </w:tcBorders>
            <w:shd w:val="clear" w:color="auto" w:fill="FFFFFF" w:themeFill="background1"/>
            <w:vAlign w:val="center"/>
          </w:tcPr>
          <w:p w14:paraId="70D46330">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数量</w:t>
            </w:r>
          </w:p>
        </w:tc>
        <w:tc>
          <w:tcPr>
            <w:tcW w:w="555" w:type="dxa"/>
            <w:tcBorders>
              <w:tl2br w:val="nil"/>
              <w:tr2bl w:val="nil"/>
            </w:tcBorders>
            <w:shd w:val="clear" w:color="auto" w:fill="FFFFFF" w:themeFill="background1"/>
            <w:vAlign w:val="center"/>
          </w:tcPr>
          <w:p w14:paraId="3649A7E7">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单位</w:t>
            </w:r>
          </w:p>
        </w:tc>
        <w:tc>
          <w:tcPr>
            <w:tcW w:w="867" w:type="dxa"/>
            <w:tcBorders>
              <w:tl2br w:val="nil"/>
              <w:tr2bl w:val="nil"/>
            </w:tcBorders>
            <w:shd w:val="clear" w:color="auto" w:fill="FFFFFF" w:themeFill="background1"/>
            <w:vAlign w:val="center"/>
          </w:tcPr>
          <w:p w14:paraId="033A0621">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单价（元）</w:t>
            </w:r>
          </w:p>
        </w:tc>
        <w:tc>
          <w:tcPr>
            <w:tcW w:w="984" w:type="dxa"/>
            <w:tcBorders>
              <w:tl2br w:val="nil"/>
              <w:tr2bl w:val="nil"/>
            </w:tcBorders>
            <w:shd w:val="clear" w:color="auto" w:fill="FFFFFF" w:themeFill="background1"/>
            <w:vAlign w:val="center"/>
          </w:tcPr>
          <w:p w14:paraId="2458D513">
            <w:pPr>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总价（元）</w:t>
            </w:r>
          </w:p>
        </w:tc>
        <w:tc>
          <w:tcPr>
            <w:tcW w:w="1434" w:type="dxa"/>
            <w:tcBorders>
              <w:tl2br w:val="nil"/>
              <w:tr2bl w:val="nil"/>
            </w:tcBorders>
            <w:shd w:val="clear" w:color="auto" w:fill="FFFFFF" w:themeFill="background1"/>
            <w:vAlign w:val="center"/>
          </w:tcPr>
          <w:p w14:paraId="2852B050">
            <w:pPr>
              <w:snapToGrid w:val="0"/>
              <w:spacing w:line="200" w:lineRule="exact"/>
              <w:jc w:val="center"/>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计划交付日期</w:t>
            </w:r>
          </w:p>
        </w:tc>
      </w:tr>
      <w:tr w14:paraId="16DFE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03" w:type="dxa"/>
            <w:vMerge w:val="continue"/>
            <w:tcBorders>
              <w:tl2br w:val="nil"/>
              <w:tr2bl w:val="nil"/>
            </w:tcBorders>
            <w:shd w:val="clear" w:color="auto" w:fill="FFFFFF" w:themeFill="background1"/>
            <w:vAlign w:val="center"/>
          </w:tcPr>
          <w:p w14:paraId="0F5C3D7B">
            <w:pPr>
              <w:snapToGrid w:val="0"/>
              <w:spacing w:line="200" w:lineRule="exact"/>
              <w:jc w:val="center"/>
              <w:rPr>
                <w:rFonts w:asciiTheme="minorEastAsia" w:hAnsiTheme="minorEastAsia" w:eastAsiaTheme="minorEastAsia" w:cstheme="minorEastAsia"/>
                <w:sz w:val="18"/>
                <w:szCs w:val="18"/>
                <w:highlight w:val="none"/>
              </w:rPr>
            </w:pPr>
          </w:p>
        </w:tc>
        <w:tc>
          <w:tcPr>
            <w:tcW w:w="441" w:type="dxa"/>
            <w:tcBorders>
              <w:tl2br w:val="nil"/>
              <w:tr2bl w:val="nil"/>
            </w:tcBorders>
            <w:shd w:val="clear" w:color="auto" w:fill="FFFFFF" w:themeFill="background1"/>
            <w:vAlign w:val="center"/>
          </w:tcPr>
          <w:p w14:paraId="3D9CC04B">
            <w:pPr>
              <w:snapToGrid w:val="0"/>
              <w:spacing w:line="200" w:lineRule="exact"/>
              <w:jc w:val="center"/>
              <w:rPr>
                <w:rFonts w:asciiTheme="minorEastAsia" w:hAnsiTheme="minorEastAsia" w:eastAsiaTheme="minorEastAsia" w:cstheme="minorEastAsia"/>
                <w:b/>
                <w:bCs/>
                <w:sz w:val="18"/>
                <w:szCs w:val="18"/>
                <w:highlight w:val="none"/>
              </w:rPr>
            </w:pPr>
          </w:p>
        </w:tc>
        <w:tc>
          <w:tcPr>
            <w:tcW w:w="1545" w:type="dxa"/>
            <w:tcBorders>
              <w:tl2br w:val="nil"/>
              <w:tr2bl w:val="nil"/>
            </w:tcBorders>
            <w:shd w:val="clear" w:color="auto" w:fill="FFFFFF" w:themeFill="background1"/>
            <w:vAlign w:val="center"/>
          </w:tcPr>
          <w:p w14:paraId="6DC19226">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p>
        </w:tc>
        <w:tc>
          <w:tcPr>
            <w:tcW w:w="1674" w:type="dxa"/>
            <w:tcBorders>
              <w:tl2br w:val="nil"/>
              <w:tr2bl w:val="nil"/>
            </w:tcBorders>
            <w:shd w:val="clear" w:color="auto" w:fill="FFFFFF" w:themeFill="background1"/>
            <w:vAlign w:val="center"/>
          </w:tcPr>
          <w:p w14:paraId="19514607">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p>
        </w:tc>
        <w:tc>
          <w:tcPr>
            <w:tcW w:w="785" w:type="dxa"/>
            <w:tcBorders>
              <w:tl2br w:val="nil"/>
              <w:tr2bl w:val="nil"/>
            </w:tcBorders>
            <w:shd w:val="clear" w:color="auto" w:fill="FFFFFF" w:themeFill="background1"/>
            <w:vAlign w:val="center"/>
          </w:tcPr>
          <w:p w14:paraId="2F385195">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p>
        </w:tc>
        <w:tc>
          <w:tcPr>
            <w:tcW w:w="555" w:type="dxa"/>
            <w:tcBorders>
              <w:tl2br w:val="nil"/>
              <w:tr2bl w:val="nil"/>
            </w:tcBorders>
            <w:shd w:val="clear" w:color="auto" w:fill="FFFFFF" w:themeFill="background1"/>
            <w:vAlign w:val="center"/>
          </w:tcPr>
          <w:p w14:paraId="64E9BE11">
            <w:pPr>
              <w:snapToGrid w:val="0"/>
              <w:spacing w:line="200" w:lineRule="exact"/>
              <w:jc w:val="center"/>
              <w:rPr>
                <w:rFonts w:hint="eastAsia" w:asciiTheme="minorEastAsia" w:hAnsiTheme="minorEastAsia" w:eastAsiaTheme="minorEastAsia" w:cstheme="minorEastAsia"/>
                <w:sz w:val="18"/>
                <w:szCs w:val="18"/>
                <w:highlight w:val="none"/>
                <w:lang w:eastAsia="zh-CN"/>
              </w:rPr>
            </w:pPr>
          </w:p>
        </w:tc>
        <w:tc>
          <w:tcPr>
            <w:tcW w:w="867" w:type="dxa"/>
            <w:tcBorders>
              <w:tl2br w:val="nil"/>
              <w:tr2bl w:val="nil"/>
            </w:tcBorders>
            <w:shd w:val="clear" w:color="auto" w:fill="FFFFFF" w:themeFill="background1"/>
            <w:vAlign w:val="center"/>
          </w:tcPr>
          <w:p w14:paraId="13332736">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p>
        </w:tc>
        <w:tc>
          <w:tcPr>
            <w:tcW w:w="984" w:type="dxa"/>
            <w:tcBorders>
              <w:tl2br w:val="nil"/>
              <w:tr2bl w:val="nil"/>
            </w:tcBorders>
            <w:shd w:val="clear" w:color="auto" w:fill="FFFFFF" w:themeFill="background1"/>
            <w:vAlign w:val="center"/>
          </w:tcPr>
          <w:p w14:paraId="3907E05F">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default" w:asciiTheme="minorEastAsia" w:hAnsiTheme="minorEastAsia" w:eastAsiaTheme="minorEastAsia" w:cstheme="minorEastAsia"/>
                <w:sz w:val="18"/>
                <w:szCs w:val="18"/>
                <w:highlight w:val="none"/>
                <w:lang w:val="en-US" w:eastAsia="zh-CN"/>
              </w:rPr>
            </w:pPr>
          </w:p>
        </w:tc>
        <w:tc>
          <w:tcPr>
            <w:tcW w:w="1434" w:type="dxa"/>
            <w:tcBorders>
              <w:tl2br w:val="nil"/>
              <w:tr2bl w:val="nil"/>
            </w:tcBorders>
            <w:shd w:val="clear" w:color="auto" w:fill="FFFFFF" w:themeFill="background1"/>
            <w:vAlign w:val="center"/>
          </w:tcPr>
          <w:p w14:paraId="1437F097">
            <w:pPr>
              <w:keepNext w:val="0"/>
              <w:keepLines w:val="0"/>
              <w:pageBreakBefore w:val="0"/>
              <w:widowControl w:val="0"/>
              <w:numPr>
                <w:ilvl w:val="0"/>
                <w:numId w:val="0"/>
              </w:numPr>
              <w:kinsoku/>
              <w:wordWrap/>
              <w:overflowPunct/>
              <w:topLinePunct w:val="0"/>
              <w:autoSpaceDE/>
              <w:autoSpaceDN/>
              <w:bidi w:val="0"/>
              <w:adjustRightInd/>
              <w:snapToGrid/>
              <w:spacing w:line="240" w:lineRule="exact"/>
              <w:ind w:left="0" w:leftChars="0" w:right="0" w:rightChars="0" w:firstLine="0" w:firstLineChars="0"/>
              <w:jc w:val="center"/>
              <w:textAlignment w:val="auto"/>
              <w:outlineLvl w:val="9"/>
              <w:rPr>
                <w:rFonts w:hint="eastAsia" w:asciiTheme="minorEastAsia" w:hAnsiTheme="minorEastAsia" w:eastAsiaTheme="minorEastAsia" w:cstheme="minorEastAsia"/>
                <w:color w:val="auto"/>
                <w:kern w:val="2"/>
                <w:sz w:val="18"/>
                <w:szCs w:val="18"/>
                <w:highlight w:val="none"/>
                <w:u w:val="none"/>
                <w:vertAlign w:val="baseline"/>
                <w:lang w:val="en-US" w:eastAsia="zh-CN" w:bidi="ar-SA"/>
              </w:rPr>
            </w:pPr>
          </w:p>
        </w:tc>
      </w:tr>
    </w:tbl>
    <w:p w14:paraId="5E164F6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eastAsia" w:ascii="宋体" w:hAnsi="宋体" w:cs="宋体"/>
          <w:b/>
          <w:bCs/>
          <w:sz w:val="24"/>
          <w:szCs w:val="24"/>
          <w:lang w:val="en-US" w:eastAsia="zh-CN"/>
        </w:rPr>
      </w:pPr>
      <w:r>
        <w:rPr>
          <w:rFonts w:hint="eastAsia" w:asciiTheme="minorEastAsia" w:hAnsiTheme="minorEastAsia" w:eastAsiaTheme="minorEastAsia" w:cstheme="minorEastAsia"/>
          <w:color w:val="auto"/>
          <w:sz w:val="21"/>
          <w:szCs w:val="21"/>
          <w:highlight w:val="none"/>
          <w:u w:val="none"/>
          <w:lang w:val="en-US" w:eastAsia="zh-CN"/>
        </w:rPr>
        <w:t>说明：上述含包装、保险、运输、交货（看装卸费、搬运费）、售后、税费等费用。结算方式为货到验收合格并收到发票后付款。</w:t>
      </w:r>
    </w:p>
    <w:p w14:paraId="72933D8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一、项目概况及采购内容：</w:t>
      </w:r>
    </w:p>
    <w:p w14:paraId="41F845AE">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b w:val="0"/>
          <w:bCs w:val="0"/>
          <w:sz w:val="24"/>
          <w:szCs w:val="24"/>
          <w:lang w:val="en-US" w:eastAsia="zh-CN"/>
        </w:rPr>
        <w:t>琼海供电局生产调度大楼地基鉴定项目位于海南省琼海市，地上约为13层，宗地面积:4211.25㎡，建筑面积约为9017.81m²。</w:t>
      </w:r>
      <w:bookmarkStart w:id="1" w:name="_GoBack"/>
      <w:bookmarkEnd w:id="1"/>
      <w:r>
        <w:rPr>
          <w:rFonts w:hint="eastAsia"/>
          <w:b w:val="0"/>
          <w:bCs w:val="0"/>
          <w:sz w:val="24"/>
          <w:szCs w:val="24"/>
          <w:lang w:val="en-US" w:eastAsia="zh-CN"/>
        </w:rPr>
        <w:t>由于建筑物底部出现开裂等现象需对建筑物进行倾斜测量及建筑物沉降监测。</w:t>
      </w:r>
    </w:p>
    <w:p w14:paraId="463A0DD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二、资质要求：</w:t>
      </w:r>
    </w:p>
    <w:p w14:paraId="21C8A73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0" w:firstLineChars="200"/>
        <w:jc w:val="left"/>
        <w:textAlignment w:val="auto"/>
        <w:outlineLvl w:val="9"/>
        <w:rPr>
          <w:rFonts w:hint="default" w:asciiTheme="minorEastAsia" w:hAnsiTheme="minorEastAsia" w:eastAsiaTheme="minorEastAsia" w:cstheme="minorEastAsia"/>
          <w:b w:val="0"/>
          <w:bCs w:val="0"/>
          <w:i w:val="0"/>
          <w:iCs w:val="0"/>
          <w:color w:val="auto"/>
          <w:sz w:val="21"/>
          <w:szCs w:val="21"/>
          <w:highlight w:val="none"/>
          <w:lang w:val="en-US" w:eastAsia="zh-CN"/>
        </w:rPr>
      </w:pPr>
      <w:r>
        <w:rPr>
          <w:rFonts w:hint="eastAsia" w:asciiTheme="minorEastAsia" w:hAnsiTheme="minorEastAsia" w:eastAsiaTheme="minorEastAsia" w:cstheme="minorEastAsia"/>
          <w:b w:val="0"/>
          <w:bCs w:val="0"/>
          <w:i w:val="0"/>
          <w:iCs w:val="0"/>
          <w:color w:val="auto"/>
          <w:sz w:val="21"/>
          <w:szCs w:val="21"/>
          <w:highlight w:val="none"/>
          <w:lang w:val="en-US" w:eastAsia="zh-CN"/>
        </w:rPr>
        <w:t>相关鉴定资质、营业执照、法人身份证。</w:t>
      </w:r>
    </w:p>
    <w:p w14:paraId="1DC383E6">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三、相关技术要求：</w:t>
      </w:r>
    </w:p>
    <w:p w14:paraId="4C7D5D0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80" w:firstLineChars="200"/>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b w:val="0"/>
          <w:bCs w:val="0"/>
          <w:sz w:val="24"/>
          <w:szCs w:val="24"/>
          <w:lang w:val="en-US" w:eastAsia="zh-CN"/>
        </w:rPr>
        <w:t>对其建筑物的稳定性、安全性做出判断，在施工和运营期间都必须对整个建筑物进行倾斜测量及沉降监测。</w:t>
      </w:r>
    </w:p>
    <w:p w14:paraId="2C6E1E9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eastAsia"/>
          <w:b/>
          <w:bCs/>
          <w:sz w:val="28"/>
          <w:szCs w:val="28"/>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四、服务相关要求：</w:t>
      </w:r>
    </w:p>
    <w:p w14:paraId="34F83885">
      <w:pPr>
        <w:pStyle w:val="2"/>
        <w:numPr>
          <w:ilvl w:val="0"/>
          <w:numId w:val="0"/>
        </w:numPr>
        <w:spacing w:line="360" w:lineRule="auto"/>
        <w:ind w:leftChars="0"/>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b w:val="0"/>
          <w:bCs w:val="0"/>
          <w:sz w:val="24"/>
          <w:szCs w:val="24"/>
          <w:lang w:val="en-US" w:eastAsia="zh-CN"/>
        </w:rPr>
        <w:t xml:space="preserve">    根据《建筑变形测量规范》（JGJ8-2016）；</w:t>
      </w:r>
      <w:r>
        <w:rPr>
          <w:rFonts w:hint="default"/>
          <w:b w:val="0"/>
          <w:bCs w:val="0"/>
          <w:sz w:val="24"/>
          <w:szCs w:val="24"/>
          <w:lang w:val="en-US" w:eastAsia="zh-CN"/>
        </w:rPr>
        <w:t>《建筑地基基础设计规范》（GB50007-2011）；</w:t>
      </w:r>
      <w:r>
        <w:rPr>
          <w:rFonts w:hint="eastAsia"/>
          <w:b w:val="0"/>
          <w:bCs w:val="0"/>
          <w:sz w:val="24"/>
          <w:szCs w:val="24"/>
          <w:lang w:val="en-US" w:eastAsia="zh-CN"/>
        </w:rPr>
        <w:t>《工程测量标准》（GB50026-2020）。提供：</w:t>
      </w:r>
      <w:r>
        <w:rPr>
          <w:rFonts w:hint="eastAsia" w:ascii="Calibri" w:hAnsi="Calibri" w:eastAsia="宋体" w:cs="Times New Roman"/>
          <w:b w:val="0"/>
          <w:bCs w:val="0"/>
          <w:kern w:val="2"/>
          <w:sz w:val="24"/>
          <w:szCs w:val="24"/>
          <w:lang w:val="en-US" w:eastAsia="zh-CN" w:bidi="ar-SA"/>
        </w:rPr>
        <w:t>琼海供电局生产调度大楼地基鉴定目建筑物倾斜测量、沉降监测</w:t>
      </w:r>
      <w:r>
        <w:rPr>
          <w:rFonts w:hint="eastAsia" w:eastAsia="宋体" w:cs="Times New Roman"/>
          <w:b w:val="0"/>
          <w:bCs w:val="0"/>
          <w:kern w:val="2"/>
          <w:sz w:val="24"/>
          <w:szCs w:val="24"/>
          <w:lang w:val="en-US" w:eastAsia="zh-CN" w:bidi="ar-SA"/>
        </w:rPr>
        <w:t>施工</w:t>
      </w:r>
      <w:r>
        <w:rPr>
          <w:rFonts w:hint="eastAsia" w:ascii="Calibri" w:hAnsi="Calibri" w:eastAsia="宋体" w:cs="Times New Roman"/>
          <w:b w:val="0"/>
          <w:bCs w:val="0"/>
          <w:kern w:val="2"/>
          <w:sz w:val="24"/>
          <w:szCs w:val="24"/>
          <w:lang w:val="en-US" w:eastAsia="zh-CN" w:bidi="ar-SA"/>
        </w:rPr>
        <w:t>方案</w:t>
      </w:r>
      <w:r>
        <w:rPr>
          <w:rFonts w:hint="eastAsia" w:eastAsia="宋体" w:cs="Times New Roman"/>
          <w:b w:val="0"/>
          <w:bCs w:val="0"/>
          <w:kern w:val="2"/>
          <w:sz w:val="24"/>
          <w:szCs w:val="24"/>
          <w:lang w:val="en-US" w:eastAsia="zh-CN" w:bidi="ar-SA"/>
        </w:rPr>
        <w:t>。</w:t>
      </w:r>
    </w:p>
    <w:p w14:paraId="43CFBD5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五、交付标准：</w:t>
      </w:r>
    </w:p>
    <w:p w14:paraId="0291C636">
      <w:pPr>
        <w:pStyle w:val="2"/>
        <w:numPr>
          <w:ilvl w:val="0"/>
          <w:numId w:val="0"/>
        </w:numPr>
        <w:spacing w:line="360" w:lineRule="auto"/>
        <w:ind w:leftChars="0"/>
        <w:jc w:val="both"/>
        <w:rPr>
          <w:rFonts w:hint="eastAsia"/>
          <w:b w:val="0"/>
          <w:bCs w:val="0"/>
          <w:sz w:val="24"/>
          <w:szCs w:val="24"/>
          <w:lang w:val="en-US" w:eastAsia="zh-CN"/>
        </w:rPr>
      </w:pPr>
      <w:r>
        <w:rPr>
          <w:rFonts w:hint="eastAsia"/>
          <w:b w:val="0"/>
          <w:bCs w:val="0"/>
          <w:sz w:val="24"/>
          <w:szCs w:val="24"/>
          <w:lang w:val="en-US" w:eastAsia="zh-CN"/>
        </w:rPr>
        <w:t>（1）工程平面位置图及基准点分布图；（2）沉降观测成果表；</w:t>
      </w:r>
    </w:p>
    <w:p w14:paraId="57D6D3CA">
      <w:pPr>
        <w:pStyle w:val="2"/>
        <w:numPr>
          <w:ilvl w:val="0"/>
          <w:numId w:val="0"/>
        </w:numPr>
        <w:spacing w:line="360" w:lineRule="auto"/>
        <w:ind w:leftChars="0"/>
        <w:jc w:val="both"/>
        <w:rPr>
          <w:rFonts w:hint="eastAsia" w:asciiTheme="minorEastAsia" w:hAnsiTheme="minorEastAsia" w:eastAsiaTheme="minorEastAsia" w:cstheme="minorEastAsia"/>
          <w:b w:val="0"/>
          <w:bCs w:val="0"/>
          <w:i w:val="0"/>
          <w:iCs w:val="0"/>
          <w:color w:val="auto"/>
          <w:sz w:val="21"/>
          <w:szCs w:val="21"/>
          <w:highlight w:val="none"/>
          <w:lang w:val="en-US" w:eastAsia="zh-CN"/>
        </w:rPr>
      </w:pPr>
      <w:r>
        <w:rPr>
          <w:rFonts w:hint="eastAsia"/>
          <w:b w:val="0"/>
          <w:bCs w:val="0"/>
          <w:sz w:val="24"/>
          <w:szCs w:val="24"/>
          <w:lang w:val="en-US" w:eastAsia="zh-CN"/>
        </w:rPr>
        <w:t>（3）时间-荷载-沉降量曲线图；（4）沉降观测分析报告。</w:t>
      </w:r>
    </w:p>
    <w:p w14:paraId="672E5563">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leftChars="0" w:firstLine="422" w:firstLineChars="200"/>
        <w:jc w:val="left"/>
        <w:textAlignment w:val="auto"/>
        <w:outlineLvl w:val="9"/>
        <w:rPr>
          <w:rFonts w:hint="default" w:asciiTheme="minorEastAsia" w:hAnsiTheme="minorEastAsia" w:eastAsiaTheme="minorEastAsia" w:cstheme="minorEastAsia"/>
          <w:b/>
          <w:bCs/>
          <w:i w:val="0"/>
          <w:iCs w:val="0"/>
          <w:color w:val="auto"/>
          <w:sz w:val="21"/>
          <w:szCs w:val="21"/>
          <w:highlight w:val="none"/>
          <w:lang w:val="en-US" w:eastAsia="zh-CN"/>
        </w:rPr>
      </w:pPr>
      <w:r>
        <w:rPr>
          <w:rFonts w:hint="eastAsia" w:asciiTheme="minorEastAsia" w:hAnsiTheme="minorEastAsia" w:eastAsiaTheme="minorEastAsia" w:cstheme="minorEastAsia"/>
          <w:b/>
          <w:bCs/>
          <w:i w:val="0"/>
          <w:iCs w:val="0"/>
          <w:color w:val="auto"/>
          <w:sz w:val="21"/>
          <w:szCs w:val="21"/>
          <w:highlight w:val="none"/>
          <w:lang w:val="en-US" w:eastAsia="zh-CN"/>
        </w:rPr>
        <w:t>六、商务及报价要求：</w:t>
      </w:r>
    </w:p>
    <w:p w14:paraId="0C1DCEEB">
      <w:pPr>
        <w:keepNext w:val="0"/>
        <w:keepLines w:val="0"/>
        <w:widowControl/>
        <w:suppressLineNumbers w:val="0"/>
        <w:jc w:val="left"/>
        <w:rPr>
          <w:rFonts w:hint="default"/>
          <w:lang w:val="en-US"/>
        </w:rPr>
      </w:pPr>
      <w:r>
        <w:rPr>
          <w:rFonts w:hint="eastAsia" w:asciiTheme="minorEastAsia" w:hAnsiTheme="minorEastAsia" w:eastAsiaTheme="minorEastAsia" w:cstheme="minorEastAsia"/>
          <w:b w:val="0"/>
          <w:bCs w:val="0"/>
          <w:i w:val="0"/>
          <w:iCs w:val="0"/>
          <w:color w:val="auto"/>
          <w:sz w:val="21"/>
          <w:szCs w:val="21"/>
          <w:highlight w:val="none"/>
          <w:lang w:val="en-US" w:eastAsia="zh-CN"/>
        </w:rPr>
        <w:t>项目预算24000元，综合最优方式竞标，中标方项目竣工后提交相关竣工资料后10日内提供发票付款，最高限价24000元。</w:t>
      </w:r>
    </w:p>
    <w:p w14:paraId="4FD3B65B">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outlineLvl w:val="9"/>
        <w:rPr>
          <w:rFonts w:hint="eastAsia" w:asciiTheme="minorEastAsia" w:hAnsiTheme="minorEastAsia" w:eastAsiaTheme="minorEastAsia" w:cstheme="minorEastAsia"/>
          <w:b w:val="0"/>
          <w:bCs w:val="0"/>
          <w:i w:val="0"/>
          <w:iCs w:val="0"/>
          <w:color w:val="auto"/>
          <w:sz w:val="21"/>
          <w:szCs w:val="21"/>
          <w:highlight w:val="none"/>
          <w:lang w:val="en-US" w:eastAsia="zh-CN"/>
        </w:rPr>
      </w:pPr>
    </w:p>
    <w:p w14:paraId="7CEC4213">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color w:val="auto"/>
          <w:sz w:val="24"/>
          <w:szCs w:val="24"/>
          <w:highlight w:val="none"/>
          <w:lang w:val="en-US" w:eastAsia="zh-CN"/>
        </w:rPr>
      </w:pPr>
      <w:r>
        <w:rPr>
          <w:rFonts w:hint="eastAsia" w:asciiTheme="minorEastAsia" w:hAnsiTheme="minorEastAsia" w:eastAsiaTheme="minorEastAsia" w:cstheme="minorEastAsia"/>
          <w:color w:val="auto"/>
          <w:sz w:val="21"/>
          <w:szCs w:val="21"/>
          <w:highlight w:val="none"/>
          <w:u w:val="none"/>
          <w:lang w:val="en-US" w:eastAsia="zh-CN"/>
        </w:rPr>
        <w:t>注：可根据实际情况修改本模板内容。</w:t>
      </w:r>
    </w:p>
    <w:p w14:paraId="58F0CEF7">
      <w:pPr>
        <w:pStyle w:val="4"/>
        <w:outlineLvl w:val="9"/>
        <w:rPr>
          <w:rFonts w:hint="eastAsia" w:asciiTheme="minorEastAsia" w:hAnsiTheme="minorEastAsia" w:eastAsiaTheme="minorEastAsia" w:cstheme="minorEastAsia"/>
          <w:b w:val="0"/>
          <w:bCs w:val="0"/>
          <w:i/>
          <w:iCs/>
          <w:color w:val="auto"/>
          <w:sz w:val="21"/>
          <w:szCs w:val="21"/>
          <w:highlight w:val="none"/>
          <w:lang w:val="en-US" w:eastAsia="zh-CN"/>
        </w:rPr>
      </w:pPr>
    </w:p>
    <w:p w14:paraId="2D04ACDC"/>
    <w:p w14:paraId="0B682D96"/>
    <w:sectPr>
      <w:headerReference r:id="rId3" w:type="default"/>
      <w:footerReference r:id="rId4" w:type="default"/>
      <w:pgSz w:w="11906" w:h="16838"/>
      <w:pgMar w:top="1440" w:right="1800" w:bottom="1440" w:left="1800" w:header="851" w:footer="992" w:gutter="0"/>
      <w:pgNumType w:fmt="decimal" w:start="12"/>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04669">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9B3501">
                          <w:pPr>
                            <w:pStyle w:val="6"/>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29B3501">
                    <w:pPr>
                      <w:pStyle w:val="6"/>
                    </w:pPr>
                    <w:r>
                      <w:fldChar w:fldCharType="begin"/>
                    </w:r>
                    <w:r>
                      <w:instrText xml:space="preserve"> PAGE  \* MERGEFORMAT </w:instrText>
                    </w:r>
                    <w:r>
                      <w:fldChar w:fldCharType="separate"/>
                    </w:r>
                    <w:r>
                      <w:t>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209A9">
    <w:pPr>
      <w:pBdr>
        <w:bottom w:val="none" w:color="auto" w:sz="0" w:space="0"/>
      </w:pBdr>
      <w:wordWrap w:val="0"/>
      <w:jc w:val="right"/>
      <w:rPr>
        <w:rFonts w:ascii="黑体" w:eastAsia="黑体"/>
        <w:sz w:val="20"/>
      </w:rPr>
    </w:pPr>
    <w:r>
      <w:rPr>
        <w:rFonts w:hint="eastAsia" w:eastAsia="黑体"/>
        <w:sz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140A83"/>
    <w:rsid w:val="1393490E"/>
    <w:rsid w:val="14C85F09"/>
    <w:rsid w:val="2B780CC2"/>
    <w:rsid w:val="34964073"/>
    <w:rsid w:val="4B13642E"/>
    <w:rsid w:val="584C3F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6" w:lineRule="auto"/>
      <w:outlineLvl w:val="0"/>
    </w:pPr>
    <w:rPr>
      <w:rFonts w:ascii="Times New Roman" w:hAnsi="Times New Roman"/>
      <w:b/>
      <w:bCs/>
      <w:kern w:val="44"/>
      <w:sz w:val="44"/>
      <w:szCs w:val="44"/>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unhideWhenUsed/>
    <w:qFormat/>
    <w:uiPriority w:val="0"/>
    <w:pPr>
      <w:spacing w:beforeLines="0" w:afterLines="0"/>
      <w:ind w:firstLine="420"/>
    </w:pPr>
    <w:rPr>
      <w:rFonts w:hint="default"/>
      <w:sz w:val="21"/>
      <w:szCs w:val="20"/>
    </w:rPr>
  </w:style>
  <w:style w:type="paragraph" w:styleId="4">
    <w:name w:val="Body Text"/>
    <w:basedOn w:val="5"/>
    <w:next w:val="5"/>
    <w:unhideWhenUsed/>
    <w:qFormat/>
    <w:uiPriority w:val="99"/>
    <w:rPr>
      <w:rFonts w:eastAsia="仿宋_GB2312"/>
      <w:sz w:val="32"/>
    </w:rPr>
  </w:style>
  <w:style w:type="paragraph" w:styleId="5">
    <w:name w:val="Title"/>
    <w:basedOn w:val="1"/>
    <w:qFormat/>
    <w:uiPriority w:val="1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6">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2026-11-02T03:35:00Z</dcterms:created>
  <dc:creator>赖铭海</dc:creator>
  <cp:lastModifiedBy>00206224_hn</cp:lastModifiedBy>
  <dcterms:modified xsi:type="dcterms:W3CDTF">2026-11-03T07:13:40Z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D7CD982E6EA24032B6B4F1B43FAD04DC_13</vt:lpwstr>
  </property>
</Properties>
</file>