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val="0"/>
          <w:sz w:val="36"/>
          <w:szCs w:val="36"/>
          <w:lang w:val="en-US" w:eastAsia="zh-CN"/>
        </w:rPr>
      </w:pPr>
      <w:bookmarkStart w:id="0" w:name="_Toc501202059"/>
      <w:r>
        <w:rPr>
          <w:rFonts w:hint="eastAsia" w:ascii="黑体" w:hAnsi="黑体" w:eastAsia="黑体" w:cs="黑体"/>
          <w:b w:val="0"/>
          <w:bCs w:val="0"/>
          <w:sz w:val="36"/>
          <w:szCs w:val="36"/>
          <w:lang w:eastAsia="zh-CN"/>
        </w:rPr>
        <w:t>广西博联信息通信技术有限责任公司</w:t>
      </w:r>
      <w:r>
        <w:rPr>
          <w:rFonts w:hint="eastAsia" w:ascii="黑体" w:hAnsi="黑体" w:eastAsia="黑体" w:cs="黑体"/>
          <w:b w:val="0"/>
          <w:bCs w:val="0"/>
          <w:sz w:val="36"/>
          <w:szCs w:val="36"/>
          <w:lang w:val="en-US" w:eastAsia="zh-CN"/>
        </w:rPr>
        <w:t>2026年</w:t>
      </w:r>
      <w:r>
        <w:rPr>
          <w:rFonts w:hint="eastAsia" w:ascii="黑体" w:hAnsi="黑体" w:eastAsia="黑体" w:cs="黑体"/>
          <w:b w:val="0"/>
          <w:bCs w:val="0"/>
          <w:sz w:val="36"/>
          <w:szCs w:val="36"/>
          <w:lang w:eastAsia="zh-CN"/>
        </w:rPr>
        <w:t>大模型浏览器插件业务辅助及安全监督系统数据服务技术支持项目第三方评测零星采购服务</w:t>
      </w:r>
      <w:r>
        <w:rPr>
          <w:rFonts w:hint="eastAsia" w:ascii="黑体" w:hAnsi="黑体" w:eastAsia="黑体" w:cs="黑体"/>
          <w:b w:val="0"/>
          <w:bCs w:val="0"/>
          <w:sz w:val="36"/>
          <w:szCs w:val="36"/>
          <w:lang w:val="en-US" w:eastAsia="zh-CN"/>
        </w:rPr>
        <w:t>要求</w:t>
      </w:r>
    </w:p>
    <w:p>
      <w:pPr>
        <w:pStyle w:val="4"/>
        <w:bidi w:val="0"/>
        <w:rPr>
          <w:rFonts w:hint="eastAsia"/>
          <w:lang w:val="en-US" w:eastAsia="zh-CN"/>
        </w:rPr>
      </w:pPr>
      <w:r>
        <w:rPr>
          <w:rFonts w:hint="eastAsia"/>
          <w:lang w:val="en-US" w:eastAsia="zh-CN"/>
        </w:rPr>
        <w:t>概述</w:t>
      </w:r>
      <w:bookmarkEnd w:id="0"/>
    </w:p>
    <w:p>
      <w:pPr>
        <w:numPr>
          <w:ilvl w:val="0"/>
          <w:numId w:val="4"/>
        </w:numPr>
        <w:adjustRightInd w:val="0"/>
        <w:snapToGrid w:val="0"/>
        <w:spacing w:before="156" w:line="360" w:lineRule="auto"/>
        <w:ind w:left="0" w:leftChars="0"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本服务要求适用于广西博联信息通信技术有限责任公司（以下简称：采购人）</w:t>
      </w:r>
      <w:r>
        <w:rPr>
          <w:rFonts w:hint="eastAsia" w:ascii="宋体" w:hAnsi="宋体" w:cs="宋体"/>
          <w:color w:val="000000" w:themeColor="text1"/>
          <w:sz w:val="24"/>
          <w:szCs w:val="24"/>
          <w:highlight w:val="none"/>
          <w:u w:val="single"/>
          <w:lang w:eastAsia="zh-CN"/>
          <w14:textFill>
            <w14:solidFill>
              <w14:schemeClr w14:val="tx1"/>
            </w14:solidFill>
          </w14:textFill>
        </w:rPr>
        <w:t>广西博联信息通信技术有限责任公司2026年大模型浏览器插件业务辅助及安全监督系统数据服务技术支持项目第三方评测零星采购</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（以下简称：本项目），本服务要求的最终解释权归采购人。</w:t>
      </w:r>
    </w:p>
    <w:p>
      <w:pPr>
        <w:pStyle w:val="16"/>
        <w:numPr>
          <w:ilvl w:val="0"/>
          <w:numId w:val="4"/>
        </w:numPr>
        <w:spacing w:line="360" w:lineRule="auto"/>
        <w:ind w:left="0" w:leftChars="0"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本服务要求提出了本项目需求相应的技术指标要求，可供报价人编写技术响应文件之用。</w:t>
      </w:r>
    </w:p>
    <w:p>
      <w:pPr>
        <w:pStyle w:val="16"/>
        <w:numPr>
          <w:ilvl w:val="0"/>
          <w:numId w:val="4"/>
        </w:numPr>
        <w:spacing w:line="360" w:lineRule="auto"/>
        <w:ind w:left="0" w:leftChars="0"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报价人应保证所提供的所有资料真实、完整、准确无误，否则采购人将有权取消报价人的供货资格，由此产生的一切后果由报价人承担。</w:t>
      </w:r>
    </w:p>
    <w:p>
      <w:pPr>
        <w:pStyle w:val="16"/>
        <w:numPr>
          <w:ilvl w:val="0"/>
          <w:numId w:val="4"/>
        </w:numPr>
        <w:spacing w:line="360" w:lineRule="auto"/>
        <w:ind w:left="0" w:leftChars="0"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报价人应按照本技术规范书的要求提供详细、完整的技术方案。所提供的技术方案应完全满足或高于本技术规范书的要求，对于本技术规范书中的条款，报价人如不能满足要求，或有其它替代方案，或有其它修改建议，应在技术方案以及技术差异表中指出其必须进行修改的理由以及与原要求的差别。</w:t>
      </w:r>
    </w:p>
    <w:p>
      <w:pPr>
        <w:pStyle w:val="16"/>
        <w:numPr>
          <w:ilvl w:val="0"/>
          <w:numId w:val="4"/>
        </w:numPr>
        <w:spacing w:line="360" w:lineRule="auto"/>
        <w:ind w:left="0" w:leftChars="0"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采购人在任何时候保留和拥有对本技术规范书的解释权。</w:t>
      </w:r>
    </w:p>
    <w:p>
      <w:pPr>
        <w:pStyle w:val="16"/>
        <w:numPr>
          <w:ilvl w:val="0"/>
          <w:numId w:val="4"/>
        </w:numPr>
        <w:spacing w:line="360" w:lineRule="auto"/>
        <w:ind w:left="0" w:leftChars="0"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报价人未经采购人同意，不得以任何形式向第三方公开本技术规范书。</w:t>
      </w:r>
    </w:p>
    <w:p>
      <w:pPr>
        <w:pStyle w:val="16"/>
        <w:numPr>
          <w:ilvl w:val="0"/>
          <w:numId w:val="4"/>
        </w:numPr>
        <w:spacing w:line="360" w:lineRule="auto"/>
        <w:ind w:left="0" w:leftChars="0"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本项目不得转让，未经采购人书面同意不可分包。</w:t>
      </w:r>
    </w:p>
    <w:p>
      <w:pPr>
        <w:pStyle w:val="16"/>
        <w:numPr>
          <w:ilvl w:val="0"/>
          <w:numId w:val="4"/>
        </w:numPr>
        <w:spacing w:line="360" w:lineRule="auto"/>
        <w:ind w:left="0" w:leftChars="0"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本服务要求中带“★”符号为必要事项要求。报价人要特别加以注意，必须完全满足这些要求。</w:t>
      </w:r>
    </w:p>
    <w:p>
      <w:pPr>
        <w:pStyle w:val="16"/>
        <w:widowControl w:val="0"/>
        <w:numPr>
          <w:ilvl w:val="0"/>
          <w:numId w:val="0"/>
        </w:numPr>
        <w:spacing w:line="360" w:lineRule="auto"/>
        <w:jc w:val="both"/>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pPr>
        <w:pStyle w:val="4"/>
        <w:bidi w:val="0"/>
        <w:rPr>
          <w:rFonts w:hint="eastAsia"/>
          <w:lang w:val="en-US" w:eastAsia="zh-CN"/>
        </w:rPr>
      </w:pPr>
      <w:bookmarkStart w:id="1" w:name="_Toc501202060"/>
      <w:r>
        <w:rPr>
          <w:rFonts w:hint="eastAsia"/>
          <w:lang w:val="en-US" w:eastAsia="zh-CN"/>
        </w:rPr>
        <w:t>定义</w:t>
      </w:r>
      <w:bookmarkEnd w:id="1"/>
    </w:p>
    <w:p>
      <w:pPr>
        <w:pStyle w:val="16"/>
        <w:spacing w:line="36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rPr>
        <w:tab/>
      </w:r>
      <w:r>
        <w:rPr>
          <w:rFonts w:hint="eastAsia" w:ascii="宋体" w:hAnsi="宋体" w:eastAsia="宋体" w:cs="宋体"/>
          <w:sz w:val="24"/>
          <w:szCs w:val="24"/>
          <w:lang w:eastAsia="zh-CN"/>
        </w:rPr>
        <w:t>采购人</w:t>
      </w:r>
      <w:r>
        <w:rPr>
          <w:rFonts w:hint="eastAsia" w:ascii="宋体" w:hAnsi="宋体" w:eastAsia="宋体" w:cs="宋体"/>
          <w:sz w:val="24"/>
          <w:szCs w:val="24"/>
        </w:rPr>
        <w:t>：广</w:t>
      </w:r>
      <w:r>
        <w:rPr>
          <w:rFonts w:hint="eastAsia" w:ascii="宋体" w:hAnsi="宋体" w:eastAsia="宋体" w:cs="宋体"/>
          <w:sz w:val="24"/>
          <w:szCs w:val="24"/>
          <w:lang w:val="en-US" w:eastAsia="zh-CN"/>
        </w:rPr>
        <w:tab/>
      </w:r>
      <w:r>
        <w:rPr>
          <w:rFonts w:hint="eastAsia" w:ascii="宋体" w:hAnsi="宋体" w:eastAsia="宋体" w:cs="宋体"/>
          <w:sz w:val="24"/>
          <w:szCs w:val="24"/>
        </w:rPr>
        <w:t>西博联信息通信技术有限责任公司</w:t>
      </w:r>
    </w:p>
    <w:p>
      <w:pPr>
        <w:pStyle w:val="1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lang w:val="en-US" w:eastAsia="zh-CN"/>
        </w:rPr>
        <w:t>报价人</w:t>
      </w:r>
      <w:r>
        <w:rPr>
          <w:rFonts w:hint="eastAsia" w:ascii="宋体" w:hAnsi="宋体" w:eastAsia="宋体" w:cs="宋体"/>
          <w:sz w:val="24"/>
          <w:szCs w:val="24"/>
        </w:rPr>
        <w:t>：</w:t>
      </w:r>
      <w:r>
        <w:rPr>
          <w:rFonts w:hint="eastAsia" w:ascii="宋体" w:hAnsi="宋体" w:eastAsia="宋体" w:cs="宋体"/>
          <w:sz w:val="24"/>
          <w:szCs w:val="24"/>
          <w:lang w:val="en-US" w:eastAsia="zh-CN"/>
        </w:rPr>
        <w:t>本项目服务提供单位</w:t>
      </w:r>
      <w:bookmarkStart w:id="2" w:name="_Toc501202061"/>
    </w:p>
    <w:p>
      <w:pPr>
        <w:pStyle w:val="16"/>
        <w:spacing w:line="360" w:lineRule="auto"/>
        <w:rPr>
          <w:rFonts w:hint="eastAsia" w:ascii="宋体" w:hAnsi="宋体" w:eastAsia="宋体" w:cs="宋体"/>
          <w:sz w:val="24"/>
          <w:szCs w:val="24"/>
          <w:lang w:val="en-US" w:eastAsia="zh-CN"/>
        </w:rPr>
      </w:pPr>
    </w:p>
    <w:p>
      <w:pPr>
        <w:pStyle w:val="4"/>
        <w:bidi w:val="0"/>
        <w:rPr>
          <w:rFonts w:hint="eastAsia"/>
          <w:lang w:val="en-US" w:eastAsia="zh-CN"/>
        </w:rPr>
      </w:pPr>
      <w:r>
        <w:rPr>
          <w:rFonts w:hint="eastAsia"/>
          <w:lang w:val="en-US" w:eastAsia="zh-CN"/>
        </w:rPr>
        <w:t>采购范围</w:t>
      </w:r>
      <w:bookmarkEnd w:id="2"/>
      <w:r>
        <w:rPr>
          <w:rFonts w:hint="eastAsia"/>
          <w:lang w:val="en-US" w:eastAsia="zh-CN"/>
        </w:rPr>
        <w:t>和内容</w:t>
      </w:r>
    </w:p>
    <w:p>
      <w:pPr>
        <w:pStyle w:val="5"/>
        <w:bidi w:val="0"/>
        <w:rPr>
          <w:rFonts w:hint="eastAsia"/>
          <w:lang w:val="en-US" w:eastAsia="zh-CN"/>
        </w:rPr>
      </w:pPr>
      <w:bookmarkStart w:id="3" w:name="_Toc501202062"/>
      <w:r>
        <w:rPr>
          <w:rFonts w:hint="eastAsia"/>
          <w:lang w:val="en-US" w:eastAsia="zh-CN"/>
        </w:rPr>
        <w:t>本项目采购范围和内容如下：</w:t>
      </w:r>
    </w:p>
    <w:tbl>
      <w:tblPr>
        <w:tblStyle w:val="12"/>
        <w:tblW w:w="45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3435"/>
        <w:gridCol w:w="35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507" w:type="pct"/>
            <w:tcBorders>
              <w:top w:val="single" w:color="auto" w:sz="4" w:space="0"/>
              <w:left w:val="single" w:color="auto" w:sz="4" w:space="0"/>
              <w:bottom w:val="single" w:color="auto" w:sz="4" w:space="0"/>
              <w:right w:val="single" w:color="auto" w:sz="4" w:space="0"/>
            </w:tcBorders>
            <w:vAlign w:val="center"/>
          </w:tcPr>
          <w:p>
            <w:pPr>
              <w:spacing w:line="240" w:lineRule="auto"/>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序号</w:t>
            </w:r>
          </w:p>
        </w:tc>
        <w:tc>
          <w:tcPr>
            <w:tcW w:w="2205" w:type="pct"/>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采购项</w:t>
            </w:r>
          </w:p>
        </w:tc>
        <w:tc>
          <w:tcPr>
            <w:tcW w:w="2286" w:type="pct"/>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jc w:val="center"/>
        </w:trPr>
        <w:tc>
          <w:tcPr>
            <w:tcW w:w="50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p>
        </w:tc>
        <w:tc>
          <w:tcPr>
            <w:tcW w:w="2205" w:type="pct"/>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大模型浏览器插件业务辅助及安全监督系统数据服务技术支持项目第三方评测零星采购</w:t>
            </w:r>
          </w:p>
        </w:tc>
        <w:tc>
          <w:tcPr>
            <w:tcW w:w="2286" w:type="pct"/>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开展</w:t>
            </w:r>
            <w:r>
              <w:rPr>
                <w:rFonts w:hint="eastAsia" w:ascii="宋体" w:hAnsi="宋体" w:cs="宋体"/>
                <w:color w:val="000000" w:themeColor="text1"/>
                <w:sz w:val="24"/>
                <w:szCs w:val="24"/>
                <w:highlight w:val="none"/>
                <w:lang w:val="en-US" w:eastAsia="zh-CN"/>
                <w14:textFill>
                  <w14:solidFill>
                    <w14:schemeClr w14:val="tx1"/>
                  </w14:solidFill>
                </w14:textFill>
              </w:rPr>
              <w:t>大模型浏览器插件业务辅助</w:t>
            </w:r>
            <w:r>
              <w:rPr>
                <w:rFonts w:hint="eastAsia" w:ascii="宋体" w:hAnsi="宋体" w:eastAsia="宋体" w:cs="宋体"/>
                <w:color w:val="000000" w:themeColor="text1"/>
                <w:sz w:val="24"/>
                <w:szCs w:val="24"/>
                <w:highlight w:val="none"/>
                <w:lang w:val="en-US" w:eastAsia="zh-CN"/>
                <w14:textFill>
                  <w14:solidFill>
                    <w14:schemeClr w14:val="tx1"/>
                  </w14:solidFill>
                </w14:textFill>
              </w:rPr>
              <w:t>软件</w:t>
            </w:r>
            <w:r>
              <w:rPr>
                <w:rFonts w:hint="eastAsia" w:ascii="宋体" w:hAnsi="宋体" w:cs="宋体"/>
                <w:color w:val="000000" w:themeColor="text1"/>
                <w:sz w:val="24"/>
                <w:szCs w:val="24"/>
                <w:highlight w:val="none"/>
                <w:lang w:val="en-US" w:eastAsia="zh-CN"/>
                <w14:textFill>
                  <w14:solidFill>
                    <w14:schemeClr w14:val="tx1"/>
                  </w14:solidFill>
                </w14:textFill>
              </w:rPr>
              <w:t>功能</w:t>
            </w:r>
            <w:r>
              <w:rPr>
                <w:rFonts w:hint="eastAsia" w:ascii="宋体" w:hAnsi="宋体" w:eastAsia="宋体" w:cs="宋体"/>
                <w:color w:val="000000" w:themeColor="text1"/>
                <w:sz w:val="24"/>
                <w:szCs w:val="24"/>
                <w:highlight w:val="none"/>
                <w:lang w:val="en-US" w:eastAsia="zh-CN"/>
                <w14:textFill>
                  <w14:solidFill>
                    <w14:schemeClr w14:val="tx1"/>
                  </w14:solidFill>
                </w14:textFill>
              </w:rPr>
              <w:t>测试、性能测试、入网安全测评；</w:t>
            </w:r>
          </w:p>
          <w:p>
            <w:pPr>
              <w:spacing w:line="240" w:lineRule="auto"/>
              <w:jc w:val="left"/>
              <w:rPr>
                <w:rFonts w:hint="default"/>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开展</w:t>
            </w:r>
            <w:r>
              <w:rPr>
                <w:rFonts w:hint="eastAsia" w:ascii="宋体" w:hAnsi="宋体" w:cs="宋体"/>
                <w:color w:val="000000" w:themeColor="text1"/>
                <w:sz w:val="24"/>
                <w:szCs w:val="24"/>
                <w:highlight w:val="none"/>
                <w:lang w:val="en-US" w:eastAsia="zh-CN"/>
                <w14:textFill>
                  <w14:solidFill>
                    <w14:schemeClr w14:val="tx1"/>
                  </w14:solidFill>
                </w14:textFill>
              </w:rPr>
              <w:t>安全监督系统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软件</w:t>
            </w:r>
            <w:r>
              <w:rPr>
                <w:rFonts w:hint="eastAsia" w:ascii="宋体" w:hAnsi="宋体" w:cs="宋体"/>
                <w:color w:val="000000" w:themeColor="text1"/>
                <w:sz w:val="24"/>
                <w:szCs w:val="24"/>
                <w:highlight w:val="none"/>
                <w:lang w:val="en-US" w:eastAsia="zh-CN"/>
                <w14:textFill>
                  <w14:solidFill>
                    <w14:schemeClr w14:val="tx1"/>
                  </w14:solidFill>
                </w14:textFill>
              </w:rPr>
              <w:t>功能</w:t>
            </w:r>
            <w:r>
              <w:rPr>
                <w:rFonts w:hint="eastAsia" w:ascii="宋体" w:hAnsi="宋体" w:eastAsia="宋体" w:cs="宋体"/>
                <w:color w:val="000000" w:themeColor="text1"/>
                <w:sz w:val="24"/>
                <w:szCs w:val="24"/>
                <w:highlight w:val="none"/>
                <w:lang w:val="en-US" w:eastAsia="zh-CN"/>
                <w14:textFill>
                  <w14:solidFill>
                    <w14:schemeClr w14:val="tx1"/>
                  </w14:solidFill>
                </w14:textFill>
              </w:rPr>
              <w:t>测试、性能测试、入网安全测评</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kern w:val="0"/>
                <w:sz w:val="24"/>
                <w:szCs w:val="24"/>
                <w:lang w:val="en-US" w:eastAsia="zh-CN" w:bidi="ar"/>
              </w:rPr>
              <w:t>安全众测</w:t>
            </w:r>
            <w:r>
              <w:rPr>
                <w:rFonts w:hint="eastAsia" w:ascii="宋体" w:hAnsi="宋体" w:cs="宋体"/>
                <w:b w:val="0"/>
                <w:bCs w:val="0"/>
                <w:color w:val="000000"/>
                <w:kern w:val="0"/>
                <w:sz w:val="24"/>
                <w:szCs w:val="24"/>
                <w:lang w:val="en-US" w:eastAsia="zh-CN" w:bidi="ar"/>
              </w:rPr>
              <w:t>、</w:t>
            </w:r>
            <w:r>
              <w:rPr>
                <w:rFonts w:hint="eastAsia" w:ascii="宋体" w:hAnsi="宋体" w:eastAsia="宋体" w:cs="宋体"/>
                <w:b w:val="0"/>
                <w:bCs w:val="0"/>
                <w:color w:val="000000"/>
                <w:kern w:val="0"/>
                <w:sz w:val="24"/>
                <w:szCs w:val="24"/>
                <w:lang w:val="en-US" w:eastAsia="zh-CN" w:bidi="ar"/>
              </w:rPr>
              <w:t>源代码审计</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tc>
      </w:tr>
    </w:tbl>
    <w:p>
      <w:pPr>
        <w:spacing w:line="360" w:lineRule="auto"/>
        <w:ind w:firstLine="480" w:firstLineChars="20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本项目服务期：合同签订之日起</w:t>
      </w:r>
      <w:r>
        <w:rPr>
          <w:rFonts w:hint="eastAsia" w:ascii="宋体" w:hAnsi="宋体" w:cs="宋体"/>
          <w:color w:val="000000" w:themeColor="text1"/>
          <w:sz w:val="24"/>
          <w:szCs w:val="24"/>
          <w:highlight w:val="none"/>
          <w:lang w:val="en-US" w:eastAsia="zh-CN"/>
          <w14:textFill>
            <w14:solidFill>
              <w14:schemeClr w14:val="tx1"/>
            </w14:solidFill>
          </w14:textFill>
        </w:rPr>
        <w:t>30天</w:t>
      </w:r>
      <w:r>
        <w:rPr>
          <w:rFonts w:hint="eastAsia" w:ascii="宋体" w:hAnsi="宋体" w:eastAsia="宋体" w:cs="宋体"/>
          <w:color w:val="000000" w:themeColor="text1"/>
          <w:sz w:val="24"/>
          <w:szCs w:val="24"/>
          <w:highlight w:val="none"/>
          <w:lang w:val="en-US" w:eastAsia="zh-CN"/>
          <w14:textFill>
            <w14:solidFill>
              <w14:schemeClr w14:val="tx1"/>
            </w14:solidFill>
          </w14:textFill>
        </w:rPr>
        <w:t>内</w:t>
      </w:r>
      <w:r>
        <w:rPr>
          <w:rFonts w:hint="eastAsia" w:ascii="宋体" w:hAnsi="宋体" w:cs="宋体"/>
          <w:color w:val="000000" w:themeColor="text1"/>
          <w:sz w:val="24"/>
          <w:szCs w:val="24"/>
          <w:highlight w:val="none"/>
          <w:lang w:val="en-US" w:eastAsia="zh-CN"/>
          <w14:textFill>
            <w14:solidFill>
              <w14:schemeClr w14:val="tx1"/>
            </w14:solidFill>
          </w14:textFill>
        </w:rPr>
        <w:t>。</w:t>
      </w:r>
    </w:p>
    <w:p>
      <w:pPr>
        <w:pStyle w:val="5"/>
        <w:bidi w:val="0"/>
        <w:rPr>
          <w:rFonts w:hint="eastAsia"/>
          <w:lang w:val="en-US" w:eastAsia="zh-CN"/>
        </w:rPr>
      </w:pPr>
      <w:r>
        <w:rPr>
          <w:rFonts w:hint="eastAsia"/>
          <w:lang w:val="en-US" w:eastAsia="zh-CN"/>
        </w:rPr>
        <w:t>服务内容</w:t>
      </w:r>
    </w:p>
    <w:p>
      <w:pPr>
        <w:spacing w:line="240" w:lineRule="auto"/>
        <w:ind w:firstLine="480" w:firstLineChars="200"/>
        <w:jc w:val="left"/>
        <w:rPr>
          <w:rFonts w:hint="default"/>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开展</w:t>
      </w:r>
      <w:r>
        <w:rPr>
          <w:rFonts w:hint="eastAsia" w:ascii="宋体" w:hAnsi="宋体" w:cs="宋体"/>
          <w:color w:val="000000" w:themeColor="text1"/>
          <w:sz w:val="24"/>
          <w:szCs w:val="24"/>
          <w:highlight w:val="none"/>
          <w:lang w:val="en-US" w:eastAsia="zh-CN"/>
          <w14:textFill>
            <w14:solidFill>
              <w14:schemeClr w14:val="tx1"/>
            </w14:solidFill>
          </w14:textFill>
        </w:rPr>
        <w:t>大模型浏览器插件业务辅助</w:t>
      </w:r>
      <w:r>
        <w:rPr>
          <w:rFonts w:hint="eastAsia" w:ascii="宋体" w:hAnsi="宋体" w:eastAsia="宋体" w:cs="宋体"/>
          <w:color w:val="000000" w:themeColor="text1"/>
          <w:sz w:val="24"/>
          <w:szCs w:val="24"/>
          <w:highlight w:val="none"/>
          <w:lang w:val="en-US" w:eastAsia="zh-CN"/>
          <w14:textFill>
            <w14:solidFill>
              <w14:schemeClr w14:val="tx1"/>
            </w14:solidFill>
          </w14:textFill>
        </w:rPr>
        <w:t>软件</w:t>
      </w:r>
      <w:r>
        <w:rPr>
          <w:rFonts w:hint="eastAsia" w:ascii="宋体" w:hAnsi="宋体" w:cs="宋体"/>
          <w:color w:val="000000" w:themeColor="text1"/>
          <w:sz w:val="24"/>
          <w:szCs w:val="24"/>
          <w:highlight w:val="none"/>
          <w:lang w:val="en-US" w:eastAsia="zh-CN"/>
          <w14:textFill>
            <w14:solidFill>
              <w14:schemeClr w14:val="tx1"/>
            </w14:solidFill>
          </w14:textFill>
        </w:rPr>
        <w:t>功能</w:t>
      </w:r>
      <w:r>
        <w:rPr>
          <w:rFonts w:hint="eastAsia" w:ascii="宋体" w:hAnsi="宋体" w:eastAsia="宋体" w:cs="宋体"/>
          <w:color w:val="000000" w:themeColor="text1"/>
          <w:sz w:val="24"/>
          <w:szCs w:val="24"/>
          <w:highlight w:val="none"/>
          <w:lang w:val="en-US" w:eastAsia="zh-CN"/>
          <w14:textFill>
            <w14:solidFill>
              <w14:schemeClr w14:val="tx1"/>
            </w14:solidFill>
          </w14:textFill>
        </w:rPr>
        <w:t>测试、性能测试、入网安全测评</w:t>
      </w:r>
      <w:r>
        <w:rPr>
          <w:rFonts w:hint="eastAsia" w:ascii="宋体" w:hAnsi="宋体" w:cs="宋体"/>
          <w:color w:val="000000" w:themeColor="text1"/>
          <w:sz w:val="24"/>
          <w:szCs w:val="24"/>
          <w:highlight w:val="none"/>
          <w:lang w:val="en-US" w:eastAsia="zh-CN"/>
          <w14:textFill>
            <w14:solidFill>
              <w14:schemeClr w14:val="tx1"/>
            </w14:solidFill>
          </w14:textFill>
        </w:rPr>
        <w:t>。</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80" w:firstLineChars="200"/>
        <w:textAlignment w:val="auto"/>
        <w:rPr>
          <w:rFonts w:hint="eastAsia"/>
          <w:sz w:val="24"/>
          <w:szCs w:val="24"/>
          <w:lang w:val="en-US" w:eastAsia="zh-CN"/>
        </w:rPr>
      </w:pPr>
      <w:r>
        <w:rPr>
          <w:rFonts w:hint="eastAsia"/>
          <w:sz w:val="24"/>
          <w:szCs w:val="24"/>
          <w:lang w:val="en-US" w:eastAsia="zh-CN"/>
        </w:rPr>
        <w:t>安排具备软件测试经验的工程师，与采购方需求人员进行沟通，围绕</w:t>
      </w:r>
      <w:r>
        <w:rPr>
          <w:rFonts w:hint="eastAsia" w:ascii="宋体" w:hAnsi="宋体" w:cs="宋体"/>
          <w:color w:val="000000" w:themeColor="text1"/>
          <w:sz w:val="24"/>
          <w:szCs w:val="24"/>
          <w:highlight w:val="none"/>
          <w:lang w:val="en-US" w:eastAsia="zh-CN"/>
          <w14:textFill>
            <w14:solidFill>
              <w14:schemeClr w14:val="tx1"/>
            </w14:solidFill>
          </w14:textFill>
        </w:rPr>
        <w:t>大模型浏览器插件业务辅助</w:t>
      </w:r>
      <w:r>
        <w:rPr>
          <w:rFonts w:hint="eastAsia" w:ascii="宋体" w:hAnsi="宋体" w:eastAsia="宋体" w:cs="宋体"/>
          <w:color w:val="000000" w:themeColor="text1"/>
          <w:sz w:val="24"/>
          <w:szCs w:val="24"/>
          <w:highlight w:val="none"/>
          <w:lang w:val="en-US" w:eastAsia="zh-CN"/>
          <w14:textFill>
            <w14:solidFill>
              <w14:schemeClr w14:val="tx1"/>
            </w14:solidFill>
          </w14:textFill>
        </w:rPr>
        <w:t>软件</w:t>
      </w:r>
      <w:r>
        <w:rPr>
          <w:rFonts w:hint="eastAsia" w:ascii="宋体" w:hAnsi="宋体" w:cs="宋体"/>
          <w:color w:val="000000" w:themeColor="text1"/>
          <w:sz w:val="24"/>
          <w:szCs w:val="24"/>
          <w:highlight w:val="none"/>
          <w:lang w:val="en-US" w:eastAsia="zh-CN"/>
          <w14:textFill>
            <w14:solidFill>
              <w14:schemeClr w14:val="tx1"/>
            </w14:solidFill>
          </w14:textFill>
        </w:rPr>
        <w:t>相关功能</w:t>
      </w:r>
      <w:r>
        <w:rPr>
          <w:rFonts w:hint="eastAsia"/>
          <w:sz w:val="24"/>
          <w:szCs w:val="24"/>
          <w:lang w:val="en-US" w:eastAsia="zh-CN"/>
        </w:rPr>
        <w:t>需求，开展</w:t>
      </w:r>
      <w:r>
        <w:rPr>
          <w:rFonts w:hint="eastAsia" w:ascii="宋体" w:hAnsi="宋体" w:cs="宋体"/>
          <w:color w:val="000000" w:themeColor="text1"/>
          <w:sz w:val="24"/>
          <w:szCs w:val="24"/>
          <w:highlight w:val="none"/>
          <w:lang w:val="en-US" w:eastAsia="zh-CN"/>
          <w14:textFill>
            <w14:solidFill>
              <w14:schemeClr w14:val="tx1"/>
            </w14:solidFill>
          </w14:textFill>
        </w:rPr>
        <w:t>功能</w:t>
      </w:r>
      <w:r>
        <w:rPr>
          <w:rFonts w:hint="eastAsia" w:ascii="宋体" w:hAnsi="宋体" w:eastAsia="宋体" w:cs="宋体"/>
          <w:color w:val="000000" w:themeColor="text1"/>
          <w:sz w:val="24"/>
          <w:szCs w:val="24"/>
          <w:highlight w:val="none"/>
          <w:lang w:val="en-US" w:eastAsia="zh-CN"/>
          <w14:textFill>
            <w14:solidFill>
              <w14:schemeClr w14:val="tx1"/>
            </w14:solidFill>
          </w14:textFill>
        </w:rPr>
        <w:t>测试、性能测试、入网安全测评</w:t>
      </w:r>
      <w:r>
        <w:rPr>
          <w:rFonts w:hint="eastAsia" w:ascii="宋体" w:hAnsi="宋体" w:cs="宋体"/>
          <w:color w:val="000000" w:themeColor="text1"/>
          <w:sz w:val="24"/>
          <w:szCs w:val="24"/>
          <w:highlight w:val="none"/>
          <w:lang w:val="en-US" w:eastAsia="zh-CN"/>
          <w14:textFill>
            <w14:solidFill>
              <w14:schemeClr w14:val="tx1"/>
            </w14:solidFill>
          </w14:textFill>
        </w:rPr>
        <w:t>3项</w:t>
      </w:r>
      <w:r>
        <w:rPr>
          <w:rFonts w:hint="eastAsia"/>
          <w:sz w:val="24"/>
          <w:szCs w:val="24"/>
          <w:lang w:val="en-US" w:eastAsia="zh-CN"/>
        </w:rPr>
        <w:t>测试工作，并出具《入网安全评估报告》、《第三方安全测试合格报告》。</w:t>
      </w:r>
    </w:p>
    <w:p>
      <w:pPr>
        <w:spacing w:line="24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8" w:name="_GoBack"/>
      <w:bookmarkEnd w:id="8"/>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开展安全监督系统软件功能测试、性能测试、入网安全测评、安全众测、源代码审计。</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80" w:firstLineChars="200"/>
        <w:textAlignment w:val="auto"/>
        <w:rPr>
          <w:rFonts w:hint="default"/>
          <w:lang w:val="en-US" w:eastAsia="zh-CN"/>
        </w:rPr>
      </w:pPr>
      <w:r>
        <w:rPr>
          <w:rFonts w:hint="eastAsia"/>
          <w:sz w:val="24"/>
          <w:szCs w:val="24"/>
          <w:lang w:val="en-US" w:eastAsia="zh-CN"/>
        </w:rPr>
        <w:t>安排具备软件测试经验的工程师，与采购方需求人员进行沟通，围绕</w:t>
      </w:r>
      <w:r>
        <w:rPr>
          <w:rFonts w:hint="eastAsia" w:ascii="宋体" w:hAnsi="宋体" w:cs="宋体"/>
          <w:color w:val="000000" w:themeColor="text1"/>
          <w:sz w:val="24"/>
          <w:szCs w:val="24"/>
          <w:highlight w:val="none"/>
          <w:lang w:val="en-US" w:eastAsia="zh-CN"/>
          <w14:textFill>
            <w14:solidFill>
              <w14:schemeClr w14:val="tx1"/>
            </w14:solidFill>
          </w14:textFill>
        </w:rPr>
        <w:t>安全监督系统软件相关功能</w:t>
      </w:r>
      <w:r>
        <w:rPr>
          <w:rFonts w:hint="eastAsia"/>
          <w:sz w:val="24"/>
          <w:szCs w:val="24"/>
          <w:lang w:val="en-US" w:eastAsia="zh-CN"/>
        </w:rPr>
        <w:t>需求，开展</w:t>
      </w:r>
      <w:r>
        <w:rPr>
          <w:rFonts w:hint="eastAsia" w:ascii="宋体" w:hAnsi="宋体" w:cs="宋体"/>
          <w:color w:val="000000" w:themeColor="text1"/>
          <w:sz w:val="24"/>
          <w:szCs w:val="24"/>
          <w:highlight w:val="none"/>
          <w:lang w:val="en-US" w:eastAsia="zh-CN"/>
          <w14:textFill>
            <w14:solidFill>
              <w14:schemeClr w14:val="tx1"/>
            </w14:solidFill>
          </w14:textFill>
        </w:rPr>
        <w:t>功能</w:t>
      </w:r>
      <w:r>
        <w:rPr>
          <w:rFonts w:hint="eastAsia" w:ascii="宋体" w:hAnsi="宋体" w:eastAsia="宋体" w:cs="宋体"/>
          <w:color w:val="000000" w:themeColor="text1"/>
          <w:sz w:val="24"/>
          <w:szCs w:val="24"/>
          <w:highlight w:val="none"/>
          <w:lang w:val="en-US" w:eastAsia="zh-CN"/>
          <w14:textFill>
            <w14:solidFill>
              <w14:schemeClr w14:val="tx1"/>
            </w14:solidFill>
          </w14:textFill>
        </w:rPr>
        <w:t>测试、性能测试、入网安全测评</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kern w:val="0"/>
          <w:sz w:val="24"/>
          <w:szCs w:val="24"/>
          <w:lang w:val="en-US" w:eastAsia="zh-CN" w:bidi="ar"/>
        </w:rPr>
        <w:t>安全众测</w:t>
      </w:r>
      <w:r>
        <w:rPr>
          <w:rFonts w:hint="eastAsia" w:ascii="宋体" w:hAnsi="宋体" w:cs="宋体"/>
          <w:b w:val="0"/>
          <w:bCs w:val="0"/>
          <w:color w:val="000000"/>
          <w:kern w:val="0"/>
          <w:sz w:val="24"/>
          <w:szCs w:val="24"/>
          <w:lang w:val="en-US" w:eastAsia="zh-CN" w:bidi="ar"/>
        </w:rPr>
        <w:t>、</w:t>
      </w:r>
      <w:r>
        <w:rPr>
          <w:rFonts w:hint="eastAsia" w:ascii="宋体" w:hAnsi="宋体" w:eastAsia="宋体" w:cs="宋体"/>
          <w:b w:val="0"/>
          <w:bCs w:val="0"/>
          <w:color w:val="000000"/>
          <w:kern w:val="0"/>
          <w:sz w:val="24"/>
          <w:szCs w:val="24"/>
          <w:lang w:val="en-US" w:eastAsia="zh-CN" w:bidi="ar"/>
        </w:rPr>
        <w:t>源代码审计</w:t>
      </w:r>
      <w:r>
        <w:rPr>
          <w:rFonts w:hint="eastAsia" w:ascii="宋体" w:hAnsi="宋体" w:cs="宋体"/>
          <w:color w:val="000000" w:themeColor="text1"/>
          <w:sz w:val="24"/>
          <w:szCs w:val="24"/>
          <w:highlight w:val="none"/>
          <w:lang w:val="en-US" w:eastAsia="zh-CN"/>
          <w14:textFill>
            <w14:solidFill>
              <w14:schemeClr w14:val="tx1"/>
            </w14:solidFill>
          </w14:textFill>
        </w:rPr>
        <w:t>5项</w:t>
      </w:r>
      <w:r>
        <w:rPr>
          <w:rFonts w:hint="eastAsia"/>
          <w:sz w:val="24"/>
          <w:szCs w:val="24"/>
          <w:lang w:val="en-US" w:eastAsia="zh-CN"/>
        </w:rPr>
        <w:t>测试工作，并出具《入网安全评估报告》、《源代码审计合格报告》、《第三方安全测试合格报告》、《安全众测合格报告》。</w:t>
      </w:r>
    </w:p>
    <w:bookmarkEnd w:id="3"/>
    <w:p>
      <w:pPr>
        <w:pStyle w:val="4"/>
        <w:bidi w:val="0"/>
        <w:rPr>
          <w:rFonts w:hint="eastAsia"/>
          <w:lang w:val="en-US" w:eastAsia="zh-CN"/>
        </w:rPr>
      </w:pPr>
      <w:r>
        <w:rPr>
          <w:rFonts w:hint="eastAsia"/>
          <w:lang w:val="en-US" w:eastAsia="zh-CN"/>
        </w:rPr>
        <w:t>依据标准及规范</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ascii="宋体" w:hAnsi="宋体" w:eastAsia="宋体" w:cs="宋体"/>
          <w:sz w:val="24"/>
          <w:szCs w:val="24"/>
        </w:rPr>
        <w:t>测评过程中报价人应严格依据国家或国际</w:t>
      </w:r>
      <w:r>
        <w:rPr>
          <w:rFonts w:hint="eastAsia" w:ascii="宋体" w:hAnsi="宋体" w:eastAsia="宋体" w:cs="宋体"/>
          <w:sz w:val="24"/>
          <w:szCs w:val="24"/>
          <w:lang w:val="en-US" w:eastAsia="zh-CN"/>
        </w:rPr>
        <w:t>或南方电网企业</w:t>
      </w:r>
      <w:r>
        <w:rPr>
          <w:rFonts w:ascii="宋体" w:hAnsi="宋体" w:eastAsia="宋体" w:cs="宋体"/>
          <w:sz w:val="24"/>
          <w:szCs w:val="24"/>
        </w:rPr>
        <w:t>等有关标准或技术规范书</w:t>
      </w:r>
      <w:r>
        <w:rPr>
          <w:rFonts w:hint="eastAsia" w:ascii="宋体" w:hAnsi="宋体" w:eastAsia="宋体" w:cs="宋体"/>
          <w:color w:val="000000" w:themeColor="text1"/>
          <w:sz w:val="24"/>
          <w:szCs w:val="24"/>
          <w:highlight w:val="none"/>
          <w:lang w:val="en-US" w:eastAsia="zh-CN"/>
          <w14:textFill>
            <w14:solidFill>
              <w14:schemeClr w14:val="tx1"/>
            </w14:solidFill>
          </w14:textFill>
        </w:rPr>
        <w:t>开展测评工作</w:t>
      </w:r>
      <w:r>
        <w:rPr>
          <w:rFonts w:hint="eastAsia" w:ascii="宋体" w:hAnsi="宋体" w:cs="宋体"/>
          <w:color w:val="000000" w:themeColor="text1"/>
          <w:sz w:val="24"/>
          <w:szCs w:val="24"/>
          <w:highlight w:val="none"/>
          <w:lang w:val="en-US" w:eastAsia="zh-CN"/>
          <w14:textFill>
            <w14:solidFill>
              <w14:schemeClr w14:val="tx1"/>
            </w14:solidFill>
          </w14:textFill>
        </w:rPr>
        <w:t>。</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测评过程中报价人应严格做好记录，以确保测评过程的有效性和可靠性。</w:t>
      </w:r>
    </w:p>
    <w:p>
      <w:pPr>
        <w:pStyle w:val="4"/>
        <w:bidi w:val="0"/>
        <w:rPr>
          <w:rFonts w:hint="eastAsia"/>
          <w:lang w:val="en-US" w:eastAsia="zh-CN"/>
        </w:rPr>
      </w:pPr>
      <w:r>
        <w:rPr>
          <w:rFonts w:hint="eastAsia"/>
          <w:lang w:val="en-US" w:eastAsia="zh-CN"/>
        </w:rPr>
        <w:t>业务资质及工具</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应提供报价人具备的相关资质情况。</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★具备CNAS资质，证书有效期覆盖本项目服务期</w:t>
      </w:r>
      <w:r>
        <w:rPr>
          <w:rFonts w:hint="eastAsia" w:ascii="宋体" w:hAnsi="宋体" w:cs="宋体"/>
          <w:color w:val="000000" w:themeColor="text1"/>
          <w:sz w:val="24"/>
          <w:szCs w:val="24"/>
          <w:highlight w:val="none"/>
          <w:lang w:val="en-US" w:eastAsia="zh-CN"/>
          <w14:textFill>
            <w14:solidFill>
              <w14:schemeClr w14:val="tx1"/>
            </w14:solidFill>
          </w14:textFill>
        </w:rPr>
        <w:t>，并提供资质证书复印件</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应说明报价人已购置的实验检测工具及使用情况，特别是具有的商业检测工具等。</w:t>
      </w:r>
    </w:p>
    <w:p>
      <w:pPr>
        <w:pStyle w:val="4"/>
        <w:bidi w:val="0"/>
        <w:rPr>
          <w:rFonts w:hint="eastAsia"/>
          <w:lang w:val="en-US" w:eastAsia="zh-CN"/>
        </w:rPr>
      </w:pPr>
      <w:r>
        <w:rPr>
          <w:rFonts w:hint="eastAsia"/>
          <w:lang w:val="en-US" w:eastAsia="zh-CN"/>
        </w:rPr>
        <w:t>主要技术要求</w:t>
      </w:r>
    </w:p>
    <w:p>
      <w:pPr>
        <w:pStyle w:val="5"/>
        <w:bidi w:val="0"/>
        <w:rPr>
          <w:rFonts w:hint="eastAsia"/>
          <w:lang w:val="en-US" w:eastAsia="zh-CN"/>
        </w:rPr>
      </w:pPr>
      <w:r>
        <w:rPr>
          <w:rFonts w:hint="eastAsia"/>
          <w:lang w:val="en-US" w:eastAsia="zh-CN"/>
        </w:rPr>
        <w:t>测评内容、方式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采用现场测试方式。报价人与采购方共同研究制定本项目的具体实施方案，主要测试工作内容包括但不局限于以下内容：功能测试、性能测试、安全性及入网安全测评</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kern w:val="0"/>
          <w:sz w:val="24"/>
          <w:szCs w:val="24"/>
          <w:lang w:val="en-US" w:eastAsia="zh-CN" w:bidi="ar"/>
        </w:rPr>
        <w:t>安全众测</w:t>
      </w:r>
      <w:r>
        <w:rPr>
          <w:rFonts w:hint="eastAsia" w:ascii="宋体" w:hAnsi="宋体" w:cs="宋体"/>
          <w:b w:val="0"/>
          <w:bCs w:val="0"/>
          <w:color w:val="000000"/>
          <w:kern w:val="0"/>
          <w:sz w:val="24"/>
          <w:szCs w:val="24"/>
          <w:lang w:val="en-US" w:eastAsia="zh-CN" w:bidi="ar"/>
        </w:rPr>
        <w:t>、</w:t>
      </w:r>
      <w:r>
        <w:rPr>
          <w:rFonts w:hint="eastAsia" w:ascii="宋体" w:hAnsi="宋体" w:eastAsia="宋体" w:cs="宋体"/>
          <w:b w:val="0"/>
          <w:bCs w:val="0"/>
          <w:color w:val="000000"/>
          <w:kern w:val="0"/>
          <w:sz w:val="24"/>
          <w:szCs w:val="24"/>
          <w:lang w:val="en-US" w:eastAsia="zh-CN" w:bidi="ar"/>
        </w:rPr>
        <w:t>源代码审计</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功能性测试：根据功能需求分析的结果，对被测产品进行功能性测试，验证产品功能能否正常运行，按采购方要求对配置项及参数进行充分验证，满足用户需求。</w:t>
      </w:r>
    </w:p>
    <w:p>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性能测试：通过分析被测产品的主要功能，结合实际产品的部署架构、业务模型，选取可能存在性能瓶颈的关键功能点作为本次性能测试的性能点进行测试，验证其安全接入模块、响应时间、识别准确率等性能指标是否满足要求。</w:t>
      </w:r>
    </w:p>
    <w:p>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480" w:firstLineChars="200"/>
        <w:textAlignment w:val="auto"/>
        <w:rPr>
          <w:rFonts w:hint="eastAsia"/>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安全性及入网安全测评：根据南方电网发布的网络安全合规库要求及相关安全管理制度要求，对被测系统开展安全测试及评估，测试范围包括测试项目相关的信息系统或功能、软硬件设备。通过渗透测试、漏洞扫描和配置核查等方式，依据《中国南方电网有限责任公司管理信息系统入网安全测评技术规范》对系统数据库、应用系统</w:t>
      </w:r>
      <w:r>
        <w:rPr>
          <w:rFonts w:hint="eastAsia" w:ascii="宋体" w:hAnsi="宋体" w:cs="宋体"/>
          <w:color w:val="000000" w:themeColor="text1"/>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sz w:val="24"/>
          <w:szCs w:val="24"/>
          <w:highlight w:val="none"/>
          <w:lang w:val="en-US" w:eastAsia="zh-CN"/>
          <w14:textFill>
            <w14:solidFill>
              <w14:schemeClr w14:val="tx1"/>
            </w14:solidFill>
          </w14:textFill>
        </w:rPr>
        <w:t>进行安全评测。发现和查找信息系统存在的安全功能缺陷以及系统环境、网络环境配置的不足，保证系统安全达到相关管理要求。</w:t>
      </w:r>
    </w:p>
    <w:p>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ascii="宋体" w:hAnsi="宋体" w:eastAsia="宋体" w:cs="宋体"/>
          <w:sz w:val="24"/>
          <w:szCs w:val="24"/>
        </w:rPr>
        <w:t>安全众测：依托多方安全测试人员从不同攻击视角、业务场景开展分布式协同安全测试，围绕被测系统业务流程、权限控制、接口交互、边界交互等内容进行挖掘，采用非破坏性测试方式，重点发现常规渗透测试容易遗漏的业务逻辑漏洞、隐性权限绕过、越权访问、业务风控缺陷等安全风险；测试过程严格遵循南方电网网络安全管理规定及入网测评相关要求，同步做好测试行为管控、风险隔离，形成众测问题清单并标注风险等级、复现步骤与初步整改建议，支撑采购方开展风险闭环处置</w:t>
      </w:r>
      <w:r>
        <w:rPr>
          <w:rFonts w:hint="eastAsia" w:ascii="宋体" w:hAnsi="宋体" w:eastAsia="宋体" w:cs="宋体"/>
          <w:sz w:val="24"/>
          <w:szCs w:val="24"/>
          <w:lang w:eastAsia="zh-CN"/>
        </w:rPr>
        <w:t>。</w:t>
      </w:r>
    </w:p>
    <w:p>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ascii="宋体" w:hAnsi="宋体" w:eastAsia="宋体" w:cs="宋体"/>
          <w:sz w:val="24"/>
          <w:szCs w:val="24"/>
        </w:rPr>
        <w:t>源代码审计：针对被测系统业务源代码、自研组件代码开展静态代码安全审计，基于南方电网网络安全合规要求、代码安全规范，使用专业审计工具结合人工复核方式，重点核查 SQL 注入、跨站脚本、命令注入、不安全加密、硬编码密钥、不安全权限校验、异常处理缺失、第三方开源组件漏洞等代码层面安全隐患；梳理代码安全缺陷清单，定位缺陷文件、代码行号，分析缺陷产生原因、可利用风险，输出代码整改指引，从开发源头规避安全漏洞，提升系统内生安全能力</w:t>
      </w:r>
      <w:r>
        <w:rPr>
          <w:rFonts w:hint="eastAsia" w:ascii="宋体" w:hAnsi="宋体" w:eastAsia="宋体" w:cs="宋体"/>
          <w:sz w:val="24"/>
          <w:szCs w:val="24"/>
          <w:lang w:eastAsia="zh-CN"/>
        </w:rPr>
        <w:t>。</w:t>
      </w:r>
    </w:p>
    <w:p>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回归测试：采购方根据评审确认的测试问题，对被测产品进行整改，整改完成后，进行自测试验证，确认每一个问题都消除后，将新版本的产品提交报价人。报价人对被测产品的每一个测试问题进行跟踪，对提交的新版本的被测产品开展回归测试，确认首轮测试中发现的问题是否解决，并做好问题跟踪记录</w:t>
      </w:r>
      <w:r>
        <w:rPr>
          <w:rFonts w:hint="eastAsia" w:ascii="宋体" w:hAnsi="宋体" w:eastAsia="宋体" w:cs="宋体"/>
          <w:sz w:val="24"/>
          <w:szCs w:val="24"/>
          <w:lang w:val="en-US" w:eastAsia="zh-CN"/>
        </w:rPr>
        <w:t>。</w:t>
      </w:r>
    </w:p>
    <w:p>
      <w:pPr>
        <w:pStyle w:val="4"/>
        <w:bidi w:val="0"/>
        <w:ind w:left="425" w:hanging="425"/>
        <w:rPr>
          <w:rFonts w:hint="eastAsia" w:eastAsia="宋体" w:cs="Times New Roman"/>
          <w:lang w:val="en-US" w:eastAsia="zh-CN"/>
        </w:rPr>
      </w:pPr>
      <w:r>
        <w:rPr>
          <w:rFonts w:hint="eastAsia" w:eastAsia="宋体" w:cs="Times New Roman"/>
          <w:lang w:val="en-US" w:eastAsia="zh-CN"/>
        </w:rPr>
        <w:t>工程保证</w:t>
      </w:r>
    </w:p>
    <w:p>
      <w:pPr>
        <w:pStyle w:val="5"/>
        <w:bidi w:val="0"/>
        <w:rPr>
          <w:rFonts w:hint="eastAsia"/>
        </w:rPr>
      </w:pPr>
      <w:r>
        <w:rPr>
          <w:rFonts w:hint="eastAsia"/>
        </w:rPr>
        <w:t xml:space="preserve">组织保证 </w:t>
      </w:r>
    </w:p>
    <w:p>
      <w:pPr>
        <w:pStyle w:val="5"/>
        <w:pageBreakBefore w:val="0"/>
        <w:widowControl w:val="0"/>
        <w:numPr>
          <w:ilvl w:val="0"/>
          <w:numId w:val="8"/>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eastAsia="宋体"/>
          <w:b w:val="0"/>
          <w:bCs w:val="0"/>
          <w:sz w:val="24"/>
          <w:szCs w:val="24"/>
          <w:lang w:val="en-US" w:eastAsia="zh-CN"/>
        </w:rPr>
      </w:pPr>
      <w:r>
        <w:rPr>
          <w:rFonts w:hint="eastAsia" w:eastAsia="宋体"/>
          <w:b w:val="0"/>
          <w:bCs w:val="0"/>
          <w:sz w:val="24"/>
          <w:szCs w:val="24"/>
          <w:lang w:val="en-US" w:eastAsia="zh-CN"/>
        </w:rPr>
        <w:t xml:space="preserve">报价人报价时，必须向采购人提供拟派参加本项目的人员名单以及参加人员的资料。 </w:t>
      </w:r>
    </w:p>
    <w:p>
      <w:pPr>
        <w:pStyle w:val="5"/>
        <w:pageBreakBefore w:val="0"/>
        <w:widowControl w:val="0"/>
        <w:numPr>
          <w:ilvl w:val="0"/>
          <w:numId w:val="8"/>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eastAsia="宋体"/>
          <w:b w:val="0"/>
          <w:bCs w:val="0"/>
          <w:sz w:val="24"/>
          <w:szCs w:val="24"/>
          <w:lang w:val="en-US" w:eastAsia="zh-CN"/>
        </w:rPr>
      </w:pPr>
      <w:r>
        <w:rPr>
          <w:rFonts w:hint="eastAsia" w:eastAsia="宋体"/>
          <w:b w:val="0"/>
          <w:bCs w:val="0"/>
          <w:sz w:val="24"/>
          <w:szCs w:val="24"/>
          <w:lang w:val="en-US" w:eastAsia="zh-CN"/>
        </w:rPr>
        <w:t xml:space="preserve">报价人必须向采购人保证工程人员组织的稳定性，在本项目工程结束前，参加本项目的人员变动必须取得采购人同意。采购人有权要求报价人更换项目组中工作能力不足的工程师。 </w:t>
      </w:r>
    </w:p>
    <w:p>
      <w:pPr>
        <w:pStyle w:val="5"/>
        <w:bidi w:val="0"/>
        <w:rPr>
          <w:rFonts w:hint="eastAsia"/>
        </w:rPr>
      </w:pPr>
      <w:r>
        <w:rPr>
          <w:rFonts w:hint="eastAsia"/>
        </w:rPr>
        <w:t>人员资质</w:t>
      </w:r>
    </w:p>
    <w:p>
      <w:pPr>
        <w:pStyle w:val="5"/>
        <w:pageBreakBefore w:val="0"/>
        <w:widowControl w:val="0"/>
        <w:numPr>
          <w:ilvl w:val="0"/>
          <w:numId w:val="9"/>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eastAsia="宋体"/>
          <w:b w:val="0"/>
          <w:bCs w:val="0"/>
          <w:sz w:val="24"/>
          <w:szCs w:val="24"/>
          <w:lang w:val="en-US" w:eastAsia="zh-CN"/>
        </w:rPr>
      </w:pPr>
      <w:r>
        <w:rPr>
          <w:rFonts w:hint="eastAsia" w:eastAsia="宋体"/>
          <w:b w:val="0"/>
          <w:bCs w:val="0"/>
          <w:sz w:val="24"/>
          <w:szCs w:val="24"/>
          <w:lang w:val="en-US" w:eastAsia="zh-CN"/>
        </w:rPr>
        <w:t>应详细介绍拟投入的服务与支持人员数量、学历和工作经验情况，人员数量应不得少于5人、工作经验10年及以上人数不得少于2人，相关人员具有本科及以上学历，应提供拟投入技术人员的学历、工作经历等证明材料。</w:t>
      </w:r>
    </w:p>
    <w:p>
      <w:pPr>
        <w:pStyle w:val="5"/>
        <w:pageBreakBefore w:val="0"/>
        <w:widowControl w:val="0"/>
        <w:numPr>
          <w:ilvl w:val="0"/>
          <w:numId w:val="9"/>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eastAsia="宋体"/>
          <w:b w:val="0"/>
          <w:bCs w:val="0"/>
          <w:sz w:val="24"/>
          <w:szCs w:val="24"/>
          <w:lang w:val="en-US" w:eastAsia="zh-CN"/>
        </w:rPr>
      </w:pPr>
      <w:r>
        <w:rPr>
          <w:rFonts w:hint="eastAsia" w:eastAsia="宋体"/>
          <w:b w:val="0"/>
          <w:bCs w:val="0"/>
          <w:sz w:val="24"/>
          <w:szCs w:val="24"/>
          <w:lang w:val="en-US" w:eastAsia="zh-CN"/>
        </w:rPr>
        <w:t>采购方有对报价人所提供的实施人员进行面试的权利，对于不满足采购方要求的人员，采购方有权要求报价人无条件更换人员，且不能影响项目进度。</w:t>
      </w:r>
    </w:p>
    <w:p>
      <w:pPr>
        <w:pStyle w:val="5"/>
        <w:pageBreakBefore w:val="0"/>
        <w:widowControl w:val="0"/>
        <w:numPr>
          <w:ilvl w:val="0"/>
          <w:numId w:val="9"/>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eastAsia="宋体"/>
          <w:b w:val="0"/>
          <w:bCs w:val="0"/>
          <w:sz w:val="24"/>
          <w:szCs w:val="24"/>
          <w:lang w:val="en-US" w:eastAsia="zh-CN"/>
        </w:rPr>
      </w:pPr>
      <w:r>
        <w:rPr>
          <w:rFonts w:hint="eastAsia" w:eastAsia="宋体"/>
          <w:b w:val="0"/>
          <w:bCs w:val="0"/>
          <w:sz w:val="24"/>
          <w:szCs w:val="24"/>
          <w:lang w:val="en-US" w:eastAsia="zh-CN"/>
        </w:rPr>
        <w:t>报价人必须向采购方保证实施服务人员组织的稳定性，报价人不得随意抽调。在项目结束前，报价人参加项目的人员变动必须取得采购方同意，并立即安排拟定候补人员予以补充。采购方保留拒绝报价人员变更要求的权利。</w:t>
      </w:r>
    </w:p>
    <w:p>
      <w:pPr>
        <w:pStyle w:val="5"/>
        <w:bidi w:val="0"/>
        <w:rPr>
          <w:rFonts w:hint="eastAsia"/>
          <w:lang w:val="en-US" w:eastAsia="zh-CN"/>
        </w:rPr>
      </w:pPr>
      <w:r>
        <w:rPr>
          <w:rFonts w:hint="eastAsia"/>
          <w:lang w:val="en-US" w:eastAsia="zh-CN"/>
        </w:rPr>
        <w:t>质量保证</w:t>
      </w:r>
    </w:p>
    <w:p>
      <w:pPr>
        <w:pStyle w:val="5"/>
        <w:pageBreakBefore w:val="0"/>
        <w:widowControl w:val="0"/>
        <w:numPr>
          <w:ilvl w:val="0"/>
          <w:numId w:val="10"/>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pPr>
      <w:r>
        <w:rPr>
          <w:rFonts w:hint="eastAsia"/>
          <w:b w:val="0"/>
          <w:bCs w:val="0"/>
          <w:sz w:val="24"/>
          <w:szCs w:val="24"/>
          <w:lang w:val="en-US" w:eastAsia="zh-CN"/>
        </w:rPr>
        <w:t xml:space="preserve">报价人应保证根据委托检测的需要，与需求方共同研究如何高质、高效地制定测评方案，并严格按照测评方案进行测评实施工作； </w:t>
      </w:r>
    </w:p>
    <w:p>
      <w:pPr>
        <w:pStyle w:val="5"/>
        <w:pageBreakBefore w:val="0"/>
        <w:widowControl w:val="0"/>
        <w:numPr>
          <w:ilvl w:val="0"/>
          <w:numId w:val="10"/>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pPr>
      <w:r>
        <w:rPr>
          <w:rFonts w:hint="eastAsia"/>
          <w:b w:val="0"/>
          <w:bCs w:val="0"/>
          <w:sz w:val="24"/>
          <w:szCs w:val="24"/>
          <w:lang w:val="en-US" w:eastAsia="zh-CN"/>
        </w:rPr>
        <w:t>必须严格遵循相关检测要求，用于指导整个检测实施过程，如采购人需报价人提供各类文档必须符合需求方要求的文档规范要求。</w:t>
      </w:r>
    </w:p>
    <w:p>
      <w:pPr>
        <w:pStyle w:val="5"/>
        <w:bidi w:val="0"/>
        <w:ind w:left="567" w:hanging="567"/>
        <w:rPr>
          <w:rFonts w:hint="eastAsia" w:eastAsia="宋体"/>
          <w:lang w:val="en-US" w:eastAsia="zh-CN"/>
        </w:rPr>
      </w:pPr>
      <w:r>
        <w:rPr>
          <w:rFonts w:hint="eastAsia" w:eastAsia="宋体"/>
          <w:lang w:val="en-US" w:eastAsia="zh-CN"/>
        </w:rPr>
        <w:t>进度保证</w:t>
      </w:r>
    </w:p>
    <w:p>
      <w:pPr>
        <w:pStyle w:val="5"/>
        <w:pageBreakBefore w:val="0"/>
        <w:widowControl w:val="0"/>
        <w:numPr>
          <w:ilvl w:val="0"/>
          <w:numId w:val="11"/>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pPr>
      <w:r>
        <w:rPr>
          <w:rFonts w:hint="eastAsia"/>
          <w:b w:val="0"/>
          <w:bCs w:val="0"/>
          <w:sz w:val="24"/>
          <w:szCs w:val="24"/>
          <w:lang w:val="en-US" w:eastAsia="zh-CN"/>
        </w:rPr>
        <w:t>★报价人应在合同签订后的30日内完成相关测试并出具报告。</w:t>
      </w:r>
    </w:p>
    <w:p>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报价人必须提供相应的工期保证措施、详细进度计划表。</w:t>
      </w:r>
    </w:p>
    <w:p>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报价人须严格按照项目阶段制定项目里程碑和里程碑产出物。</w:t>
      </w:r>
    </w:p>
    <w:p>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报价人必须保证按采购方的进度要求完成系统的相关测试实施及评测报告的编写。</w:t>
      </w:r>
    </w:p>
    <w:p>
      <w:pPr>
        <w:bidi w:val="0"/>
        <w:rPr>
          <w:rFonts w:hint="eastAsia"/>
        </w:rPr>
      </w:pPr>
      <w:bookmarkStart w:id="4" w:name="_Toc31968"/>
      <w:bookmarkStart w:id="5" w:name="_Toc13856"/>
    </w:p>
    <w:p>
      <w:pPr>
        <w:pStyle w:val="4"/>
        <w:bidi w:val="0"/>
        <w:rPr>
          <w:rFonts w:hint="eastAsia"/>
          <w:lang w:val="en-US" w:eastAsia="zh-CN"/>
        </w:rPr>
      </w:pPr>
      <w:r>
        <w:rPr>
          <w:rFonts w:hint="eastAsia"/>
          <w:lang w:val="en-US" w:eastAsia="zh-CN"/>
        </w:rPr>
        <w:t>服务方式要求</w:t>
      </w:r>
    </w:p>
    <w:p>
      <w:pPr>
        <w:pStyle w:val="5"/>
        <w:pageBreakBefore w:val="0"/>
        <w:widowControl w:val="0"/>
        <w:numPr>
          <w:ilvl w:val="0"/>
          <w:numId w:val="12"/>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pPr>
      <w:r>
        <w:rPr>
          <w:rFonts w:hint="eastAsia"/>
          <w:b w:val="0"/>
          <w:bCs w:val="0"/>
          <w:sz w:val="24"/>
          <w:szCs w:val="24"/>
          <w:lang w:val="en-US" w:eastAsia="zh-CN"/>
        </w:rPr>
        <w:t>★报价人须提供足够测评人员，保证在测试项目进度要求的时间范围内完成项目全部工作。报价人需自双方约定时间起整个服务期内，24小时内响应采购人测评需求。</w:t>
      </w:r>
    </w:p>
    <w:p>
      <w:pPr>
        <w:pStyle w:val="5"/>
        <w:pageBreakBefore w:val="0"/>
        <w:widowControl w:val="0"/>
        <w:numPr>
          <w:ilvl w:val="0"/>
          <w:numId w:val="12"/>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pPr>
      <w:r>
        <w:rPr>
          <w:rFonts w:hint="eastAsia"/>
          <w:b w:val="0"/>
          <w:bCs w:val="0"/>
          <w:sz w:val="24"/>
          <w:szCs w:val="24"/>
          <w:lang w:val="en-US" w:eastAsia="zh-CN"/>
        </w:rPr>
        <w:t>报价人实施人员必须服从采购人现场管理和工作安排，遵守需求方有关人员规定。</w:t>
      </w:r>
    </w:p>
    <w:p>
      <w:pPr>
        <w:pStyle w:val="5"/>
        <w:pageBreakBefore w:val="0"/>
        <w:widowControl w:val="0"/>
        <w:numPr>
          <w:ilvl w:val="0"/>
          <w:numId w:val="12"/>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pPr>
      <w:r>
        <w:rPr>
          <w:rFonts w:hint="eastAsia"/>
          <w:b w:val="0"/>
          <w:bCs w:val="0"/>
          <w:sz w:val="24"/>
          <w:szCs w:val="24"/>
          <w:lang w:val="en-US" w:eastAsia="zh-CN"/>
        </w:rPr>
        <w:t>★报价人应承诺提供每个检测项3次复测机会，对于超过3次复测未通过情况，可以对超出复测机会的测试每次费用按原测试项费用的50%比例收取。</w:t>
      </w:r>
    </w:p>
    <w:p>
      <w:pPr>
        <w:pStyle w:val="5"/>
        <w:pageBreakBefore w:val="0"/>
        <w:widowControl w:val="0"/>
        <w:numPr>
          <w:ilvl w:val="0"/>
          <w:numId w:val="12"/>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pPr>
      <w:r>
        <w:rPr>
          <w:rFonts w:hint="eastAsia"/>
          <w:b w:val="0"/>
          <w:bCs w:val="0"/>
          <w:sz w:val="24"/>
          <w:szCs w:val="24"/>
          <w:lang w:val="en-US" w:eastAsia="zh-CN"/>
        </w:rPr>
        <w:t>★报价人承诺应将产品的测试结果数据和整改措施反馈给到采购人。</w:t>
      </w:r>
    </w:p>
    <w:p>
      <w:pPr>
        <w:pStyle w:val="4"/>
        <w:bidi w:val="0"/>
        <w:rPr>
          <w:rFonts w:hint="eastAsia"/>
          <w:lang w:val="en-US" w:eastAsia="zh-CN"/>
        </w:rPr>
      </w:pPr>
      <w:r>
        <w:rPr>
          <w:rFonts w:hint="eastAsia"/>
          <w:lang w:val="en-US" w:eastAsia="zh-CN"/>
        </w:rPr>
        <w:t>安全保密要求</w:t>
      </w:r>
    </w:p>
    <w:p>
      <w:pPr>
        <w:pStyle w:val="5"/>
        <w:pageBreakBefore w:val="0"/>
        <w:widowControl w:val="0"/>
        <w:numPr>
          <w:ilvl w:val="0"/>
          <w:numId w:val="13"/>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pPr>
      <w:r>
        <w:rPr>
          <w:rFonts w:hint="eastAsia"/>
          <w:b w:val="0"/>
          <w:bCs w:val="0"/>
          <w:sz w:val="24"/>
          <w:szCs w:val="24"/>
          <w:lang w:val="en-US" w:eastAsia="zh-CN"/>
        </w:rPr>
        <w:t>报价人在服务期间，负有保护采购人的网络安全、信息安全和产品数据安全的义务和责任；负有保护所持有、接触的属于或涉及采购人商业秘密的信息安全的义务和责任。</w:t>
      </w:r>
    </w:p>
    <w:p>
      <w:pPr>
        <w:pStyle w:val="5"/>
        <w:pageBreakBefore w:val="0"/>
        <w:widowControl w:val="0"/>
        <w:numPr>
          <w:ilvl w:val="0"/>
          <w:numId w:val="13"/>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pPr>
      <w:r>
        <w:rPr>
          <w:rFonts w:hint="eastAsia"/>
          <w:b w:val="0"/>
          <w:bCs w:val="0"/>
          <w:sz w:val="24"/>
          <w:szCs w:val="24"/>
          <w:lang w:val="en-US" w:eastAsia="zh-CN"/>
        </w:rPr>
        <w:t>报价人不得将采购人经营信息及商业秘密(包括生产管理的方式方法与资料、产品技术资料、客户名单、销售渠道企业战略及其他被认为是商业秘密的信息)对外透露。</w:t>
      </w:r>
    </w:p>
    <w:p>
      <w:pPr>
        <w:pStyle w:val="5"/>
        <w:pageBreakBefore w:val="0"/>
        <w:widowControl w:val="0"/>
        <w:numPr>
          <w:ilvl w:val="0"/>
          <w:numId w:val="13"/>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pPr>
      <w:r>
        <w:rPr>
          <w:rFonts w:hint="eastAsia"/>
          <w:b w:val="0"/>
          <w:bCs w:val="0"/>
          <w:sz w:val="24"/>
          <w:szCs w:val="24"/>
          <w:lang w:val="en-US" w:eastAsia="zh-CN"/>
        </w:rPr>
        <w:t>在现场服务过程中，报价人必须在采购人指定地点办公，并遵守采购人关于第三方人员管理规定要求；未经许可不得以任何方式对保密信息及工作成果进行复制、传播、泄漏、告知，不得将保密信息带离办公场所。</w:t>
      </w:r>
    </w:p>
    <w:p>
      <w:pPr>
        <w:pStyle w:val="5"/>
        <w:pageBreakBefore w:val="0"/>
        <w:widowControl w:val="0"/>
        <w:numPr>
          <w:ilvl w:val="0"/>
          <w:numId w:val="13"/>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sectPr>
          <w:pgSz w:w="11906" w:h="16838"/>
          <w:pgMar w:top="1440" w:right="1800" w:bottom="1440" w:left="1800" w:header="851" w:footer="992" w:gutter="0"/>
          <w:cols w:space="425" w:num="1"/>
          <w:docGrid w:type="lines" w:linePitch="312" w:charSpace="0"/>
        </w:sectPr>
      </w:pPr>
      <w:r>
        <w:rPr>
          <w:rFonts w:hint="eastAsia"/>
          <w:b w:val="0"/>
          <w:bCs w:val="0"/>
          <w:sz w:val="24"/>
          <w:szCs w:val="24"/>
          <w:lang w:val="en-US" w:eastAsia="zh-CN"/>
        </w:rPr>
        <w:t>无论何种原因导致合同解除或终止，本项目约定下的保密条款、保密内容及相关的违约责任的约定仍然生效。保密期限从报价人获取采购人保密信息后至采购人明示同意公开保密信息之日止，保密范围为项目所涉及的任何资料。</w:t>
      </w:r>
    </w:p>
    <w:bookmarkEnd w:id="4"/>
    <w:bookmarkEnd w:id="5"/>
    <w:p>
      <w:pPr>
        <w:pStyle w:val="4"/>
        <w:numPr>
          <w:ilvl w:val="0"/>
          <w:numId w:val="0"/>
        </w:numPr>
        <w:tabs>
          <w:tab w:val="left" w:pos="0"/>
          <w:tab w:val="clear" w:pos="420"/>
        </w:tabs>
        <w:ind w:left="425" w:hanging="425"/>
        <w:rPr>
          <w:rFonts w:hint="eastAsia" w:asciiTheme="minorEastAsia" w:hAnsiTheme="minorEastAsia" w:eastAsiaTheme="minorEastAsia" w:cstheme="minorEastAsia"/>
          <w:sz w:val="28"/>
          <w:szCs w:val="28"/>
          <w:highlight w:val="none"/>
          <w:lang w:val="en-US" w:eastAsia="zh-CN"/>
        </w:rPr>
      </w:pPr>
      <w:bookmarkStart w:id="6" w:name="_Toc7852"/>
      <w:bookmarkStart w:id="7" w:name="_Toc20222"/>
      <w:r>
        <w:rPr>
          <w:rFonts w:hint="eastAsia" w:asciiTheme="minorEastAsia" w:hAnsiTheme="minorEastAsia" w:eastAsiaTheme="minorEastAsia" w:cstheme="minorEastAsia"/>
          <w:sz w:val="28"/>
          <w:szCs w:val="28"/>
          <w:highlight w:val="none"/>
        </w:rPr>
        <w:t>附表</w:t>
      </w:r>
      <w:r>
        <w:rPr>
          <w:rFonts w:hint="eastAsia" w:asciiTheme="minorEastAsia" w:hAnsiTheme="minorEastAsia" w:eastAsiaTheme="minorEastAsia" w:cstheme="minorEastAsia"/>
          <w:sz w:val="28"/>
          <w:szCs w:val="28"/>
          <w:highlight w:val="none"/>
          <w:lang w:val="en-US" w:eastAsia="zh-CN"/>
        </w:rPr>
        <w:t>1</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服务承诺函模板</w:t>
      </w:r>
      <w:bookmarkEnd w:id="6"/>
      <w:bookmarkEnd w:id="7"/>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0" w:hRule="atLeast"/>
          <w:jc w:val="center"/>
        </w:trPr>
        <w:tc>
          <w:tcPr>
            <w:tcW w:w="13505" w:type="dxa"/>
            <w:vAlign w:val="top"/>
          </w:tcPr>
          <w:p>
            <w:pPr>
              <w:keepNext w:val="0"/>
              <w:keepLines w:val="0"/>
              <w:widowControl/>
              <w:numPr>
                <w:ilvl w:val="-1"/>
                <w:numId w:val="0"/>
              </w:numPr>
              <w:suppressLineNumbers w:val="0"/>
              <w:adjustRightInd w:val="0"/>
              <w:spacing w:line="312" w:lineRule="atLeast"/>
              <w:jc w:val="center"/>
              <w:textAlignment w:val="center"/>
              <w:rPr>
                <w:rFonts w:hint="eastAsia" w:asciiTheme="minorEastAsia" w:hAnsiTheme="minorEastAsia" w:eastAsiaTheme="minorEastAsia" w:cstheme="minorEastAsia"/>
                <w:b/>
                <w:bCs/>
                <w:kern w:val="44"/>
                <w:sz w:val="24"/>
                <w:szCs w:val="24"/>
                <w:highlight w:val="none"/>
              </w:rPr>
            </w:pPr>
            <w:r>
              <w:rPr>
                <w:rFonts w:hint="eastAsia" w:asciiTheme="minorEastAsia" w:hAnsiTheme="minorEastAsia" w:eastAsiaTheme="minorEastAsia" w:cstheme="minorEastAsia"/>
                <w:b/>
                <w:bCs/>
                <w:kern w:val="44"/>
                <w:sz w:val="24"/>
                <w:szCs w:val="24"/>
                <w:highlight w:val="none"/>
              </w:rPr>
              <w:t>服务承诺函</w:t>
            </w:r>
          </w:p>
          <w:p>
            <w:pPr>
              <w:pStyle w:val="2"/>
              <w:rPr>
                <w:rFonts w:hint="eastAsia"/>
                <w:lang w:val="en-US" w:eastAsia="zh-CN"/>
              </w:rPr>
            </w:pPr>
          </w:p>
          <w:p>
            <w:pPr>
              <w:keepNext w:val="0"/>
              <w:keepLines w:val="0"/>
              <w:pageBreakBefore w:val="0"/>
              <w:widowControl/>
              <w:suppressLineNumbers w:val="0"/>
              <w:kinsoku/>
              <w:wordWrap/>
              <w:overflowPunct/>
              <w:topLinePunct w:val="0"/>
              <w:autoSpaceDE/>
              <w:autoSpaceDN/>
              <w:bidi w:val="0"/>
              <w:adjustRightInd w:val="0"/>
              <w:snapToGrid/>
              <w:spacing w:line="360" w:lineRule="auto"/>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 xml:space="preserve">广西博联信息通信技术有限责任公司： </w:t>
            </w: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我司参与本次采购报价，对于该标包技术规范书标“★”项服务条款，</w:t>
            </w:r>
            <w:r>
              <w:rPr>
                <w:rFonts w:hint="eastAsia" w:asciiTheme="minorEastAsia" w:hAnsiTheme="minorEastAsia" w:eastAsiaTheme="minorEastAsia" w:cstheme="minorEastAsia"/>
                <w:b/>
                <w:bCs/>
                <w:color w:val="000000"/>
                <w:kern w:val="0"/>
                <w:sz w:val="24"/>
                <w:szCs w:val="24"/>
                <w:highlight w:val="none"/>
                <w:lang w:val="en-US" w:eastAsia="zh-CN" w:bidi="ar"/>
              </w:rPr>
              <w:t>我司承诺全都满足要求，具体承诺如下</w:t>
            </w:r>
            <w:r>
              <w:rPr>
                <w:rFonts w:hint="eastAsia" w:asciiTheme="minorEastAsia" w:hAnsiTheme="minorEastAsia" w:eastAsiaTheme="minorEastAsia" w:cstheme="minorEastAsia"/>
                <w:color w:val="000000"/>
                <w:kern w:val="0"/>
                <w:sz w:val="24"/>
                <w:szCs w:val="24"/>
                <w:highlight w:val="none"/>
                <w:lang w:val="en-US" w:eastAsia="zh-CN" w:bidi="ar"/>
              </w:rPr>
              <w:t xml:space="preserve">： </w:t>
            </w:r>
          </w:p>
          <w:p>
            <w:pPr>
              <w:keepNext w:val="0"/>
              <w:keepLines w:val="0"/>
              <w:pageBreakBefore w:val="0"/>
              <w:widowControl/>
              <w:numPr>
                <w:ilvl w:val="-1"/>
                <w:numId w:val="0"/>
              </w:numPr>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1）★我司承诺</w:t>
            </w:r>
            <w:r>
              <w:rPr>
                <w:rFonts w:hint="eastAsia" w:asciiTheme="minorEastAsia" w:hAnsiTheme="minorEastAsia" w:eastAsiaTheme="minorEastAsia" w:cstheme="minorEastAsia"/>
                <w:color w:val="000000"/>
                <w:kern w:val="0"/>
                <w:sz w:val="24"/>
                <w:szCs w:val="24"/>
                <w:highlight w:val="none"/>
                <w:lang w:bidi="ar"/>
              </w:rPr>
              <w:t>在</w:t>
            </w:r>
            <w:r>
              <w:rPr>
                <w:rFonts w:hint="eastAsia" w:asciiTheme="minorEastAsia" w:hAnsiTheme="minorEastAsia" w:eastAsiaTheme="minorEastAsia" w:cstheme="minorEastAsia"/>
                <w:color w:val="000000"/>
                <w:kern w:val="0"/>
                <w:sz w:val="24"/>
                <w:szCs w:val="24"/>
                <w:highlight w:val="none"/>
                <w:lang w:val="en-US" w:eastAsia="zh-CN" w:bidi="ar"/>
              </w:rPr>
              <w:t>合同签订</w:t>
            </w:r>
            <w:r>
              <w:rPr>
                <w:rFonts w:hint="eastAsia" w:asciiTheme="minorEastAsia" w:hAnsiTheme="minorEastAsia" w:eastAsiaTheme="minorEastAsia" w:cstheme="minorEastAsia"/>
                <w:color w:val="000000"/>
                <w:kern w:val="0"/>
                <w:sz w:val="24"/>
                <w:szCs w:val="24"/>
                <w:highlight w:val="none"/>
                <w:lang w:bidi="ar"/>
              </w:rPr>
              <w:t>后的30日内完成相关测试并提供检测报告</w:t>
            </w:r>
            <w:r>
              <w:rPr>
                <w:rFonts w:hint="eastAsia" w:asciiTheme="minorEastAsia" w:hAnsiTheme="minorEastAsia" w:eastAsiaTheme="minorEastAsia" w:cstheme="minorEastAsia"/>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2）我司承诺</w:t>
            </w:r>
            <w:r>
              <w:rPr>
                <w:rFonts w:hint="eastAsia" w:asciiTheme="minorEastAsia" w:hAnsiTheme="minorEastAsia" w:eastAsiaTheme="minorEastAsia" w:cstheme="minorEastAsia"/>
                <w:color w:val="000000"/>
                <w:kern w:val="0"/>
                <w:sz w:val="24"/>
                <w:szCs w:val="24"/>
                <w:highlight w:val="none"/>
                <w:lang w:bidi="ar"/>
              </w:rPr>
              <w:t>具备本标包所有测试项能力</w:t>
            </w:r>
            <w:r>
              <w:rPr>
                <w:rFonts w:hint="eastAsia" w:asciiTheme="minorEastAsia" w:hAnsiTheme="minorEastAsia" w:eastAsiaTheme="minorEastAsia" w:cstheme="minorEastAsia"/>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val="en-US" w:eastAsia="zh-CN" w:bidi="ar"/>
              </w:rPr>
              <w:t>3）★我司承诺</w:t>
            </w:r>
            <w:r>
              <w:rPr>
                <w:rFonts w:hint="eastAsia" w:asciiTheme="minorEastAsia" w:hAnsiTheme="minorEastAsia" w:eastAsiaTheme="minorEastAsia" w:cstheme="minorEastAsia"/>
                <w:color w:val="000000"/>
                <w:kern w:val="0"/>
                <w:sz w:val="24"/>
                <w:szCs w:val="24"/>
                <w:highlight w:val="none"/>
                <w:lang w:bidi="ar"/>
              </w:rPr>
              <w:t>提供足够测评人员，保证在测试项目进度要求的时间范围内完成项目全部工作。</w:t>
            </w:r>
            <w:r>
              <w:rPr>
                <w:rFonts w:hint="eastAsia" w:asciiTheme="minorEastAsia" w:hAnsiTheme="minorEastAsia" w:eastAsiaTheme="minorEastAsia" w:cstheme="minorEastAsia"/>
                <w:color w:val="000000"/>
                <w:kern w:val="0"/>
                <w:sz w:val="24"/>
                <w:szCs w:val="24"/>
                <w:highlight w:val="none"/>
                <w:lang w:val="en-US" w:eastAsia="zh-CN" w:bidi="ar"/>
              </w:rPr>
              <w:t>在</w:t>
            </w:r>
            <w:r>
              <w:rPr>
                <w:rFonts w:hint="eastAsia" w:asciiTheme="minorEastAsia" w:hAnsiTheme="minorEastAsia" w:eastAsiaTheme="minorEastAsia" w:cstheme="minorEastAsia"/>
                <w:color w:val="000000"/>
                <w:kern w:val="0"/>
                <w:sz w:val="24"/>
                <w:szCs w:val="24"/>
                <w:highlight w:val="none"/>
                <w:lang w:bidi="ar"/>
              </w:rPr>
              <w:t>双方约定时间起整个服务期内，24小时内响应</w:t>
            </w:r>
            <w:r>
              <w:rPr>
                <w:rFonts w:hint="eastAsia" w:asciiTheme="minorEastAsia" w:hAnsiTheme="minorEastAsia" w:eastAsiaTheme="minorEastAsia" w:cstheme="minorEastAsia"/>
                <w:color w:val="000000"/>
                <w:kern w:val="0"/>
                <w:sz w:val="24"/>
                <w:szCs w:val="24"/>
                <w:highlight w:val="none"/>
                <w:lang w:eastAsia="zh-CN" w:bidi="ar"/>
              </w:rPr>
              <w:t>采购人</w:t>
            </w:r>
            <w:r>
              <w:rPr>
                <w:rFonts w:hint="eastAsia" w:asciiTheme="minorEastAsia" w:hAnsiTheme="minorEastAsia" w:eastAsiaTheme="minorEastAsia" w:cstheme="minorEastAsia"/>
                <w:color w:val="000000"/>
                <w:kern w:val="0"/>
                <w:sz w:val="24"/>
                <w:szCs w:val="24"/>
                <w:highlight w:val="none"/>
                <w:lang w:bidi="ar"/>
              </w:rPr>
              <w:t>测评需求。</w:t>
            </w: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val="en-US" w:eastAsia="zh-CN" w:bidi="ar"/>
              </w:rPr>
              <w:t>4）</w:t>
            </w:r>
            <w:r>
              <w:rPr>
                <w:rFonts w:hint="eastAsia" w:asciiTheme="minorEastAsia" w:hAnsiTheme="minorEastAsia" w:eastAsiaTheme="minorEastAsia" w:cstheme="minorEastAsia"/>
                <w:color w:val="000000"/>
                <w:kern w:val="0"/>
                <w:sz w:val="24"/>
                <w:szCs w:val="24"/>
                <w:highlight w:val="none"/>
                <w:lang w:bidi="ar"/>
              </w:rPr>
              <w:t>★</w:t>
            </w:r>
            <w:r>
              <w:rPr>
                <w:rFonts w:hint="eastAsia" w:asciiTheme="minorEastAsia" w:hAnsiTheme="minorEastAsia" w:eastAsiaTheme="minorEastAsia" w:cstheme="minorEastAsia"/>
                <w:color w:val="000000"/>
                <w:kern w:val="0"/>
                <w:sz w:val="24"/>
                <w:szCs w:val="24"/>
                <w:highlight w:val="none"/>
                <w:lang w:val="en-US" w:eastAsia="zh-CN" w:bidi="ar"/>
              </w:rPr>
              <w:t>我司承诺</w:t>
            </w:r>
            <w:r>
              <w:rPr>
                <w:rFonts w:hint="eastAsia" w:asciiTheme="minorEastAsia" w:hAnsiTheme="minorEastAsia" w:eastAsiaTheme="minorEastAsia" w:cstheme="minorEastAsia"/>
                <w:color w:val="000000"/>
                <w:kern w:val="0"/>
                <w:sz w:val="24"/>
                <w:szCs w:val="24"/>
                <w:highlight w:val="none"/>
                <w:lang w:bidi="ar"/>
              </w:rPr>
              <w:t>提供每个检测项3次复测机会，对于超过3次复测未通过情况，可以对超出复测机会的测试每次费用按原测试项费用的50%比例收取。</w:t>
            </w: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5）</w:t>
            </w:r>
            <w:r>
              <w:rPr>
                <w:rFonts w:hint="eastAsia" w:asciiTheme="minorEastAsia" w:hAnsiTheme="minorEastAsia" w:eastAsiaTheme="minorEastAsia" w:cstheme="minorEastAsia"/>
                <w:color w:val="000000"/>
                <w:kern w:val="0"/>
                <w:sz w:val="24"/>
                <w:szCs w:val="24"/>
                <w:highlight w:val="none"/>
                <w:lang w:bidi="ar"/>
              </w:rPr>
              <w:t>★</w:t>
            </w:r>
            <w:r>
              <w:rPr>
                <w:rFonts w:hint="eastAsia" w:asciiTheme="minorEastAsia" w:hAnsiTheme="minorEastAsia" w:eastAsiaTheme="minorEastAsia" w:cstheme="minorEastAsia"/>
                <w:color w:val="000000"/>
                <w:kern w:val="0"/>
                <w:sz w:val="24"/>
                <w:szCs w:val="24"/>
                <w:highlight w:val="none"/>
                <w:lang w:val="en-US" w:eastAsia="zh-CN" w:bidi="ar"/>
              </w:rPr>
              <w:t>我司承诺</w:t>
            </w:r>
            <w:r>
              <w:rPr>
                <w:rFonts w:hint="eastAsia" w:asciiTheme="minorEastAsia" w:hAnsiTheme="minorEastAsia" w:eastAsiaTheme="minorEastAsia" w:cstheme="minorEastAsia"/>
                <w:color w:val="000000"/>
                <w:kern w:val="0"/>
                <w:sz w:val="24"/>
                <w:szCs w:val="24"/>
                <w:highlight w:val="none"/>
                <w:lang w:bidi="ar"/>
              </w:rPr>
              <w:t>将</w:t>
            </w:r>
            <w:r>
              <w:rPr>
                <w:rFonts w:hint="eastAsia" w:asciiTheme="minorEastAsia" w:hAnsiTheme="minorEastAsia" w:eastAsiaTheme="minorEastAsia" w:cstheme="minorEastAsia"/>
                <w:color w:val="000000"/>
                <w:kern w:val="0"/>
                <w:sz w:val="24"/>
                <w:szCs w:val="24"/>
                <w:highlight w:val="none"/>
                <w:lang w:val="en-US" w:eastAsia="zh-CN" w:bidi="ar"/>
              </w:rPr>
              <w:t>硬件</w:t>
            </w:r>
            <w:r>
              <w:rPr>
                <w:rFonts w:hint="eastAsia" w:asciiTheme="minorEastAsia" w:hAnsiTheme="minorEastAsia" w:eastAsiaTheme="minorEastAsia" w:cstheme="minorEastAsia"/>
                <w:color w:val="000000"/>
                <w:kern w:val="0"/>
                <w:sz w:val="24"/>
                <w:szCs w:val="24"/>
                <w:highlight w:val="none"/>
                <w:lang w:bidi="ar"/>
              </w:rPr>
              <w:t>产品的测试结果数据和整改措施反馈给到</w:t>
            </w:r>
            <w:r>
              <w:rPr>
                <w:rFonts w:hint="eastAsia" w:asciiTheme="minorEastAsia" w:hAnsiTheme="minorEastAsia" w:eastAsiaTheme="minorEastAsia" w:cstheme="minorEastAsia"/>
                <w:color w:val="000000"/>
                <w:kern w:val="0"/>
                <w:sz w:val="24"/>
                <w:szCs w:val="24"/>
                <w:highlight w:val="none"/>
                <w:lang w:eastAsia="zh-CN" w:bidi="ar"/>
              </w:rPr>
              <w:t>采购</w:t>
            </w:r>
            <w:r>
              <w:rPr>
                <w:rFonts w:hint="eastAsia" w:asciiTheme="minorEastAsia" w:hAnsiTheme="minorEastAsia" w:eastAsiaTheme="minorEastAsia" w:cstheme="minorEastAsia"/>
                <w:color w:val="000000"/>
                <w:kern w:val="0"/>
                <w:sz w:val="24"/>
                <w:szCs w:val="24"/>
                <w:highlight w:val="none"/>
                <w:lang w:val="en-US" w:eastAsia="zh-CN" w:bidi="ar"/>
              </w:rPr>
              <w:t xml:space="preserve">方。 </w:t>
            </w: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0" w:firstLineChars="0"/>
              <w:jc w:val="left"/>
              <w:textAlignment w:val="baseline"/>
              <w:rPr>
                <w:rFonts w:hint="eastAsia" w:asciiTheme="minorEastAsia" w:hAnsiTheme="minorEastAsia" w:eastAsiaTheme="minorEastAsia" w:cstheme="minorEastAsia"/>
                <w:color w:val="000000"/>
                <w:kern w:val="0"/>
                <w:sz w:val="24"/>
                <w:szCs w:val="24"/>
                <w:highlight w:val="none"/>
                <w:lang w:val="en-US" w:eastAsia="zh-CN" w:bidi="ar"/>
              </w:rPr>
            </w:pPr>
          </w:p>
          <w:p>
            <w:pPr>
              <w:pStyle w:val="2"/>
              <w:rPr>
                <w:rFonts w:hint="eastAsia"/>
                <w:lang w:val="en-US" w:eastAsia="zh-CN"/>
              </w:rPr>
            </w:pP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0" w:firstLineChars="0"/>
              <w:jc w:val="righ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 xml:space="preserve">报价单位（盖公章或电子印章）：xx </w:t>
            </w:r>
          </w:p>
          <w:p>
            <w:pPr>
              <w:keepNext w:val="0"/>
              <w:keepLines w:val="0"/>
              <w:pageBreakBefore w:val="0"/>
              <w:widowControl/>
              <w:suppressLineNumbers w:val="0"/>
              <w:kinsoku/>
              <w:wordWrap/>
              <w:overflowPunct/>
              <w:topLinePunct w:val="0"/>
              <w:autoSpaceDE/>
              <w:autoSpaceDN/>
              <w:bidi w:val="0"/>
              <w:adjustRightInd w:val="0"/>
              <w:snapToGrid/>
              <w:spacing w:line="360" w:lineRule="auto"/>
              <w:jc w:val="righ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2026 年 xx 月 xx 日</w:t>
            </w:r>
          </w:p>
          <w:p>
            <w:pPr>
              <w:keepNext w:val="0"/>
              <w:keepLines w:val="0"/>
              <w:widowControl/>
              <w:numPr>
                <w:ilvl w:val="-1"/>
                <w:numId w:val="0"/>
              </w:numPr>
              <w:suppressLineNumbers w:val="0"/>
              <w:adjustRightInd w:val="0"/>
              <w:spacing w:line="312" w:lineRule="atLeast"/>
              <w:jc w:val="left"/>
              <w:textAlignment w:val="center"/>
              <w:rPr>
                <w:rFonts w:hint="eastAsia" w:asciiTheme="minorEastAsia" w:hAnsiTheme="minorEastAsia" w:eastAsiaTheme="minorEastAsia" w:cstheme="minorEastAsia"/>
                <w:b/>
                <w:bCs/>
                <w:kern w:val="44"/>
                <w:sz w:val="24"/>
                <w:szCs w:val="24"/>
                <w:highlight w:val="none"/>
                <w:vertAlign w:val="baseline"/>
                <w:lang w:val="en-US" w:eastAsia="zh-CN"/>
              </w:rPr>
            </w:pPr>
          </w:p>
        </w:tc>
      </w:tr>
    </w:tbl>
    <w:p>
      <w:pPr>
        <w:spacing w:line="360" w:lineRule="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D10D46"/>
    <w:multiLevelType w:val="multilevel"/>
    <w:tmpl w:val="96D10D46"/>
    <w:lvl w:ilvl="0" w:tentative="0">
      <w:start w:val="1"/>
      <w:numFmt w:val="decimal"/>
      <w:suff w:val="space"/>
      <w:lvlText w:val="5.%1"/>
      <w:lvlJc w:val="left"/>
      <w:pPr>
        <w:tabs>
          <w:tab w:val="left" w:pos="0"/>
        </w:tabs>
        <w:ind w:left="0" w:firstLine="0"/>
      </w:pPr>
      <w:rPr>
        <w:rFonts w:hint="default" w:ascii="Calibri" w:hAnsi="Calibri" w:cs="Calibri"/>
      </w:rPr>
    </w:lvl>
    <w:lvl w:ilvl="1" w:tentative="0">
      <w:start w:val="1"/>
      <w:numFmt w:val="decimal"/>
      <w:isLgl/>
      <w:suff w:val="space"/>
      <w:lvlText w:val="5.%2"/>
      <w:lvlJc w:val="left"/>
      <w:pPr>
        <w:tabs>
          <w:tab w:val="left" w:pos="0"/>
        </w:tabs>
        <w:ind w:left="0" w:firstLine="0"/>
      </w:pPr>
      <w:rPr>
        <w:rFonts w:ascii="Times New Roman" w:hAnsi="Times New Roman" w:cs="Times New Roman"/>
        <w:b w:val="0"/>
        <w:bCs w:val="0"/>
        <w:i w:val="0"/>
        <w:iCs w:val="0"/>
        <w:caps w:val="0"/>
        <w:smallCaps w:val="0"/>
        <w:strike w:val="0"/>
        <w:dstrike w:val="0"/>
        <w:snapToGrid w:val="0"/>
        <w:vanish w:val="0"/>
        <w:color w:val="000000"/>
        <w:spacing w:val="0"/>
        <w:kern w:val="0"/>
        <w:position w:val="0"/>
        <w:szCs w:val="0"/>
        <w:u w:val="none"/>
        <w:vertAlign w:val="baseline"/>
      </w:rPr>
    </w:lvl>
    <w:lvl w:ilvl="2" w:tentative="0">
      <w:start w:val="1"/>
      <w:numFmt w:val="decimal"/>
      <w:pStyle w:val="17"/>
      <w:suff w:val="space"/>
      <w:lvlText w:val="4.%3"/>
      <w:lvlJc w:val="left"/>
      <w:pPr>
        <w:tabs>
          <w:tab w:val="left" w:pos="0"/>
        </w:tabs>
        <w:ind w:left="0" w:firstLine="0"/>
      </w:pPr>
      <w:rPr>
        <w:rFonts w:hint="default" w:ascii="Calibri" w:hAnsi="Calibri" w:cs="Calibri"/>
        <w:b/>
        <w:i w:val="0"/>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9A92272F"/>
    <w:multiLevelType w:val="multilevel"/>
    <w:tmpl w:val="9A92272F"/>
    <w:lvl w:ilvl="0" w:tentative="0">
      <w:start w:val="1"/>
      <w:numFmt w:val="decimal"/>
      <w:pStyle w:val="4"/>
      <w:suff w:val="space"/>
      <w:lvlText w:val="%1、"/>
      <w:lvlJc w:val="left"/>
      <w:pPr>
        <w:ind w:left="425" w:hanging="425"/>
      </w:pPr>
      <w:rPr>
        <w:rFonts w:hint="default"/>
      </w:rPr>
    </w:lvl>
    <w:lvl w:ilvl="1" w:tentative="0">
      <w:start w:val="1"/>
      <w:numFmt w:val="decimal"/>
      <w:pStyle w:val="5"/>
      <w:suff w:val="space"/>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A0E5BF47"/>
    <w:multiLevelType w:val="singleLevel"/>
    <w:tmpl w:val="A0E5BF47"/>
    <w:lvl w:ilvl="0" w:tentative="0">
      <w:start w:val="1"/>
      <w:numFmt w:val="decimal"/>
      <w:suff w:val="space"/>
      <w:lvlText w:val="(%1)"/>
      <w:lvlJc w:val="left"/>
      <w:pPr>
        <w:ind w:left="425" w:hanging="425"/>
      </w:pPr>
      <w:rPr>
        <w:rFonts w:hint="default" w:ascii="宋体" w:hAnsi="宋体" w:eastAsia="宋体" w:cs="宋体"/>
        <w:sz w:val="24"/>
        <w:szCs w:val="24"/>
      </w:rPr>
    </w:lvl>
  </w:abstractNum>
  <w:abstractNum w:abstractNumId="3">
    <w:nsid w:val="C1AE0CBD"/>
    <w:multiLevelType w:val="singleLevel"/>
    <w:tmpl w:val="C1AE0CBD"/>
    <w:lvl w:ilvl="0" w:tentative="0">
      <w:start w:val="1"/>
      <w:numFmt w:val="decimal"/>
      <w:suff w:val="nothing"/>
      <w:lvlText w:val="%1．"/>
      <w:lvlJc w:val="left"/>
      <w:pPr>
        <w:ind w:left="0" w:firstLine="400"/>
      </w:pPr>
      <w:rPr>
        <w:rFonts w:hint="default"/>
      </w:rPr>
    </w:lvl>
  </w:abstractNum>
  <w:abstractNum w:abstractNumId="4">
    <w:nsid w:val="C29E2703"/>
    <w:multiLevelType w:val="singleLevel"/>
    <w:tmpl w:val="C29E2703"/>
    <w:lvl w:ilvl="0" w:tentative="0">
      <w:start w:val="1"/>
      <w:numFmt w:val="decimal"/>
      <w:suff w:val="space"/>
      <w:lvlText w:val="(%1)"/>
      <w:lvlJc w:val="left"/>
      <w:pPr>
        <w:ind w:left="425" w:hanging="425"/>
      </w:pPr>
      <w:rPr>
        <w:rFonts w:hint="default" w:ascii="宋体" w:hAnsi="宋体" w:eastAsia="宋体" w:cs="宋体"/>
        <w:sz w:val="24"/>
        <w:szCs w:val="24"/>
      </w:rPr>
    </w:lvl>
  </w:abstractNum>
  <w:abstractNum w:abstractNumId="5">
    <w:nsid w:val="D9D84BE1"/>
    <w:multiLevelType w:val="singleLevel"/>
    <w:tmpl w:val="D9D84BE1"/>
    <w:lvl w:ilvl="0" w:tentative="0">
      <w:start w:val="1"/>
      <w:numFmt w:val="decimal"/>
      <w:suff w:val="space"/>
      <w:lvlText w:val="(%1)"/>
      <w:lvlJc w:val="left"/>
      <w:pPr>
        <w:ind w:left="425" w:hanging="425"/>
      </w:pPr>
      <w:rPr>
        <w:rFonts w:hint="default" w:ascii="宋体" w:hAnsi="宋体" w:eastAsia="宋体" w:cs="宋体"/>
        <w:sz w:val="24"/>
        <w:szCs w:val="24"/>
      </w:rPr>
    </w:lvl>
  </w:abstractNum>
  <w:abstractNum w:abstractNumId="6">
    <w:nsid w:val="17F899FC"/>
    <w:multiLevelType w:val="singleLevel"/>
    <w:tmpl w:val="17F899FC"/>
    <w:lvl w:ilvl="0" w:tentative="0">
      <w:start w:val="1"/>
      <w:numFmt w:val="decimal"/>
      <w:suff w:val="nothing"/>
      <w:lvlText w:val="%1．"/>
      <w:lvlJc w:val="left"/>
      <w:pPr>
        <w:ind w:left="0" w:firstLine="400"/>
      </w:pPr>
      <w:rPr>
        <w:rFonts w:hint="default"/>
      </w:rPr>
    </w:lvl>
  </w:abstractNum>
  <w:abstractNum w:abstractNumId="7">
    <w:nsid w:val="20EBE357"/>
    <w:multiLevelType w:val="multilevel"/>
    <w:tmpl w:val="20EBE357"/>
    <w:lvl w:ilvl="0" w:tentative="0">
      <w:start w:val="1"/>
      <w:numFmt w:val="decimal"/>
      <w:suff w:val="nothing"/>
      <w:lvlText w:val="%1、"/>
      <w:lvlJc w:val="left"/>
      <w:pPr>
        <w:tabs>
          <w:tab w:val="left" w:pos="0"/>
        </w:tabs>
        <w:ind w:left="432" w:hanging="432"/>
      </w:pPr>
      <w:rPr>
        <w:rFonts w:hint="default"/>
        <w:sz w:val="36"/>
      </w:rPr>
    </w:lvl>
    <w:lvl w:ilvl="1" w:tentative="0">
      <w:start w:val="1"/>
      <w:numFmt w:val="decimal"/>
      <w:lvlText w:val="%2."/>
      <w:lvlJc w:val="left"/>
      <w:pPr>
        <w:tabs>
          <w:tab w:val="left" w:pos="420"/>
        </w:tabs>
        <w:ind w:left="575" w:hanging="575"/>
      </w:pPr>
      <w:rPr>
        <w:rFonts w:hint="eastAsia" w:ascii="宋体" w:hAnsi="宋体" w:eastAsia="宋体" w:cs="Times New Roman"/>
        <w:sz w:val="32"/>
      </w:rPr>
    </w:lvl>
    <w:lvl w:ilvl="2" w:tentative="0">
      <w:start w:val="1"/>
      <w:numFmt w:val="decimal"/>
      <w:pStyle w:val="6"/>
      <w:lvlText w:val="%2.%3."/>
      <w:lvlJc w:val="left"/>
      <w:pPr>
        <w:ind w:left="720" w:hanging="720"/>
      </w:pPr>
      <w:rPr>
        <w:rFonts w:hint="eastAsia" w:ascii="宋体" w:hAnsi="宋体" w:eastAsia="宋体" w:cs="Times New Roman"/>
        <w:sz w:val="30"/>
      </w:rPr>
    </w:lvl>
    <w:lvl w:ilvl="3" w:tentative="0">
      <w:start w:val="1"/>
      <w:numFmt w:val="decimal"/>
      <w:pStyle w:val="7"/>
      <w:lvlText w:val="%2.%3.%4."/>
      <w:lvlJc w:val="left"/>
      <w:pPr>
        <w:ind w:left="864" w:hanging="864"/>
      </w:pPr>
      <w:rPr>
        <w:rFonts w:hint="eastAsia" w:ascii="宋体" w:hAnsi="宋体" w:cs="Arial"/>
        <w:sz w:val="28"/>
      </w:rPr>
    </w:lvl>
    <w:lvl w:ilvl="4" w:tentative="0">
      <w:start w:val="1"/>
      <w:numFmt w:val="decimal"/>
      <w:isLgl/>
      <w:lvlText w:val="%2.%3.%4.%5."/>
      <w:lvlJc w:val="left"/>
      <w:pPr>
        <w:ind w:left="1008" w:hanging="1008"/>
      </w:pPr>
      <w:rPr>
        <w:rFonts w:hint="eastAsia" w:ascii="宋体" w:hAnsi="宋体"/>
        <w:sz w:val="24"/>
      </w:rPr>
    </w:lvl>
    <w:lvl w:ilvl="5" w:tentative="0">
      <w:start w:val="1"/>
      <w:numFmt w:val="decimal"/>
      <w:isLgl/>
      <w:lvlText w:val="%2.%3.%4.%5.%6."/>
      <w:lvlJc w:val="left"/>
      <w:pPr>
        <w:ind w:left="1151" w:hanging="1151"/>
      </w:pPr>
      <w:rPr>
        <w:rFonts w:hint="eastAsia" w:ascii="宋体" w:hAnsi="宋体"/>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8">
    <w:nsid w:val="33A1FFD2"/>
    <w:multiLevelType w:val="singleLevel"/>
    <w:tmpl w:val="33A1FFD2"/>
    <w:lvl w:ilvl="0" w:tentative="0">
      <w:start w:val="1"/>
      <w:numFmt w:val="decimal"/>
      <w:suff w:val="space"/>
      <w:lvlText w:val="(%1)"/>
      <w:lvlJc w:val="left"/>
      <w:pPr>
        <w:ind w:left="425" w:hanging="425"/>
      </w:pPr>
      <w:rPr>
        <w:rFonts w:hint="default" w:ascii="宋体" w:hAnsi="宋体" w:eastAsia="宋体" w:cs="宋体"/>
        <w:sz w:val="24"/>
        <w:szCs w:val="24"/>
      </w:rPr>
    </w:lvl>
  </w:abstractNum>
  <w:abstractNum w:abstractNumId="9">
    <w:nsid w:val="4750AA3E"/>
    <w:multiLevelType w:val="singleLevel"/>
    <w:tmpl w:val="4750AA3E"/>
    <w:lvl w:ilvl="0" w:tentative="0">
      <w:start w:val="1"/>
      <w:numFmt w:val="decimal"/>
      <w:suff w:val="nothing"/>
      <w:lvlText w:val="%1．"/>
      <w:lvlJc w:val="left"/>
      <w:pPr>
        <w:ind w:left="0" w:firstLine="400"/>
      </w:pPr>
      <w:rPr>
        <w:rFonts w:hint="default"/>
      </w:rPr>
    </w:lvl>
  </w:abstractNum>
  <w:abstractNum w:abstractNumId="10">
    <w:nsid w:val="5E3BE074"/>
    <w:multiLevelType w:val="singleLevel"/>
    <w:tmpl w:val="5E3BE074"/>
    <w:lvl w:ilvl="0" w:tentative="0">
      <w:start w:val="1"/>
      <w:numFmt w:val="decimal"/>
      <w:suff w:val="space"/>
      <w:lvlText w:val="(%1)"/>
      <w:lvlJc w:val="left"/>
      <w:pPr>
        <w:ind w:left="425" w:hanging="425"/>
      </w:pPr>
      <w:rPr>
        <w:rFonts w:hint="default" w:ascii="宋体" w:hAnsi="宋体" w:eastAsia="宋体" w:cs="宋体"/>
        <w:sz w:val="24"/>
        <w:szCs w:val="24"/>
      </w:rPr>
    </w:lvl>
  </w:abstractNum>
  <w:abstractNum w:abstractNumId="11">
    <w:nsid w:val="5E6A4D60"/>
    <w:multiLevelType w:val="singleLevel"/>
    <w:tmpl w:val="5E6A4D60"/>
    <w:lvl w:ilvl="0" w:tentative="0">
      <w:start w:val="1"/>
      <w:numFmt w:val="decimal"/>
      <w:suff w:val="space"/>
      <w:lvlText w:val="(%1)"/>
      <w:lvlJc w:val="left"/>
      <w:pPr>
        <w:ind w:left="425" w:hanging="425"/>
      </w:pPr>
      <w:rPr>
        <w:rFonts w:hint="default" w:ascii="宋体" w:hAnsi="宋体" w:eastAsia="宋体" w:cs="宋体"/>
        <w:sz w:val="24"/>
        <w:szCs w:val="24"/>
      </w:rPr>
    </w:lvl>
  </w:abstractNum>
  <w:abstractNum w:abstractNumId="12">
    <w:nsid w:val="5F6259A2"/>
    <w:multiLevelType w:val="singleLevel"/>
    <w:tmpl w:val="5F6259A2"/>
    <w:lvl w:ilvl="0" w:tentative="0">
      <w:start w:val="1"/>
      <w:numFmt w:val="decimal"/>
      <w:suff w:val="nothing"/>
      <w:lvlText w:val="%1．"/>
      <w:lvlJc w:val="left"/>
      <w:pPr>
        <w:ind w:left="0" w:firstLine="400"/>
      </w:pPr>
      <w:rPr>
        <w:rFonts w:hint="default"/>
      </w:rPr>
    </w:lvl>
  </w:abstractNum>
  <w:num w:numId="1">
    <w:abstractNumId w:val="1"/>
  </w:num>
  <w:num w:numId="2">
    <w:abstractNumId w:val="7"/>
  </w:num>
  <w:num w:numId="3">
    <w:abstractNumId w:val="0"/>
  </w:num>
  <w:num w:numId="4">
    <w:abstractNumId w:val="3"/>
  </w:num>
  <w:num w:numId="5">
    <w:abstractNumId w:val="12"/>
  </w:num>
  <w:num w:numId="6">
    <w:abstractNumId w:val="6"/>
  </w:num>
  <w:num w:numId="7">
    <w:abstractNumId w:val="9"/>
  </w:num>
  <w:num w:numId="8">
    <w:abstractNumId w:val="10"/>
  </w:num>
  <w:num w:numId="9">
    <w:abstractNumId w:val="5"/>
  </w:num>
  <w:num w:numId="10">
    <w:abstractNumId w:val="8"/>
  </w:num>
  <w:num w:numId="11">
    <w:abstractNumId w:val="4"/>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63131"/>
    <w:rsid w:val="02C83C80"/>
    <w:rsid w:val="034B2E38"/>
    <w:rsid w:val="039B28A3"/>
    <w:rsid w:val="03A72764"/>
    <w:rsid w:val="041B4810"/>
    <w:rsid w:val="04702B56"/>
    <w:rsid w:val="050A0DD5"/>
    <w:rsid w:val="05A56F81"/>
    <w:rsid w:val="060A6FDB"/>
    <w:rsid w:val="061C3457"/>
    <w:rsid w:val="066C1A43"/>
    <w:rsid w:val="06F3181D"/>
    <w:rsid w:val="08185FB6"/>
    <w:rsid w:val="08A54080"/>
    <w:rsid w:val="08DD2784"/>
    <w:rsid w:val="091268D2"/>
    <w:rsid w:val="09712B17"/>
    <w:rsid w:val="0A40746F"/>
    <w:rsid w:val="0A685DF7"/>
    <w:rsid w:val="0A8F7AAE"/>
    <w:rsid w:val="0A9114C7"/>
    <w:rsid w:val="0A922065"/>
    <w:rsid w:val="0BE33B85"/>
    <w:rsid w:val="0C3127AF"/>
    <w:rsid w:val="0C670CE3"/>
    <w:rsid w:val="0CBE5160"/>
    <w:rsid w:val="0DF625B5"/>
    <w:rsid w:val="0EC60A77"/>
    <w:rsid w:val="0EE505E5"/>
    <w:rsid w:val="0F037349"/>
    <w:rsid w:val="0F7E3477"/>
    <w:rsid w:val="102313C5"/>
    <w:rsid w:val="107202AA"/>
    <w:rsid w:val="111F09A5"/>
    <w:rsid w:val="12965764"/>
    <w:rsid w:val="129E6898"/>
    <w:rsid w:val="12BF7A30"/>
    <w:rsid w:val="12CE5249"/>
    <w:rsid w:val="130A686C"/>
    <w:rsid w:val="13385187"/>
    <w:rsid w:val="13897791"/>
    <w:rsid w:val="13A520F1"/>
    <w:rsid w:val="13D6108B"/>
    <w:rsid w:val="143B7F8E"/>
    <w:rsid w:val="15DB2014"/>
    <w:rsid w:val="15E6711C"/>
    <w:rsid w:val="17286CD0"/>
    <w:rsid w:val="17836BED"/>
    <w:rsid w:val="17C62542"/>
    <w:rsid w:val="18950986"/>
    <w:rsid w:val="18E73256"/>
    <w:rsid w:val="19C808E7"/>
    <w:rsid w:val="19ED2D17"/>
    <w:rsid w:val="19FE1C71"/>
    <w:rsid w:val="1A885C21"/>
    <w:rsid w:val="1ABE7B7B"/>
    <w:rsid w:val="1C0263AC"/>
    <w:rsid w:val="1C6B4699"/>
    <w:rsid w:val="1C9200C2"/>
    <w:rsid w:val="1CF218F5"/>
    <w:rsid w:val="1D3249F5"/>
    <w:rsid w:val="1E5F5CBE"/>
    <w:rsid w:val="1E6432D4"/>
    <w:rsid w:val="201E15E0"/>
    <w:rsid w:val="22615013"/>
    <w:rsid w:val="227F48FF"/>
    <w:rsid w:val="22804455"/>
    <w:rsid w:val="23204EEC"/>
    <w:rsid w:val="23C30383"/>
    <w:rsid w:val="247F6A15"/>
    <w:rsid w:val="25096983"/>
    <w:rsid w:val="26A80AF7"/>
    <w:rsid w:val="27AF0600"/>
    <w:rsid w:val="27F60D15"/>
    <w:rsid w:val="291B1D32"/>
    <w:rsid w:val="29C72969"/>
    <w:rsid w:val="2ACC4C8A"/>
    <w:rsid w:val="2ADC78A8"/>
    <w:rsid w:val="2BA967CA"/>
    <w:rsid w:val="2C0003B4"/>
    <w:rsid w:val="2C2E2CD8"/>
    <w:rsid w:val="2F5A0F01"/>
    <w:rsid w:val="2FED6631"/>
    <w:rsid w:val="3005243D"/>
    <w:rsid w:val="309D0C13"/>
    <w:rsid w:val="30B706BA"/>
    <w:rsid w:val="30E91417"/>
    <w:rsid w:val="31EE28F9"/>
    <w:rsid w:val="32654377"/>
    <w:rsid w:val="326C1CFE"/>
    <w:rsid w:val="33686498"/>
    <w:rsid w:val="34ED6160"/>
    <w:rsid w:val="356C76A9"/>
    <w:rsid w:val="35887450"/>
    <w:rsid w:val="37150D55"/>
    <w:rsid w:val="372F13FA"/>
    <w:rsid w:val="37515F68"/>
    <w:rsid w:val="37FA46E2"/>
    <w:rsid w:val="381435CC"/>
    <w:rsid w:val="394379DB"/>
    <w:rsid w:val="39762F7A"/>
    <w:rsid w:val="39817709"/>
    <w:rsid w:val="39C724E9"/>
    <w:rsid w:val="39DF3CFF"/>
    <w:rsid w:val="3A4735DB"/>
    <w:rsid w:val="3C184597"/>
    <w:rsid w:val="3C26613B"/>
    <w:rsid w:val="3C53008C"/>
    <w:rsid w:val="3D0F19B9"/>
    <w:rsid w:val="3D423410"/>
    <w:rsid w:val="3DFC4A6F"/>
    <w:rsid w:val="3E131268"/>
    <w:rsid w:val="3E8135D7"/>
    <w:rsid w:val="3EDE4585"/>
    <w:rsid w:val="3EE22085"/>
    <w:rsid w:val="3F4D24D3"/>
    <w:rsid w:val="3F9D1F6A"/>
    <w:rsid w:val="3FF95D7C"/>
    <w:rsid w:val="401C5365"/>
    <w:rsid w:val="40534AFF"/>
    <w:rsid w:val="413F7AA0"/>
    <w:rsid w:val="41C757A4"/>
    <w:rsid w:val="42A86DAB"/>
    <w:rsid w:val="42DC297D"/>
    <w:rsid w:val="43A2687D"/>
    <w:rsid w:val="44586B88"/>
    <w:rsid w:val="44967C16"/>
    <w:rsid w:val="46C6602A"/>
    <w:rsid w:val="47131FD0"/>
    <w:rsid w:val="47226FD9"/>
    <w:rsid w:val="47471B82"/>
    <w:rsid w:val="47541888"/>
    <w:rsid w:val="4851401A"/>
    <w:rsid w:val="4886131F"/>
    <w:rsid w:val="491F5EC6"/>
    <w:rsid w:val="4A8561FD"/>
    <w:rsid w:val="4B474778"/>
    <w:rsid w:val="4BA555CD"/>
    <w:rsid w:val="4BC418CB"/>
    <w:rsid w:val="4D2910C1"/>
    <w:rsid w:val="4D3857A8"/>
    <w:rsid w:val="4FDF0F5F"/>
    <w:rsid w:val="504563B9"/>
    <w:rsid w:val="51703763"/>
    <w:rsid w:val="51890380"/>
    <w:rsid w:val="51FE4E43"/>
    <w:rsid w:val="53133D6A"/>
    <w:rsid w:val="53BE7672"/>
    <w:rsid w:val="545033D7"/>
    <w:rsid w:val="55286102"/>
    <w:rsid w:val="553F3449"/>
    <w:rsid w:val="558F6181"/>
    <w:rsid w:val="563461C0"/>
    <w:rsid w:val="5711540D"/>
    <w:rsid w:val="573F2C2B"/>
    <w:rsid w:val="57F875D8"/>
    <w:rsid w:val="58CD3E4A"/>
    <w:rsid w:val="59C117E6"/>
    <w:rsid w:val="59ED3759"/>
    <w:rsid w:val="59F74948"/>
    <w:rsid w:val="5A1924BD"/>
    <w:rsid w:val="5A5752C7"/>
    <w:rsid w:val="5B1A7364"/>
    <w:rsid w:val="5B490B80"/>
    <w:rsid w:val="5B7E7929"/>
    <w:rsid w:val="5BB22BCA"/>
    <w:rsid w:val="5C2A62A9"/>
    <w:rsid w:val="5C4401FB"/>
    <w:rsid w:val="5DB0643F"/>
    <w:rsid w:val="5DF272AD"/>
    <w:rsid w:val="5F990328"/>
    <w:rsid w:val="60FA4DF7"/>
    <w:rsid w:val="6241413E"/>
    <w:rsid w:val="624B2155"/>
    <w:rsid w:val="629E66A9"/>
    <w:rsid w:val="64B90B25"/>
    <w:rsid w:val="64EF09EB"/>
    <w:rsid w:val="65136487"/>
    <w:rsid w:val="6597225C"/>
    <w:rsid w:val="65AB7D66"/>
    <w:rsid w:val="65C41AE8"/>
    <w:rsid w:val="67E2654F"/>
    <w:rsid w:val="686A10DA"/>
    <w:rsid w:val="693D4634"/>
    <w:rsid w:val="6A2B3BF1"/>
    <w:rsid w:val="6AD21E41"/>
    <w:rsid w:val="6AF12BB7"/>
    <w:rsid w:val="6B962A4C"/>
    <w:rsid w:val="6BF42CC8"/>
    <w:rsid w:val="6BFA733C"/>
    <w:rsid w:val="6C1C42BC"/>
    <w:rsid w:val="6CAE4CE7"/>
    <w:rsid w:val="6E79493C"/>
    <w:rsid w:val="6FD11419"/>
    <w:rsid w:val="70CE5958"/>
    <w:rsid w:val="70FD7FEB"/>
    <w:rsid w:val="71092E34"/>
    <w:rsid w:val="7191527F"/>
    <w:rsid w:val="719374FA"/>
    <w:rsid w:val="71A55C17"/>
    <w:rsid w:val="7279614B"/>
    <w:rsid w:val="731E31D8"/>
    <w:rsid w:val="74246EF2"/>
    <w:rsid w:val="7456205D"/>
    <w:rsid w:val="74DB0D29"/>
    <w:rsid w:val="74EB205D"/>
    <w:rsid w:val="75492FD8"/>
    <w:rsid w:val="755A5A0C"/>
    <w:rsid w:val="75E53D52"/>
    <w:rsid w:val="76290B75"/>
    <w:rsid w:val="76856AB9"/>
    <w:rsid w:val="77185B7F"/>
    <w:rsid w:val="773C1FA3"/>
    <w:rsid w:val="777D7526"/>
    <w:rsid w:val="77EF2BD0"/>
    <w:rsid w:val="78271D19"/>
    <w:rsid w:val="78497340"/>
    <w:rsid w:val="786079EA"/>
    <w:rsid w:val="78B96EEE"/>
    <w:rsid w:val="79A24CA6"/>
    <w:rsid w:val="7A3839E0"/>
    <w:rsid w:val="7AB94F83"/>
    <w:rsid w:val="7C4A508F"/>
    <w:rsid w:val="7CD76680"/>
    <w:rsid w:val="7CE00FA6"/>
    <w:rsid w:val="7DD854A0"/>
    <w:rsid w:val="7E6D4A02"/>
    <w:rsid w:val="7EC7030B"/>
    <w:rsid w:val="7ED625F7"/>
    <w:rsid w:val="7FF57E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numPr>
        <w:ilvl w:val="0"/>
        <w:numId w:val="1"/>
      </w:numPr>
      <w:tabs>
        <w:tab w:val="left" w:pos="420"/>
      </w:tabs>
      <w:adjustRightInd w:val="0"/>
      <w:snapToGrid w:val="0"/>
      <w:spacing w:beforeLines="0" w:beforeAutospacing="0" w:afterLines="0" w:afterAutospacing="0" w:line="360" w:lineRule="auto"/>
      <w:ind w:left="425" w:hanging="425"/>
      <w:jc w:val="left"/>
      <w:outlineLvl w:val="0"/>
    </w:pPr>
    <w:rPr>
      <w:rFonts w:ascii="Calibri" w:hAnsi="Calibri" w:eastAsia="宋体" w:cs="Times New Roman"/>
      <w:b/>
      <w:kern w:val="44"/>
      <w:sz w:val="30"/>
      <w:szCs w:val="22"/>
    </w:rPr>
  </w:style>
  <w:style w:type="paragraph" w:styleId="5">
    <w:name w:val="heading 2"/>
    <w:basedOn w:val="1"/>
    <w:next w:val="1"/>
    <w:unhideWhenUsed/>
    <w:qFormat/>
    <w:uiPriority w:val="0"/>
    <w:pPr>
      <w:keepNext/>
      <w:keepLines/>
      <w:numPr>
        <w:ilvl w:val="1"/>
        <w:numId w:val="1"/>
      </w:numPr>
      <w:tabs>
        <w:tab w:val="left" w:pos="420"/>
      </w:tabs>
      <w:spacing w:line="360" w:lineRule="auto"/>
      <w:ind w:left="567" w:hanging="567"/>
      <w:jc w:val="left"/>
      <w:outlineLvl w:val="1"/>
    </w:pPr>
    <w:rPr>
      <w:rFonts w:eastAsia="宋体" w:asciiTheme="majorAscii" w:hAnsiTheme="majorAscii" w:cstheme="majorBidi"/>
      <w:b/>
      <w:bCs/>
      <w:sz w:val="28"/>
      <w:szCs w:val="32"/>
    </w:rPr>
  </w:style>
  <w:style w:type="paragraph" w:styleId="6">
    <w:name w:val="heading 3"/>
    <w:basedOn w:val="1"/>
    <w:next w:val="1"/>
    <w:semiHidden/>
    <w:unhideWhenUsed/>
    <w:qFormat/>
    <w:uiPriority w:val="0"/>
    <w:pPr>
      <w:keepNext/>
      <w:keepLines/>
      <w:numPr>
        <w:ilvl w:val="2"/>
        <w:numId w:val="2"/>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semiHidden/>
    <w:unhideWhenUsed/>
    <w:qFormat/>
    <w:uiPriority w:val="0"/>
    <w:pPr>
      <w:keepNext/>
      <w:keepLines/>
      <w:numPr>
        <w:ilvl w:val="3"/>
        <w:numId w:val="2"/>
      </w:numPr>
      <w:spacing w:before="280" w:beforeLines="0" w:beforeAutospacing="0" w:after="290" w:afterLines="0" w:afterAutospacing="0" w:line="372" w:lineRule="auto"/>
      <w:ind w:left="864" w:hanging="864"/>
      <w:outlineLvl w:val="3"/>
    </w:pPr>
    <w:rPr>
      <w:rFonts w:ascii="Arial" w:hAnsi="Arial" w:eastAsia="黑体"/>
      <w:b/>
      <w:sz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rPr>
      <w:kern w:val="2"/>
      <w:sz w:val="21"/>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paragraph" w:styleId="8">
    <w:name w:val="Normal Indent"/>
    <w:basedOn w:val="1"/>
    <w:qFormat/>
    <w:uiPriority w:val="0"/>
    <w:pPr>
      <w:ind w:firstLine="624"/>
      <w:jc w:val="left"/>
    </w:pPr>
  </w:style>
  <w:style w:type="paragraph" w:styleId="9">
    <w:name w:val="footer"/>
    <w:basedOn w:val="1"/>
    <w:qFormat/>
    <w:uiPriority w:val="99"/>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able of figures"/>
    <w:basedOn w:val="1"/>
    <w:next w:val="1"/>
    <w:unhideWhenUsed/>
    <w:qFormat/>
    <w:uiPriority w:val="99"/>
    <w:pPr>
      <w:spacing w:line="400" w:lineRule="exact"/>
      <w:ind w:left="200" w:leftChars="200" w:hanging="200" w:hangingChars="200"/>
    </w:pPr>
    <w:rPr>
      <w:rFonts w:ascii="Calibri" w:hAnsi="Calibri" w:cs="黑体"/>
      <w:sz w:val="28"/>
      <w:szCs w:val="22"/>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B2"/>
    <w:basedOn w:val="5"/>
    <w:qFormat/>
    <w:uiPriority w:val="0"/>
    <w:pPr>
      <w:spacing w:before="0" w:after="0" w:line="360" w:lineRule="auto"/>
    </w:pPr>
    <w:rPr>
      <w:rFonts w:ascii="宋体" w:hAnsi="宋体" w:eastAsia="宋体" w:cs="宋体"/>
      <w:sz w:val="28"/>
      <w:szCs w:val="28"/>
    </w:rPr>
  </w:style>
  <w:style w:type="paragraph" w:customStyle="1" w:styleId="16">
    <w:name w:val="缩正文"/>
    <w:basedOn w:val="1"/>
    <w:qFormat/>
    <w:uiPriority w:val="0"/>
    <w:pPr>
      <w:ind w:firstLine="420" w:firstLineChars="200"/>
    </w:pPr>
    <w:rPr>
      <w:rFonts w:ascii="宋体" w:hAnsi="宋体" w:eastAsia="宋体" w:cs="宋体"/>
      <w:szCs w:val="21"/>
    </w:rPr>
  </w:style>
  <w:style w:type="paragraph" w:customStyle="1" w:styleId="17">
    <w:name w:val="样式1"/>
    <w:basedOn w:val="1"/>
    <w:qFormat/>
    <w:uiPriority w:val="0"/>
    <w:pPr>
      <w:numPr>
        <w:ilvl w:val="2"/>
        <w:numId w:val="3"/>
      </w:numPr>
    </w:pPr>
  </w:style>
  <w:style w:type="paragraph" w:customStyle="1" w:styleId="18">
    <w:name w:val="Normal Indent1"/>
    <w:basedOn w:val="1"/>
    <w:qFormat/>
    <w:uiPriority w:val="0"/>
    <w:pPr>
      <w:ind w:firstLine="200" w:firstLineChars="200"/>
    </w:pPr>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2961</Words>
  <Characters>2990</Characters>
  <Lines>0</Lines>
  <Paragraphs>0</Paragraphs>
  <TotalTime>2</TotalTime>
  <ScaleCrop>false</ScaleCrop>
  <LinksUpToDate>false</LinksUpToDate>
  <CharactersWithSpaces>3008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2025-05-20T08:41:00Z</dcterms:created>
  <dc:creator>NESX</dc:creator>
  <cp:lastModifiedBy>胡铭海</cp:lastModifiedBy>
  <dcterms:modified xsi:type="dcterms:W3CDTF">2026-10-30T01:24:52Z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eyJoZGlkIjoiZWRlN2FiOWIyMGY1YWEzYzU5MzJmM2I1YjU0YmI2NWUiLCJ1c2VySWQiOiI1MTgzMDY4MzYifQ==</vt:lpwstr>
  </property>
  <property fmtid="{D5CDD505-2E9C-101B-9397-08002B2CF9AE}" pid="4" name="ICV">
    <vt:lpwstr>6BFBB036046640529B4D504113D66FF8_13</vt:lpwstr>
  </property>
</Properties>
</file>