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E841A7">
      <w:pPr>
        <w:jc w:val="center"/>
        <w:rPr>
          <w:rFonts w:hAnsi="宋体" w:cs="宋体"/>
          <w:sz w:val="44"/>
          <w:szCs w:val="44"/>
          <w:highlight w:val="none"/>
        </w:rPr>
      </w:pPr>
      <w:r>
        <w:rPr>
          <w:rFonts w:ascii="黑体" w:hAnsi="黑体" w:eastAsia="黑体"/>
          <w:b/>
          <w:sz w:val="48"/>
          <w:szCs w:val="48"/>
          <w:highlight w:val="none"/>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-946785</wp:posOffset>
            </wp:positionV>
            <wp:extent cx="7797165" cy="2593340"/>
            <wp:effectExtent l="0" t="0" r="13335" b="16510"/>
            <wp:wrapNone/>
            <wp:docPr id="2"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模板-3"/>
                    <pic:cNvPicPr>
                      <a:picLocks noChangeAspect="1"/>
                    </pic:cNvPicPr>
                  </pic:nvPicPr>
                  <pic:blipFill>
                    <a:blip r:embed="rId10"/>
                    <a:stretch>
                      <a:fillRect/>
                    </a:stretch>
                  </pic:blipFill>
                  <pic:spPr>
                    <a:xfrm>
                      <a:off x="0" y="0"/>
                      <a:ext cx="7797165" cy="2593340"/>
                    </a:xfrm>
                    <a:prstGeom prst="rect">
                      <a:avLst/>
                    </a:prstGeom>
                    <a:noFill/>
                    <a:ln>
                      <a:noFill/>
                    </a:ln>
                  </pic:spPr>
                </pic:pic>
              </a:graphicData>
            </a:graphic>
          </wp:anchor>
        </w:drawing>
      </w:r>
    </w:p>
    <w:p w14:paraId="05FEA4E4">
      <w:pPr>
        <w:jc w:val="center"/>
        <w:rPr>
          <w:rFonts w:hAnsi="宋体" w:cs="宋体"/>
          <w:sz w:val="44"/>
          <w:szCs w:val="44"/>
          <w:highlight w:val="none"/>
        </w:rPr>
      </w:pPr>
    </w:p>
    <w:p w14:paraId="1523E061">
      <w:pPr>
        <w:jc w:val="center"/>
        <w:rPr>
          <w:rFonts w:hAnsi="宋体" w:cs="宋体"/>
          <w:sz w:val="44"/>
          <w:szCs w:val="44"/>
          <w:highlight w:val="none"/>
        </w:rPr>
      </w:pPr>
    </w:p>
    <w:p w14:paraId="7D7C8AA0">
      <w:pPr>
        <w:jc w:val="center"/>
        <w:rPr>
          <w:rFonts w:hAnsi="宋体" w:cs="宋体"/>
          <w:sz w:val="44"/>
          <w:szCs w:val="44"/>
          <w:highlight w:val="none"/>
        </w:rPr>
      </w:pPr>
    </w:p>
    <w:p w14:paraId="318EEA9D">
      <w:pPr>
        <w:jc w:val="center"/>
        <w:rPr>
          <w:rFonts w:hAnsi="宋体" w:cs="宋体"/>
          <w:sz w:val="44"/>
          <w:szCs w:val="44"/>
          <w:highlight w:val="none"/>
        </w:rPr>
      </w:pPr>
    </w:p>
    <w:p w14:paraId="00FEBE3A">
      <w:pPr>
        <w:pStyle w:val="7"/>
        <w:spacing w:line="360" w:lineRule="auto"/>
        <w:ind w:left="-648" w:leftChars="-270" w:right="-706" w:rightChars="-294"/>
        <w:jc w:val="center"/>
        <w:rPr>
          <w:rFonts w:hint="eastAsia" w:hAnsi="宋体" w:eastAsia="宋体" w:cs="宋体"/>
          <w:b/>
          <w:bCs/>
          <w:sz w:val="44"/>
          <w:szCs w:val="44"/>
          <w:highlight w:val="none"/>
          <w:lang w:val="en-US" w:eastAsia="zh-CN"/>
        </w:rPr>
      </w:pPr>
      <w:r>
        <w:rPr>
          <w:rFonts w:hint="eastAsia" w:hAnsi="宋体" w:eastAsia="宋体" w:cs="宋体"/>
          <w:b/>
          <w:bCs/>
          <w:sz w:val="44"/>
          <w:szCs w:val="44"/>
          <w:highlight w:val="none"/>
          <w:lang w:val="en-US" w:eastAsia="zh-CN"/>
        </w:rPr>
        <w:t>数智运营中心2026年日常生产资金</w:t>
      </w:r>
    </w:p>
    <w:p w14:paraId="1859024C">
      <w:pPr>
        <w:pStyle w:val="7"/>
        <w:spacing w:line="360" w:lineRule="auto"/>
        <w:ind w:left="-648" w:leftChars="-270" w:right="-706" w:rightChars="-294"/>
        <w:jc w:val="center"/>
        <w:rPr>
          <w:rFonts w:hint="eastAsia" w:hAnsi="宋体" w:cs="宋体"/>
          <w:b/>
          <w:bCs/>
          <w:sz w:val="44"/>
          <w:szCs w:val="44"/>
          <w:highlight w:val="none"/>
        </w:rPr>
      </w:pPr>
      <w:r>
        <w:rPr>
          <w:rFonts w:hint="eastAsia" w:hAnsi="宋体" w:eastAsia="宋体" w:cs="宋体"/>
          <w:b/>
          <w:bCs/>
          <w:sz w:val="44"/>
          <w:szCs w:val="44"/>
          <w:highlight w:val="none"/>
          <w:lang w:val="en-US" w:eastAsia="zh-CN"/>
        </w:rPr>
        <w:t>（信息材料及耗材）</w:t>
      </w:r>
    </w:p>
    <w:p w14:paraId="5C83A7D8">
      <w:pPr>
        <w:jc w:val="center"/>
        <w:rPr>
          <w:rFonts w:hint="eastAsia" w:hAnsi="宋体" w:cs="宋体"/>
          <w:b/>
          <w:bCs/>
          <w:sz w:val="44"/>
          <w:szCs w:val="44"/>
          <w:highlight w:val="none"/>
        </w:rPr>
      </w:pPr>
      <w:r>
        <w:rPr>
          <w:rFonts w:hint="eastAsia" w:hAnsi="宋体" w:cs="宋体"/>
          <w:b/>
          <w:bCs/>
          <w:sz w:val="44"/>
          <w:szCs w:val="44"/>
          <w:highlight w:val="none"/>
        </w:rPr>
        <w:t>技术规范书</w:t>
      </w:r>
    </w:p>
    <w:p w14:paraId="7C2BD369">
      <w:pPr>
        <w:jc w:val="center"/>
        <w:rPr>
          <w:rFonts w:hAnsi="宋体" w:cs="宋体"/>
          <w:sz w:val="44"/>
          <w:szCs w:val="44"/>
          <w:highlight w:val="none"/>
        </w:rPr>
      </w:pPr>
    </w:p>
    <w:p w14:paraId="153D0008">
      <w:pPr>
        <w:rPr>
          <w:rFonts w:hAnsi="宋体" w:cs="宋体"/>
          <w:highlight w:val="none"/>
        </w:rPr>
      </w:pPr>
    </w:p>
    <w:p w14:paraId="4FBB3CB4">
      <w:pPr>
        <w:rPr>
          <w:rFonts w:hAnsi="宋体" w:cs="宋体"/>
          <w:highlight w:val="none"/>
        </w:rPr>
      </w:pPr>
    </w:p>
    <w:p w14:paraId="32387B86">
      <w:pPr>
        <w:jc w:val="left"/>
        <w:rPr>
          <w:rFonts w:hAnsi="宋体" w:cs="宋体"/>
          <w:highlight w:val="none"/>
        </w:rPr>
      </w:pPr>
    </w:p>
    <w:p w14:paraId="2E30B289">
      <w:pPr>
        <w:rPr>
          <w:rFonts w:hAnsi="宋体" w:cs="宋体"/>
          <w:highlight w:val="none"/>
        </w:rPr>
      </w:pPr>
    </w:p>
    <w:p w14:paraId="1DA9D5CA">
      <w:pPr>
        <w:rPr>
          <w:rFonts w:hAnsi="宋体" w:cs="宋体"/>
          <w:highlight w:val="none"/>
        </w:rPr>
      </w:pPr>
    </w:p>
    <w:p w14:paraId="4B711C34">
      <w:pPr>
        <w:rPr>
          <w:rFonts w:hAnsi="宋体" w:cs="宋体"/>
          <w:highlight w:val="none"/>
        </w:rPr>
      </w:pPr>
    </w:p>
    <w:p w14:paraId="57758EF8">
      <w:pPr>
        <w:rPr>
          <w:rFonts w:hAnsi="宋体" w:cs="宋体"/>
          <w:highlight w:val="none"/>
        </w:rPr>
      </w:pPr>
    </w:p>
    <w:p w14:paraId="039E0F7F">
      <w:pPr>
        <w:rPr>
          <w:rFonts w:hAnsi="宋体" w:cs="宋体"/>
          <w:highlight w:val="none"/>
        </w:rPr>
      </w:pPr>
    </w:p>
    <w:p w14:paraId="4617518B">
      <w:pPr>
        <w:rPr>
          <w:rFonts w:hAnsi="宋体" w:cs="宋体"/>
          <w:highlight w:val="none"/>
        </w:rPr>
      </w:pPr>
    </w:p>
    <w:p w14:paraId="5C829AFC">
      <w:pPr>
        <w:rPr>
          <w:rFonts w:hAnsi="宋体" w:cs="宋体"/>
          <w:highlight w:val="none"/>
        </w:rPr>
      </w:pPr>
    </w:p>
    <w:p w14:paraId="4A23858B">
      <w:pPr>
        <w:rPr>
          <w:rFonts w:hAnsi="宋体" w:cs="宋体"/>
          <w:highlight w:val="none"/>
        </w:rPr>
      </w:pPr>
    </w:p>
    <w:p w14:paraId="1F6885E4">
      <w:pPr>
        <w:rPr>
          <w:rFonts w:hAnsi="宋体" w:cs="宋体"/>
          <w:highlight w:val="none"/>
        </w:rPr>
      </w:pPr>
    </w:p>
    <w:p w14:paraId="09007E57">
      <w:pPr>
        <w:rPr>
          <w:rFonts w:hAnsi="宋体" w:cs="宋体"/>
          <w:highlight w:val="none"/>
        </w:rPr>
      </w:pPr>
    </w:p>
    <w:p w14:paraId="48730C03">
      <w:pPr>
        <w:jc w:val="center"/>
        <w:rPr>
          <w:rFonts w:hAnsi="宋体" w:cs="宋体"/>
          <w:b/>
          <w:sz w:val="28"/>
          <w:szCs w:val="32"/>
          <w:highlight w:val="none"/>
        </w:rPr>
      </w:pPr>
      <w:r>
        <w:rPr>
          <w:rFonts w:hint="eastAsia" w:hAnsi="宋体" w:cs="宋体"/>
          <w:b/>
          <w:sz w:val="28"/>
          <w:szCs w:val="32"/>
          <w:highlight w:val="none"/>
        </w:rPr>
        <w:t>广西电网有限责任公司</w:t>
      </w:r>
      <w:r>
        <w:rPr>
          <w:rFonts w:hint="eastAsia" w:hAnsi="宋体" w:cs="宋体"/>
          <w:b/>
          <w:sz w:val="28"/>
          <w:szCs w:val="32"/>
          <w:highlight w:val="none"/>
          <w:lang w:eastAsia="zh-CN"/>
        </w:rPr>
        <w:t>数智运营</w:t>
      </w:r>
      <w:r>
        <w:rPr>
          <w:rFonts w:hint="eastAsia" w:hAnsi="宋体" w:cs="宋体"/>
          <w:b/>
          <w:sz w:val="28"/>
          <w:szCs w:val="32"/>
          <w:highlight w:val="none"/>
        </w:rPr>
        <w:t>中心</w:t>
      </w:r>
    </w:p>
    <w:p w14:paraId="6B6B2954">
      <w:pPr>
        <w:jc w:val="center"/>
        <w:rPr>
          <w:rFonts w:hAnsi="宋体" w:cs="宋体"/>
          <w:b/>
          <w:sz w:val="28"/>
          <w:szCs w:val="32"/>
          <w:highlight w:val="none"/>
        </w:rPr>
      </w:pPr>
      <w:r>
        <w:rPr>
          <w:rFonts w:hint="eastAsia" w:hAnsi="宋体" w:cs="宋体"/>
          <w:b/>
          <w:sz w:val="28"/>
          <w:szCs w:val="32"/>
          <w:highlight w:val="none"/>
        </w:rPr>
        <w:t>202</w:t>
      </w:r>
      <w:r>
        <w:rPr>
          <w:rFonts w:hint="default" w:hAnsi="宋体" w:cs="宋体"/>
          <w:b/>
          <w:sz w:val="28"/>
          <w:szCs w:val="32"/>
          <w:highlight w:val="none"/>
          <w:lang w:val="en-US" w:eastAsia="zh-CN"/>
        </w:rPr>
        <w:t>6</w:t>
      </w:r>
      <w:r>
        <w:rPr>
          <w:rFonts w:hint="eastAsia" w:hAnsi="宋体" w:cs="宋体"/>
          <w:b/>
          <w:sz w:val="28"/>
          <w:szCs w:val="32"/>
          <w:highlight w:val="none"/>
        </w:rPr>
        <w:t>年</w:t>
      </w:r>
      <w:r>
        <w:rPr>
          <w:rFonts w:hint="eastAsia" w:hAnsi="宋体" w:cs="宋体"/>
          <w:b/>
          <w:sz w:val="28"/>
          <w:szCs w:val="32"/>
          <w:highlight w:val="none"/>
          <w:lang w:val="en-US" w:eastAsia="zh-CN"/>
        </w:rPr>
        <w:t>10</w:t>
      </w:r>
      <w:r>
        <w:rPr>
          <w:rFonts w:hint="eastAsia" w:hAnsi="宋体" w:cs="宋体"/>
          <w:b/>
          <w:sz w:val="28"/>
          <w:szCs w:val="32"/>
          <w:highlight w:val="none"/>
        </w:rPr>
        <w:t>月</w:t>
      </w:r>
    </w:p>
    <w:p w14:paraId="4DAD5200">
      <w:pPr>
        <w:jc w:val="center"/>
        <w:rPr>
          <w:rFonts w:hAnsi="宋体" w:cs="宋体"/>
          <w:b/>
          <w:highlight w:val="none"/>
        </w:rPr>
      </w:pPr>
      <w:r>
        <w:rPr>
          <w:rFonts w:hint="eastAsia" w:hAnsi="宋体" w:cs="宋体"/>
          <w:highlight w:val="none"/>
        </w:rPr>
        <w:br w:type="page"/>
      </w:r>
      <w:r>
        <w:rPr>
          <w:rFonts w:hint="eastAsia" w:hAnsi="宋体" w:cs="宋体"/>
          <w:b/>
          <w:sz w:val="32"/>
          <w:highlight w:val="none"/>
        </w:rPr>
        <w:t>目  录</w:t>
      </w:r>
    </w:p>
    <w:p w14:paraId="3FE909CD">
      <w:pPr>
        <w:pStyle w:val="11"/>
        <w:tabs>
          <w:tab w:val="right" w:leader="dot" w:pos="8306"/>
          <w:tab w:val="clear" w:pos="8296"/>
        </w:tabs>
        <w:rPr>
          <w:highlight w:val="none"/>
        </w:rPr>
      </w:pPr>
      <w:r>
        <w:rPr>
          <w:rFonts w:hint="eastAsia" w:hAnsi="宋体" w:cs="宋体"/>
          <w:highlight w:val="none"/>
        </w:rPr>
        <w:fldChar w:fldCharType="begin"/>
      </w:r>
      <w:r>
        <w:rPr>
          <w:rFonts w:hint="eastAsia" w:hAnsi="宋体" w:cs="宋体"/>
          <w:highlight w:val="none"/>
        </w:rPr>
        <w:instrText xml:space="preserve"> TOC \o "1-1" \h \z \u </w:instrText>
      </w:r>
      <w:r>
        <w:rPr>
          <w:rFonts w:hint="eastAsia" w:hAnsi="宋体" w:cs="宋体"/>
          <w:highlight w:val="none"/>
        </w:rPr>
        <w:fldChar w:fldCharType="separate"/>
      </w:r>
      <w:r>
        <w:rPr>
          <w:rFonts w:hint="eastAsia" w:hAnsi="宋体" w:cs="宋体"/>
          <w:highlight w:val="none"/>
        </w:rPr>
        <w:fldChar w:fldCharType="begin"/>
      </w:r>
      <w:r>
        <w:rPr>
          <w:rFonts w:hint="eastAsia" w:hAnsi="宋体" w:cs="宋体"/>
          <w:highlight w:val="none"/>
        </w:rPr>
        <w:instrText xml:space="preserve"> HYPERLINK \l _Toc25983 </w:instrText>
      </w:r>
      <w:r>
        <w:rPr>
          <w:rFonts w:hint="eastAsia" w:hAnsi="宋体" w:cs="宋体"/>
          <w:highlight w:val="none"/>
        </w:rPr>
        <w:fldChar w:fldCharType="separate"/>
      </w:r>
      <w:r>
        <w:rPr>
          <w:rFonts w:hint="eastAsia" w:ascii="宋体" w:hAnsi="Times New Roman" w:eastAsia="宋体" w:cs="宋体"/>
          <w:i w:val="0"/>
          <w:position w:val="0"/>
          <w:szCs w:val="24"/>
          <w:highlight w:val="none"/>
        </w:rPr>
        <w:t xml:space="preserve">1 </w:t>
      </w:r>
      <w:r>
        <w:rPr>
          <w:rFonts w:hint="eastAsia" w:hAnsi="宋体" w:cs="宋体"/>
          <w:szCs w:val="24"/>
          <w:highlight w:val="none"/>
        </w:rPr>
        <w:t>总则</w:t>
      </w:r>
      <w:r>
        <w:rPr>
          <w:highlight w:val="none"/>
        </w:rPr>
        <w:tab/>
      </w:r>
      <w:r>
        <w:rPr>
          <w:highlight w:val="none"/>
        </w:rPr>
        <w:fldChar w:fldCharType="begin"/>
      </w:r>
      <w:r>
        <w:rPr>
          <w:highlight w:val="none"/>
        </w:rPr>
        <w:instrText xml:space="preserve"> PAGEREF _Toc25983 \h </w:instrText>
      </w:r>
      <w:r>
        <w:rPr>
          <w:highlight w:val="none"/>
        </w:rPr>
        <w:fldChar w:fldCharType="separate"/>
      </w:r>
      <w:r>
        <w:rPr>
          <w:highlight w:val="none"/>
        </w:rPr>
        <w:t>1</w:t>
      </w:r>
      <w:r>
        <w:rPr>
          <w:highlight w:val="none"/>
        </w:rPr>
        <w:fldChar w:fldCharType="end"/>
      </w:r>
      <w:r>
        <w:rPr>
          <w:rFonts w:hint="eastAsia" w:hAnsi="宋体" w:cs="宋体"/>
          <w:highlight w:val="none"/>
        </w:rPr>
        <w:fldChar w:fldCharType="end"/>
      </w:r>
    </w:p>
    <w:p w14:paraId="6D7F55C6">
      <w:pPr>
        <w:pStyle w:val="11"/>
        <w:tabs>
          <w:tab w:val="right" w:leader="dot" w:pos="8306"/>
          <w:tab w:val="clear" w:pos="8296"/>
        </w:tabs>
        <w:rPr>
          <w:highlight w:val="none"/>
        </w:rPr>
      </w:pPr>
      <w:r>
        <w:rPr>
          <w:rFonts w:hint="eastAsia" w:hAnsi="宋体" w:cs="宋体"/>
          <w:highlight w:val="none"/>
        </w:rPr>
        <w:fldChar w:fldCharType="begin"/>
      </w:r>
      <w:r>
        <w:rPr>
          <w:rFonts w:hint="eastAsia" w:hAnsi="宋体" w:cs="宋体"/>
          <w:highlight w:val="none"/>
        </w:rPr>
        <w:instrText xml:space="preserve"> HYPERLINK \l _Toc15047 </w:instrText>
      </w:r>
      <w:r>
        <w:rPr>
          <w:rFonts w:hint="eastAsia" w:hAnsi="宋体" w:cs="宋体"/>
          <w:highlight w:val="none"/>
        </w:rPr>
        <w:fldChar w:fldCharType="separate"/>
      </w:r>
      <w:r>
        <w:rPr>
          <w:rFonts w:hint="eastAsia" w:ascii="宋体" w:hAnsi="Times New Roman" w:eastAsia="宋体" w:cs="宋体"/>
          <w:i w:val="0"/>
          <w:position w:val="0"/>
          <w:szCs w:val="24"/>
          <w:highlight w:val="none"/>
        </w:rPr>
        <w:t xml:space="preserve">2 </w:t>
      </w:r>
      <w:r>
        <w:rPr>
          <w:rFonts w:hint="eastAsia" w:hAnsi="宋体" w:cs="宋体"/>
          <w:szCs w:val="24"/>
          <w:highlight w:val="none"/>
        </w:rPr>
        <w:t>范围</w:t>
      </w:r>
      <w:r>
        <w:rPr>
          <w:highlight w:val="none"/>
        </w:rPr>
        <w:tab/>
      </w:r>
      <w:r>
        <w:rPr>
          <w:highlight w:val="none"/>
        </w:rPr>
        <w:fldChar w:fldCharType="begin"/>
      </w:r>
      <w:r>
        <w:rPr>
          <w:highlight w:val="none"/>
        </w:rPr>
        <w:instrText xml:space="preserve"> PAGEREF _Toc15047 \h </w:instrText>
      </w:r>
      <w:r>
        <w:rPr>
          <w:highlight w:val="none"/>
        </w:rPr>
        <w:fldChar w:fldCharType="separate"/>
      </w:r>
      <w:r>
        <w:rPr>
          <w:highlight w:val="none"/>
        </w:rPr>
        <w:t>1</w:t>
      </w:r>
      <w:r>
        <w:rPr>
          <w:highlight w:val="none"/>
        </w:rPr>
        <w:fldChar w:fldCharType="end"/>
      </w:r>
      <w:r>
        <w:rPr>
          <w:rFonts w:hint="eastAsia" w:hAnsi="宋体" w:cs="宋体"/>
          <w:highlight w:val="none"/>
        </w:rPr>
        <w:fldChar w:fldCharType="end"/>
      </w:r>
    </w:p>
    <w:p w14:paraId="4EA16CE0">
      <w:pPr>
        <w:pStyle w:val="11"/>
        <w:tabs>
          <w:tab w:val="right" w:leader="dot" w:pos="8306"/>
          <w:tab w:val="clear" w:pos="8296"/>
        </w:tabs>
        <w:rPr>
          <w:highlight w:val="none"/>
        </w:rPr>
      </w:pPr>
      <w:r>
        <w:rPr>
          <w:rFonts w:hint="eastAsia" w:hAnsi="宋体" w:cs="宋体"/>
          <w:highlight w:val="none"/>
        </w:rPr>
        <w:fldChar w:fldCharType="begin"/>
      </w:r>
      <w:r>
        <w:rPr>
          <w:rFonts w:hint="eastAsia" w:hAnsi="宋体" w:cs="宋体"/>
          <w:highlight w:val="none"/>
        </w:rPr>
        <w:instrText xml:space="preserve"> HYPERLINK \l _Toc18153 </w:instrText>
      </w:r>
      <w:r>
        <w:rPr>
          <w:rFonts w:hint="eastAsia" w:hAnsi="宋体" w:cs="宋体"/>
          <w:highlight w:val="none"/>
        </w:rPr>
        <w:fldChar w:fldCharType="separate"/>
      </w:r>
      <w:r>
        <w:rPr>
          <w:rFonts w:hint="eastAsia" w:ascii="宋体" w:hAnsi="Times New Roman" w:eastAsia="宋体" w:cs="宋体"/>
          <w:i w:val="0"/>
          <w:position w:val="0"/>
          <w:szCs w:val="24"/>
          <w:highlight w:val="none"/>
        </w:rPr>
        <w:t xml:space="preserve">3 </w:t>
      </w:r>
      <w:r>
        <w:rPr>
          <w:rFonts w:hint="eastAsia" w:hAnsi="宋体" w:cs="宋体"/>
          <w:szCs w:val="24"/>
          <w:highlight w:val="none"/>
        </w:rPr>
        <w:t>应遵循的主要标准</w:t>
      </w:r>
      <w:r>
        <w:rPr>
          <w:highlight w:val="none"/>
        </w:rPr>
        <w:tab/>
      </w:r>
      <w:r>
        <w:rPr>
          <w:highlight w:val="none"/>
        </w:rPr>
        <w:fldChar w:fldCharType="begin"/>
      </w:r>
      <w:r>
        <w:rPr>
          <w:highlight w:val="none"/>
        </w:rPr>
        <w:instrText xml:space="preserve"> PAGEREF _Toc18153 \h </w:instrText>
      </w:r>
      <w:r>
        <w:rPr>
          <w:highlight w:val="none"/>
        </w:rPr>
        <w:fldChar w:fldCharType="separate"/>
      </w:r>
      <w:r>
        <w:rPr>
          <w:highlight w:val="none"/>
        </w:rPr>
        <w:t>2</w:t>
      </w:r>
      <w:r>
        <w:rPr>
          <w:highlight w:val="none"/>
        </w:rPr>
        <w:fldChar w:fldCharType="end"/>
      </w:r>
      <w:r>
        <w:rPr>
          <w:rFonts w:hint="eastAsia" w:hAnsi="宋体" w:cs="宋体"/>
          <w:highlight w:val="none"/>
        </w:rPr>
        <w:fldChar w:fldCharType="end"/>
      </w:r>
    </w:p>
    <w:p w14:paraId="5A9E616F">
      <w:pPr>
        <w:pStyle w:val="11"/>
        <w:tabs>
          <w:tab w:val="right" w:leader="dot" w:pos="8306"/>
          <w:tab w:val="clear" w:pos="8296"/>
        </w:tabs>
        <w:rPr>
          <w:highlight w:val="none"/>
        </w:rPr>
      </w:pPr>
      <w:r>
        <w:rPr>
          <w:rFonts w:hint="eastAsia" w:hAnsi="宋体" w:cs="宋体"/>
          <w:highlight w:val="none"/>
        </w:rPr>
        <w:fldChar w:fldCharType="begin"/>
      </w:r>
      <w:r>
        <w:rPr>
          <w:rFonts w:hint="eastAsia" w:hAnsi="宋体" w:cs="宋体"/>
          <w:highlight w:val="none"/>
        </w:rPr>
        <w:instrText xml:space="preserve"> HYPERLINK \l _Toc195 </w:instrText>
      </w:r>
      <w:r>
        <w:rPr>
          <w:rFonts w:hint="eastAsia" w:hAnsi="宋体" w:cs="宋体"/>
          <w:highlight w:val="none"/>
        </w:rPr>
        <w:fldChar w:fldCharType="separate"/>
      </w:r>
      <w:r>
        <w:rPr>
          <w:rFonts w:hint="eastAsia" w:ascii="宋体" w:hAnsi="Times New Roman" w:eastAsia="宋体" w:cs="宋体"/>
          <w:i w:val="0"/>
          <w:position w:val="0"/>
          <w:szCs w:val="24"/>
          <w:highlight w:val="none"/>
        </w:rPr>
        <w:t xml:space="preserve">4 </w:t>
      </w:r>
      <w:r>
        <w:rPr>
          <w:rFonts w:hint="eastAsia" w:hAnsi="宋体" w:cs="宋体"/>
          <w:szCs w:val="24"/>
          <w:highlight w:val="none"/>
        </w:rPr>
        <w:t>使用条件</w:t>
      </w:r>
      <w:r>
        <w:rPr>
          <w:highlight w:val="none"/>
        </w:rPr>
        <w:tab/>
      </w:r>
      <w:r>
        <w:rPr>
          <w:highlight w:val="none"/>
        </w:rPr>
        <w:fldChar w:fldCharType="begin"/>
      </w:r>
      <w:r>
        <w:rPr>
          <w:highlight w:val="none"/>
        </w:rPr>
        <w:instrText xml:space="preserve"> PAGEREF _Toc195 \h </w:instrText>
      </w:r>
      <w:r>
        <w:rPr>
          <w:highlight w:val="none"/>
        </w:rPr>
        <w:fldChar w:fldCharType="separate"/>
      </w:r>
      <w:r>
        <w:rPr>
          <w:highlight w:val="none"/>
        </w:rPr>
        <w:t>2</w:t>
      </w:r>
      <w:r>
        <w:rPr>
          <w:highlight w:val="none"/>
        </w:rPr>
        <w:fldChar w:fldCharType="end"/>
      </w:r>
      <w:r>
        <w:rPr>
          <w:rFonts w:hint="eastAsia" w:hAnsi="宋体" w:cs="宋体"/>
          <w:highlight w:val="none"/>
        </w:rPr>
        <w:fldChar w:fldCharType="end"/>
      </w:r>
    </w:p>
    <w:p w14:paraId="2F302E86">
      <w:pPr>
        <w:pStyle w:val="11"/>
        <w:tabs>
          <w:tab w:val="right" w:leader="dot" w:pos="8306"/>
          <w:tab w:val="clear" w:pos="8296"/>
        </w:tabs>
        <w:rPr>
          <w:highlight w:val="none"/>
        </w:rPr>
      </w:pPr>
      <w:r>
        <w:rPr>
          <w:rFonts w:hint="eastAsia" w:hAnsi="宋体" w:cs="宋体"/>
          <w:highlight w:val="none"/>
        </w:rPr>
        <w:fldChar w:fldCharType="begin"/>
      </w:r>
      <w:r>
        <w:rPr>
          <w:rFonts w:hint="eastAsia" w:hAnsi="宋体" w:cs="宋体"/>
          <w:highlight w:val="none"/>
        </w:rPr>
        <w:instrText xml:space="preserve"> HYPERLINK \l _Toc29159 </w:instrText>
      </w:r>
      <w:r>
        <w:rPr>
          <w:rFonts w:hint="eastAsia" w:hAnsi="宋体" w:cs="宋体"/>
          <w:highlight w:val="none"/>
        </w:rPr>
        <w:fldChar w:fldCharType="separate"/>
      </w:r>
      <w:r>
        <w:rPr>
          <w:rFonts w:hint="eastAsia" w:ascii="宋体" w:hAnsi="Times New Roman" w:eastAsia="宋体" w:cs="宋体"/>
          <w:i w:val="0"/>
          <w:position w:val="0"/>
          <w:szCs w:val="24"/>
          <w:highlight w:val="none"/>
        </w:rPr>
        <w:t xml:space="preserve">5 </w:t>
      </w:r>
      <w:r>
        <w:rPr>
          <w:rFonts w:hint="eastAsia" w:hAnsi="宋体" w:cs="宋体"/>
          <w:szCs w:val="24"/>
          <w:highlight w:val="none"/>
          <w:lang w:val="en-US" w:eastAsia="zh-CN"/>
        </w:rPr>
        <w:t>响应文件</w:t>
      </w:r>
      <w:r>
        <w:rPr>
          <w:rFonts w:hint="eastAsia" w:hAnsi="宋体" w:cs="宋体"/>
          <w:szCs w:val="24"/>
          <w:highlight w:val="none"/>
        </w:rPr>
        <w:t>要求</w:t>
      </w:r>
      <w:r>
        <w:rPr>
          <w:highlight w:val="none"/>
        </w:rPr>
        <w:tab/>
      </w:r>
      <w:r>
        <w:rPr>
          <w:highlight w:val="none"/>
        </w:rPr>
        <w:fldChar w:fldCharType="begin"/>
      </w:r>
      <w:r>
        <w:rPr>
          <w:highlight w:val="none"/>
        </w:rPr>
        <w:instrText xml:space="preserve"> PAGEREF _Toc29159 \h </w:instrText>
      </w:r>
      <w:r>
        <w:rPr>
          <w:highlight w:val="none"/>
        </w:rPr>
        <w:fldChar w:fldCharType="separate"/>
      </w:r>
      <w:r>
        <w:rPr>
          <w:highlight w:val="none"/>
        </w:rPr>
        <w:t>4</w:t>
      </w:r>
      <w:r>
        <w:rPr>
          <w:highlight w:val="none"/>
        </w:rPr>
        <w:fldChar w:fldCharType="end"/>
      </w:r>
      <w:r>
        <w:rPr>
          <w:rFonts w:hint="eastAsia" w:hAnsi="宋体" w:cs="宋体"/>
          <w:highlight w:val="none"/>
        </w:rPr>
        <w:fldChar w:fldCharType="end"/>
      </w:r>
    </w:p>
    <w:p w14:paraId="01F89435">
      <w:pPr>
        <w:rPr>
          <w:rFonts w:hAnsi="宋体" w:cs="宋体"/>
          <w:highlight w:val="none"/>
        </w:rPr>
      </w:pPr>
      <w:r>
        <w:rPr>
          <w:rFonts w:hint="eastAsia" w:hAnsi="宋体" w:cs="宋体"/>
          <w:highlight w:val="none"/>
        </w:rPr>
        <w:fldChar w:fldCharType="end"/>
      </w:r>
    </w:p>
    <w:p w14:paraId="34C2519E">
      <w:pPr>
        <w:rPr>
          <w:rFonts w:hAnsi="宋体" w:cs="宋体"/>
          <w:highlight w:val="none"/>
        </w:rPr>
        <w:sectPr>
          <w:footerReference r:id="rId5" w:type="default"/>
          <w:footerReference r:id="rId6" w:type="even"/>
          <w:pgSz w:w="11906" w:h="16838"/>
          <w:pgMar w:top="1440" w:right="1800" w:bottom="1440" w:left="1800" w:header="851" w:footer="992" w:gutter="0"/>
          <w:cols w:space="720" w:num="1"/>
          <w:docGrid w:type="lines" w:linePitch="312" w:charSpace="0"/>
        </w:sectPr>
      </w:pPr>
    </w:p>
    <w:p w14:paraId="32ED494C">
      <w:pPr>
        <w:pStyle w:val="4"/>
        <w:keepNext w:val="0"/>
        <w:keepLines w:val="0"/>
        <w:pageBreakBefore w:val="0"/>
        <w:widowControl/>
        <w:numPr>
          <w:ilvl w:val="0"/>
          <w:numId w:val="1"/>
        </w:numPr>
        <w:kinsoku/>
        <w:wordWrap/>
        <w:overflowPunct/>
        <w:topLinePunct w:val="0"/>
        <w:autoSpaceDE/>
        <w:autoSpaceDN/>
        <w:bidi w:val="0"/>
        <w:adjustRightInd/>
        <w:snapToGrid/>
        <w:spacing w:before="200"/>
        <w:contextualSpacing/>
        <w:jc w:val="left"/>
        <w:textAlignment w:val="auto"/>
        <w:rPr>
          <w:rFonts w:hAnsi="宋体" w:cs="宋体"/>
          <w:szCs w:val="24"/>
          <w:highlight w:val="none"/>
        </w:rPr>
      </w:pPr>
      <w:bookmarkStart w:id="0" w:name="_Toc25983"/>
      <w:r>
        <w:rPr>
          <w:rFonts w:hint="eastAsia" w:hAnsi="宋体" w:cs="宋体"/>
          <w:szCs w:val="24"/>
          <w:highlight w:val="none"/>
        </w:rPr>
        <w:t>总则</w:t>
      </w:r>
      <w:bookmarkEnd w:id="0"/>
    </w:p>
    <w:p w14:paraId="20F60722">
      <w:pPr>
        <w:pStyle w:val="5"/>
        <w:pageBreakBefore w:val="0"/>
        <w:widowControl/>
        <w:numPr>
          <w:ilvl w:val="1"/>
          <w:numId w:val="1"/>
        </w:numPr>
        <w:kinsoku/>
        <w:wordWrap/>
        <w:overflowPunct/>
        <w:topLinePunct w:val="0"/>
        <w:autoSpaceDE/>
        <w:autoSpaceDN/>
        <w:bidi w:val="0"/>
        <w:adjustRightInd/>
        <w:snapToGrid/>
        <w:jc w:val="left"/>
        <w:textAlignment w:val="auto"/>
        <w:rPr>
          <w:rFonts w:hAnsi="宋体" w:cs="宋体"/>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本招标技术文件适用于数智运营中心2026年日常生产资金（信息材料及耗材）的功能、性能、安装等方面的技术要求。</w:t>
      </w:r>
    </w:p>
    <w:p w14:paraId="2DB23730">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本招标技术文件提出的是最低限度的技术要求, 并未对一切技术细节作出规定, 也未充分引述有关标准和规范的条文, 投标方应提供符合本招标技术文件和工业标准的产品。</w:t>
      </w:r>
    </w:p>
    <w:p w14:paraId="5D122C98">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p>
    <w:p w14:paraId="1D69E200">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本招标技术文件所使用的标准如遇与投标方所执行的标准不一致时, 按较高标准执行。</w:t>
      </w:r>
    </w:p>
    <w:p w14:paraId="0C703D7D">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本招标技术文件经买、卖双方确认后作为订货合同的技术附件，与合同正文具有同等法律效力。</w:t>
      </w:r>
    </w:p>
    <w:p w14:paraId="6562C8B3">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14:paraId="5AB0BEE0">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投标方应在投标的技术应答文件按本招标技术文件的要求如实详细的填写应标设备的标准配置表，并在应标商务部分按此标准配置进行报价，如发现二者有矛盾之处，将对评标工作有不同程度的影响。</w:t>
      </w:r>
    </w:p>
    <w:p w14:paraId="4F5CD181">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48350F0C">
      <w:pPr>
        <w:pStyle w:val="5"/>
        <w:keepNext w:val="0"/>
        <w:keepLines w:val="0"/>
        <w:pageBreakBefore w:val="0"/>
        <w:widowControl/>
        <w:numPr>
          <w:ilvl w:val="1"/>
          <w:numId w:val="1"/>
        </w:numPr>
        <w:kinsoku/>
        <w:wordWrap/>
        <w:overflowPunct/>
        <w:topLinePunct w:val="0"/>
        <w:autoSpaceDE/>
        <w:autoSpaceDN/>
        <w:bidi w:val="0"/>
        <w:adjustRightInd/>
        <w:snapToGrid/>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本招标技术文件未尽事宜, 由买卖双方协商确定。</w:t>
      </w:r>
    </w:p>
    <w:p w14:paraId="3DA49F7C">
      <w:pPr>
        <w:pStyle w:val="4"/>
        <w:keepNext w:val="0"/>
        <w:keepLines w:val="0"/>
        <w:pageBreakBefore w:val="0"/>
        <w:widowControl/>
        <w:numPr>
          <w:ilvl w:val="0"/>
          <w:numId w:val="1"/>
        </w:numPr>
        <w:kinsoku/>
        <w:wordWrap/>
        <w:overflowPunct/>
        <w:topLinePunct w:val="0"/>
        <w:autoSpaceDE/>
        <w:autoSpaceDN/>
        <w:bidi w:val="0"/>
        <w:adjustRightInd/>
        <w:snapToGrid/>
        <w:spacing w:before="240"/>
        <w:contextualSpacing/>
        <w:jc w:val="left"/>
        <w:textAlignment w:val="auto"/>
        <w:rPr>
          <w:rFonts w:hAnsi="宋体" w:cs="宋体"/>
          <w:szCs w:val="24"/>
          <w:highlight w:val="none"/>
        </w:rPr>
      </w:pPr>
      <w:bookmarkStart w:id="1" w:name="_Toc352233454"/>
      <w:bookmarkStart w:id="2" w:name="_Toc15047"/>
      <w:r>
        <w:rPr>
          <w:rFonts w:hint="eastAsia" w:hAnsi="宋体" w:cs="宋体"/>
          <w:szCs w:val="24"/>
          <w:highlight w:val="none"/>
        </w:rPr>
        <w:t>范围</w:t>
      </w:r>
      <w:bookmarkEnd w:id="1"/>
      <w:bookmarkEnd w:id="2"/>
    </w:p>
    <w:p w14:paraId="0E9A1941">
      <w:pPr>
        <w:pStyle w:val="5"/>
        <w:keepNext w:val="0"/>
        <w:keepLines w:val="0"/>
        <w:pageBreakBefore w:val="0"/>
        <w:widowControl/>
        <w:numPr>
          <w:ilvl w:val="1"/>
          <w:numId w:val="1"/>
        </w:numPr>
        <w:kinsoku/>
        <w:wordWrap/>
        <w:overflowPunct/>
        <w:topLinePunct w:val="0"/>
        <w:autoSpaceDE/>
        <w:autoSpaceDN/>
        <w:bidi w:val="0"/>
        <w:adjustRightInd/>
        <w:snapToGrid/>
        <w:spacing w:before="200"/>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投标方提供的设备具体规格、数量见表1，投标方要确保供货范围完整，需满足本技术规范的供货要求及技术、功能、性能等要求，并以能满足用户安装、运行要求为原则。若签订合同后，在安装、调试、运行中发现缺项，则由投标方负责免费补充。</w:t>
      </w:r>
    </w:p>
    <w:p w14:paraId="46AEAE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Ansi="宋体" w:cs="宋体"/>
          <w:highlight w:val="none"/>
        </w:rPr>
      </w:pPr>
      <w:r>
        <w:rPr>
          <w:rFonts w:hint="eastAsia" w:hAnsi="宋体" w:cs="宋体"/>
          <w:highlight w:val="none"/>
        </w:rPr>
        <w:t>表1 供货范围及设备技术规格一览表</w:t>
      </w:r>
    </w:p>
    <w:tbl>
      <w:tblPr>
        <w:tblStyle w:val="14"/>
        <w:tblpPr w:leftFromText="180" w:rightFromText="180" w:vertAnchor="text" w:horzAnchor="page" w:tblpX="1801" w:tblpY="461"/>
        <w:tblOverlap w:val="never"/>
        <w:tblW w:w="503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476"/>
        <w:gridCol w:w="553"/>
        <w:gridCol w:w="3870"/>
        <w:gridCol w:w="543"/>
        <w:gridCol w:w="544"/>
        <w:gridCol w:w="572"/>
        <w:gridCol w:w="629"/>
        <w:gridCol w:w="1247"/>
      </w:tblGrid>
      <w:tr w14:paraId="6D161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282" w:type="pct"/>
            <w:vMerge w:val="restart"/>
            <w:vAlign w:val="center"/>
          </w:tcPr>
          <w:p w14:paraId="213D0A6B">
            <w:pPr>
              <w:spacing w:line="240" w:lineRule="auto"/>
              <w:rPr>
                <w:rFonts w:hAnsi="宋体" w:cs="宋体"/>
                <w:highlight w:val="none"/>
              </w:rPr>
            </w:pPr>
            <w:r>
              <w:rPr>
                <w:rFonts w:hint="eastAsia" w:hAnsi="宋体" w:cs="宋体"/>
                <w:highlight w:val="none"/>
              </w:rPr>
              <w:t>序号</w:t>
            </w:r>
          </w:p>
        </w:tc>
        <w:tc>
          <w:tcPr>
            <w:tcW w:w="327" w:type="pct"/>
            <w:vMerge w:val="restart"/>
            <w:vAlign w:val="center"/>
          </w:tcPr>
          <w:p w14:paraId="09F29A9C">
            <w:pPr>
              <w:spacing w:line="240" w:lineRule="auto"/>
              <w:jc w:val="center"/>
              <w:rPr>
                <w:rFonts w:hAnsi="宋体" w:cs="宋体"/>
                <w:highlight w:val="none"/>
              </w:rPr>
            </w:pPr>
            <w:r>
              <w:rPr>
                <w:rFonts w:hint="eastAsia" w:hAnsi="宋体" w:cs="宋体"/>
                <w:highlight w:val="none"/>
              </w:rPr>
              <w:t>名  称</w:t>
            </w:r>
          </w:p>
        </w:tc>
        <w:tc>
          <w:tcPr>
            <w:tcW w:w="2938" w:type="pct"/>
            <w:gridSpan w:val="3"/>
            <w:vAlign w:val="center"/>
          </w:tcPr>
          <w:p w14:paraId="39BA71FC">
            <w:pPr>
              <w:spacing w:line="240" w:lineRule="auto"/>
              <w:jc w:val="center"/>
              <w:rPr>
                <w:rFonts w:hint="eastAsia" w:hAnsi="宋体" w:cs="宋体"/>
                <w:highlight w:val="none"/>
              </w:rPr>
            </w:pPr>
            <w:r>
              <w:rPr>
                <w:rFonts w:hint="eastAsia" w:hAnsi="宋体" w:cs="宋体"/>
                <w:highlight w:val="none"/>
              </w:rPr>
              <w:t>项目要求</w:t>
            </w:r>
          </w:p>
        </w:tc>
        <w:tc>
          <w:tcPr>
            <w:tcW w:w="1451" w:type="pct"/>
            <w:gridSpan w:val="3"/>
            <w:vAlign w:val="center"/>
          </w:tcPr>
          <w:p w14:paraId="4B6200BA">
            <w:pPr>
              <w:spacing w:line="240" w:lineRule="auto"/>
              <w:jc w:val="center"/>
              <w:rPr>
                <w:rFonts w:hint="eastAsia" w:ascii="宋体" w:hAnsi="宋体" w:eastAsia="宋体" w:cs="宋体"/>
                <w:kern w:val="2"/>
                <w:sz w:val="24"/>
                <w:szCs w:val="24"/>
                <w:highlight w:val="none"/>
                <w:lang w:val="en-US" w:eastAsia="zh-CN" w:bidi="ar-SA"/>
              </w:rPr>
            </w:pPr>
            <w:r>
              <w:rPr>
                <w:rFonts w:hint="eastAsia" w:hAnsi="宋体" w:cs="宋体"/>
                <w:highlight w:val="none"/>
              </w:rPr>
              <w:t>投标方保证</w:t>
            </w:r>
          </w:p>
        </w:tc>
      </w:tr>
      <w:tr w14:paraId="3DDF5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282" w:type="pct"/>
            <w:vMerge w:val="continue"/>
            <w:vAlign w:val="center"/>
          </w:tcPr>
          <w:p w14:paraId="08157DBA">
            <w:pPr>
              <w:spacing w:line="240" w:lineRule="auto"/>
              <w:rPr>
                <w:rFonts w:hAnsi="宋体" w:cs="宋体"/>
                <w:highlight w:val="none"/>
              </w:rPr>
            </w:pPr>
          </w:p>
        </w:tc>
        <w:tc>
          <w:tcPr>
            <w:tcW w:w="327" w:type="pct"/>
            <w:vMerge w:val="continue"/>
            <w:vAlign w:val="center"/>
          </w:tcPr>
          <w:p w14:paraId="12F91488">
            <w:pPr>
              <w:spacing w:line="240" w:lineRule="auto"/>
              <w:rPr>
                <w:rFonts w:hAnsi="宋体" w:cs="宋体"/>
                <w:highlight w:val="none"/>
              </w:rPr>
            </w:pPr>
          </w:p>
        </w:tc>
        <w:tc>
          <w:tcPr>
            <w:tcW w:w="2294" w:type="pct"/>
            <w:vAlign w:val="center"/>
          </w:tcPr>
          <w:p w14:paraId="4508AF0A">
            <w:pPr>
              <w:spacing w:line="240" w:lineRule="auto"/>
              <w:jc w:val="center"/>
              <w:rPr>
                <w:rFonts w:hAnsi="宋体" w:cs="宋体"/>
                <w:highlight w:val="none"/>
              </w:rPr>
            </w:pPr>
            <w:r>
              <w:rPr>
                <w:rFonts w:hint="eastAsia" w:hAnsi="宋体" w:cs="宋体"/>
                <w:highlight w:val="none"/>
                <w:lang w:val="en-US" w:eastAsia="zh-CN"/>
              </w:rPr>
              <w:t>品牌、</w:t>
            </w:r>
            <w:r>
              <w:rPr>
                <w:rFonts w:hint="eastAsia" w:hAnsi="宋体" w:cs="宋体"/>
                <w:highlight w:val="none"/>
              </w:rPr>
              <w:t>型</w:t>
            </w:r>
            <w:r>
              <w:rPr>
                <w:rFonts w:hint="eastAsia" w:hAnsi="宋体" w:cs="宋体"/>
                <w:highlight w:val="none"/>
                <w:lang w:val="en-US" w:eastAsia="zh-CN"/>
              </w:rPr>
              <w:t>号</w:t>
            </w:r>
            <w:r>
              <w:rPr>
                <w:rFonts w:hint="eastAsia" w:hAnsi="宋体" w:cs="宋体"/>
                <w:highlight w:val="none"/>
              </w:rPr>
              <w:t>、规格</w:t>
            </w:r>
          </w:p>
        </w:tc>
        <w:tc>
          <w:tcPr>
            <w:tcW w:w="321" w:type="pct"/>
            <w:vAlign w:val="center"/>
          </w:tcPr>
          <w:p w14:paraId="01D23BF3">
            <w:pPr>
              <w:spacing w:line="240" w:lineRule="auto"/>
              <w:jc w:val="center"/>
              <w:rPr>
                <w:rFonts w:hint="eastAsia" w:hAnsi="宋体" w:cs="宋体"/>
                <w:highlight w:val="none"/>
              </w:rPr>
            </w:pPr>
            <w:r>
              <w:rPr>
                <w:rFonts w:hint="eastAsia" w:hAnsi="宋体" w:cs="宋体"/>
                <w:highlight w:val="none"/>
                <w:lang w:val="en-US" w:eastAsia="zh-CN"/>
              </w:rPr>
              <w:t>单位</w:t>
            </w:r>
          </w:p>
        </w:tc>
        <w:tc>
          <w:tcPr>
            <w:tcW w:w="322" w:type="pct"/>
            <w:vAlign w:val="center"/>
          </w:tcPr>
          <w:p w14:paraId="05AE001B">
            <w:pPr>
              <w:spacing w:line="240" w:lineRule="auto"/>
              <w:jc w:val="center"/>
              <w:rPr>
                <w:rFonts w:hint="default" w:hAnsi="宋体" w:eastAsia="宋体" w:cs="宋体"/>
                <w:highlight w:val="none"/>
                <w:lang w:val="en-US" w:eastAsia="zh-CN"/>
              </w:rPr>
            </w:pPr>
            <w:r>
              <w:rPr>
                <w:rFonts w:hint="eastAsia" w:hAnsi="宋体" w:cs="宋体"/>
                <w:highlight w:val="none"/>
                <w:lang w:val="en-US" w:eastAsia="zh-CN"/>
              </w:rPr>
              <w:t>数量</w:t>
            </w:r>
          </w:p>
        </w:tc>
        <w:tc>
          <w:tcPr>
            <w:tcW w:w="339" w:type="pct"/>
            <w:vAlign w:val="center"/>
          </w:tcPr>
          <w:p w14:paraId="5A4954D2">
            <w:pPr>
              <w:spacing w:line="240" w:lineRule="auto"/>
              <w:jc w:val="center"/>
              <w:rPr>
                <w:rFonts w:hint="eastAsia" w:hAnsi="宋体" w:cs="宋体"/>
                <w:highlight w:val="none"/>
                <w:lang w:val="en-US" w:eastAsia="zh-CN"/>
              </w:rPr>
            </w:pPr>
            <w:r>
              <w:rPr>
                <w:rFonts w:hint="eastAsia" w:hAnsi="宋体" w:cs="宋体"/>
                <w:highlight w:val="none"/>
                <w:lang w:val="en-US" w:eastAsia="zh-CN"/>
              </w:rPr>
              <w:t>单价</w:t>
            </w:r>
          </w:p>
        </w:tc>
        <w:tc>
          <w:tcPr>
            <w:tcW w:w="372" w:type="pct"/>
            <w:vAlign w:val="center"/>
          </w:tcPr>
          <w:p w14:paraId="48F78ADD">
            <w:pPr>
              <w:spacing w:line="240" w:lineRule="auto"/>
              <w:jc w:val="center"/>
              <w:rPr>
                <w:rFonts w:hint="default" w:hAnsi="宋体" w:cs="宋体"/>
                <w:highlight w:val="none"/>
                <w:lang w:val="en-US" w:eastAsia="zh-CN"/>
              </w:rPr>
            </w:pPr>
            <w:r>
              <w:rPr>
                <w:rFonts w:hint="eastAsia" w:hAnsi="宋体" w:cs="宋体"/>
                <w:highlight w:val="none"/>
                <w:lang w:val="en-US" w:eastAsia="zh-CN"/>
              </w:rPr>
              <w:t>组合报价</w:t>
            </w:r>
          </w:p>
        </w:tc>
        <w:tc>
          <w:tcPr>
            <w:tcW w:w="739" w:type="pct"/>
            <w:shd w:val="clear" w:color="auto" w:fill="auto"/>
            <w:vAlign w:val="center"/>
          </w:tcPr>
          <w:p w14:paraId="375D7F46">
            <w:pPr>
              <w:spacing w:line="240" w:lineRule="auto"/>
              <w:jc w:val="center"/>
              <w:rPr>
                <w:rFonts w:hint="eastAsia" w:ascii="宋体" w:hAnsi="宋体" w:eastAsia="宋体" w:cs="宋体"/>
                <w:kern w:val="2"/>
                <w:sz w:val="24"/>
                <w:szCs w:val="24"/>
                <w:highlight w:val="none"/>
                <w:lang w:val="en-US" w:eastAsia="zh-CN" w:bidi="ar-SA"/>
              </w:rPr>
            </w:pPr>
            <w:r>
              <w:rPr>
                <w:rFonts w:hint="eastAsia" w:hAnsi="宋体" w:cs="宋体"/>
                <w:highlight w:val="none"/>
                <w:lang w:val="en-US" w:eastAsia="zh-CN"/>
              </w:rPr>
              <w:t>品牌、</w:t>
            </w:r>
            <w:r>
              <w:rPr>
                <w:rFonts w:hint="eastAsia" w:hAnsi="宋体" w:cs="宋体"/>
                <w:highlight w:val="none"/>
              </w:rPr>
              <w:t>型</w:t>
            </w:r>
            <w:r>
              <w:rPr>
                <w:rFonts w:hint="eastAsia" w:hAnsi="宋体" w:cs="宋体"/>
                <w:highlight w:val="none"/>
                <w:lang w:val="en-US" w:eastAsia="zh-CN"/>
              </w:rPr>
              <w:t>号</w:t>
            </w:r>
            <w:r>
              <w:rPr>
                <w:rFonts w:hint="eastAsia" w:hAnsi="宋体" w:cs="宋体"/>
                <w:highlight w:val="none"/>
              </w:rPr>
              <w:t>、规格</w:t>
            </w:r>
          </w:p>
        </w:tc>
      </w:tr>
      <w:tr w14:paraId="32C2B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39788C09">
            <w:pPr>
              <w:spacing w:line="24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p>
        </w:tc>
        <w:tc>
          <w:tcPr>
            <w:tcW w:w="327" w:type="pct"/>
            <w:vMerge w:val="restart"/>
            <w:vAlign w:val="center"/>
          </w:tcPr>
          <w:p w14:paraId="08074B6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搓纸轮</w:t>
            </w:r>
          </w:p>
        </w:tc>
        <w:tc>
          <w:tcPr>
            <w:tcW w:w="2294" w:type="pct"/>
            <w:vAlign w:val="center"/>
          </w:tcPr>
          <w:p w14:paraId="7C6B2526">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（1）适用于惠普Laserjet pro M403dn（纸盒2）搓纸轮</w:t>
            </w:r>
          </w:p>
        </w:tc>
        <w:tc>
          <w:tcPr>
            <w:tcW w:w="321" w:type="pct"/>
            <w:vAlign w:val="center"/>
          </w:tcPr>
          <w:p w14:paraId="6C7E8A4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组</w:t>
            </w:r>
          </w:p>
        </w:tc>
        <w:tc>
          <w:tcPr>
            <w:tcW w:w="322" w:type="pct"/>
            <w:vAlign w:val="center"/>
          </w:tcPr>
          <w:p w14:paraId="0BF3E22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w:t>
            </w:r>
          </w:p>
        </w:tc>
        <w:tc>
          <w:tcPr>
            <w:tcW w:w="339" w:type="pct"/>
            <w:vAlign w:val="center"/>
          </w:tcPr>
          <w:p w14:paraId="383075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372" w:type="pct"/>
            <w:vMerge w:val="restart"/>
            <w:vAlign w:val="top"/>
          </w:tcPr>
          <w:p w14:paraId="5369A8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739" w:type="pct"/>
            <w:vAlign w:val="top"/>
          </w:tcPr>
          <w:p w14:paraId="5A5409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r>
      <w:tr w14:paraId="24610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0B7743BD">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3F50DA2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2294" w:type="pct"/>
            <w:vAlign w:val="center"/>
          </w:tcPr>
          <w:p w14:paraId="2CD912C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（2）适用于富士施乐DocuCentre-V C2265（纸盒1）搓纸轮</w:t>
            </w:r>
          </w:p>
        </w:tc>
        <w:tc>
          <w:tcPr>
            <w:tcW w:w="321" w:type="pct"/>
            <w:vAlign w:val="center"/>
          </w:tcPr>
          <w:p w14:paraId="284431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组</w:t>
            </w:r>
          </w:p>
        </w:tc>
        <w:tc>
          <w:tcPr>
            <w:tcW w:w="322" w:type="pct"/>
            <w:vAlign w:val="center"/>
          </w:tcPr>
          <w:p w14:paraId="2E2BFE0A">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w:t>
            </w:r>
          </w:p>
        </w:tc>
        <w:tc>
          <w:tcPr>
            <w:tcW w:w="339" w:type="pct"/>
            <w:vAlign w:val="center"/>
          </w:tcPr>
          <w:p w14:paraId="4051DB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372" w:type="pct"/>
            <w:vMerge w:val="continue"/>
            <w:vAlign w:val="top"/>
          </w:tcPr>
          <w:p w14:paraId="4D6685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739" w:type="pct"/>
            <w:vAlign w:val="top"/>
          </w:tcPr>
          <w:p w14:paraId="1ADB7A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r>
      <w:tr w14:paraId="69AC8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7C86DE17">
            <w:pPr>
              <w:spacing w:line="240" w:lineRule="auto"/>
              <w:jc w:val="center"/>
              <w:rPr>
                <w:rFonts w:hint="eastAsia" w:asciiTheme="minorEastAsia" w:hAnsiTheme="minorEastAsia" w:eastAsiaTheme="minorEastAsia" w:cstheme="minorEastAsia"/>
                <w:sz w:val="24"/>
                <w:szCs w:val="24"/>
                <w:highlight w:val="none"/>
              </w:rPr>
            </w:pPr>
          </w:p>
        </w:tc>
        <w:tc>
          <w:tcPr>
            <w:tcW w:w="327" w:type="pct"/>
            <w:vMerge w:val="continue"/>
            <w:vAlign w:val="center"/>
          </w:tcPr>
          <w:p w14:paraId="5446B412">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2294" w:type="pct"/>
            <w:vAlign w:val="center"/>
          </w:tcPr>
          <w:p w14:paraId="3842D0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（3）适用于富士施乐DocuCentre-V3065（纸盒1）搓纸轮</w:t>
            </w:r>
          </w:p>
        </w:tc>
        <w:tc>
          <w:tcPr>
            <w:tcW w:w="321" w:type="pct"/>
            <w:vAlign w:val="center"/>
          </w:tcPr>
          <w:p w14:paraId="25244B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组</w:t>
            </w:r>
          </w:p>
        </w:tc>
        <w:tc>
          <w:tcPr>
            <w:tcW w:w="322" w:type="pct"/>
            <w:vAlign w:val="center"/>
          </w:tcPr>
          <w:p w14:paraId="5F48A86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w:t>
            </w:r>
          </w:p>
        </w:tc>
        <w:tc>
          <w:tcPr>
            <w:tcW w:w="339" w:type="pct"/>
            <w:vAlign w:val="center"/>
          </w:tcPr>
          <w:p w14:paraId="5D50EC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372" w:type="pct"/>
            <w:vMerge w:val="continue"/>
            <w:vAlign w:val="top"/>
          </w:tcPr>
          <w:p w14:paraId="524821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739" w:type="pct"/>
            <w:vAlign w:val="top"/>
          </w:tcPr>
          <w:p w14:paraId="3E7435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r>
      <w:tr w14:paraId="32152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26D34E87">
            <w:pPr>
              <w:spacing w:line="24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p>
        </w:tc>
        <w:tc>
          <w:tcPr>
            <w:tcW w:w="327" w:type="pct"/>
            <w:vMerge w:val="restart"/>
            <w:vAlign w:val="center"/>
          </w:tcPr>
          <w:p w14:paraId="025784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电池</w:t>
            </w:r>
          </w:p>
        </w:tc>
        <w:tc>
          <w:tcPr>
            <w:tcW w:w="2294" w:type="pct"/>
            <w:vAlign w:val="center"/>
          </w:tcPr>
          <w:p w14:paraId="1BDACD9E">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适用于华为笔记本matebook13电池</w:t>
            </w:r>
          </w:p>
        </w:tc>
        <w:tc>
          <w:tcPr>
            <w:tcW w:w="321" w:type="pct"/>
            <w:vAlign w:val="center"/>
          </w:tcPr>
          <w:p w14:paraId="109F03DE">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块</w:t>
            </w:r>
          </w:p>
        </w:tc>
        <w:tc>
          <w:tcPr>
            <w:tcW w:w="322" w:type="pct"/>
            <w:vAlign w:val="center"/>
          </w:tcPr>
          <w:p w14:paraId="63057AB4">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3</w:t>
            </w:r>
          </w:p>
        </w:tc>
        <w:tc>
          <w:tcPr>
            <w:tcW w:w="339" w:type="pct"/>
            <w:vAlign w:val="center"/>
          </w:tcPr>
          <w:p w14:paraId="7C720DF2">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restart"/>
            <w:vAlign w:val="top"/>
          </w:tcPr>
          <w:p w14:paraId="2066D798">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739" w:type="pct"/>
            <w:vAlign w:val="top"/>
          </w:tcPr>
          <w:p w14:paraId="567E14CC">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r>
      <w:tr w14:paraId="25A4D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0D3692CF">
            <w:pPr>
              <w:spacing w:line="240" w:lineRule="auto"/>
              <w:jc w:val="center"/>
              <w:rPr>
                <w:rFonts w:hint="eastAsia" w:asciiTheme="minorEastAsia" w:hAnsiTheme="minorEastAsia" w:eastAsiaTheme="minorEastAsia" w:cstheme="minorEastAsia"/>
                <w:sz w:val="24"/>
                <w:szCs w:val="24"/>
                <w:highlight w:val="none"/>
              </w:rPr>
            </w:pPr>
          </w:p>
        </w:tc>
        <w:tc>
          <w:tcPr>
            <w:tcW w:w="327" w:type="pct"/>
            <w:vMerge w:val="continue"/>
            <w:vAlign w:val="center"/>
          </w:tcPr>
          <w:p w14:paraId="67A7F25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2294" w:type="pct"/>
            <w:vAlign w:val="center"/>
          </w:tcPr>
          <w:p w14:paraId="48607EE4">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适用于华为M3平板电池</w:t>
            </w:r>
          </w:p>
        </w:tc>
        <w:tc>
          <w:tcPr>
            <w:tcW w:w="321" w:type="pct"/>
            <w:vAlign w:val="center"/>
          </w:tcPr>
          <w:p w14:paraId="536B837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块</w:t>
            </w:r>
          </w:p>
        </w:tc>
        <w:tc>
          <w:tcPr>
            <w:tcW w:w="322" w:type="pct"/>
            <w:vAlign w:val="center"/>
          </w:tcPr>
          <w:p w14:paraId="5A898255">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5</w:t>
            </w:r>
          </w:p>
        </w:tc>
        <w:tc>
          <w:tcPr>
            <w:tcW w:w="339" w:type="pct"/>
            <w:vAlign w:val="center"/>
          </w:tcPr>
          <w:p w14:paraId="3AA8967A">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6401404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49C2E3A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A7A1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39D15327">
            <w:pPr>
              <w:spacing w:line="24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w:t>
            </w:r>
          </w:p>
        </w:tc>
        <w:tc>
          <w:tcPr>
            <w:tcW w:w="327" w:type="pct"/>
            <w:vMerge w:val="restart"/>
            <w:vAlign w:val="center"/>
          </w:tcPr>
          <w:p w14:paraId="5683E954">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打印机</w:t>
            </w:r>
            <w:bookmarkStart w:id="7" w:name="_GoBack"/>
            <w:bookmarkEnd w:id="7"/>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定影组件</w:t>
            </w:r>
          </w:p>
        </w:tc>
        <w:tc>
          <w:tcPr>
            <w:tcW w:w="2294" w:type="pct"/>
            <w:vAlign w:val="center"/>
          </w:tcPr>
          <w:p w14:paraId="5DA421FE">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（1）适用于东芝4508A定影组件</w:t>
            </w:r>
          </w:p>
        </w:tc>
        <w:tc>
          <w:tcPr>
            <w:tcW w:w="321" w:type="pct"/>
            <w:vAlign w:val="center"/>
          </w:tcPr>
          <w:p w14:paraId="7A9AC01A">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个</w:t>
            </w:r>
          </w:p>
        </w:tc>
        <w:tc>
          <w:tcPr>
            <w:tcW w:w="322" w:type="pct"/>
            <w:vAlign w:val="center"/>
          </w:tcPr>
          <w:p w14:paraId="2C0B1A55">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p>
        </w:tc>
        <w:tc>
          <w:tcPr>
            <w:tcW w:w="339" w:type="pct"/>
            <w:vAlign w:val="center"/>
          </w:tcPr>
          <w:p w14:paraId="69C6DB84">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restart"/>
            <w:vAlign w:val="top"/>
          </w:tcPr>
          <w:p w14:paraId="207DD5B5">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739" w:type="pct"/>
            <w:vAlign w:val="top"/>
          </w:tcPr>
          <w:p w14:paraId="251D1A4D">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r>
      <w:tr w14:paraId="26F15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7AFCD17A">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6A371B1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263C5510">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（2）适用于惠普Laserjet pro M403dn定影组件</w:t>
            </w:r>
          </w:p>
        </w:tc>
        <w:tc>
          <w:tcPr>
            <w:tcW w:w="321" w:type="pct"/>
            <w:vAlign w:val="center"/>
          </w:tcPr>
          <w:p w14:paraId="4961505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个</w:t>
            </w:r>
          </w:p>
        </w:tc>
        <w:tc>
          <w:tcPr>
            <w:tcW w:w="322" w:type="pct"/>
            <w:vAlign w:val="center"/>
          </w:tcPr>
          <w:p w14:paraId="724C742D">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p>
        </w:tc>
        <w:tc>
          <w:tcPr>
            <w:tcW w:w="339" w:type="pct"/>
            <w:vAlign w:val="center"/>
          </w:tcPr>
          <w:p w14:paraId="6B9BE679">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277A9C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0E33E89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C0BC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5B7EC32D">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0461923B">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304C8B92">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（3）适用于立思辰GB7531CDN定影组件</w:t>
            </w:r>
          </w:p>
        </w:tc>
        <w:tc>
          <w:tcPr>
            <w:tcW w:w="321" w:type="pct"/>
            <w:vAlign w:val="center"/>
          </w:tcPr>
          <w:p w14:paraId="0B1EE03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个</w:t>
            </w:r>
          </w:p>
        </w:tc>
        <w:tc>
          <w:tcPr>
            <w:tcW w:w="322" w:type="pct"/>
            <w:vAlign w:val="center"/>
          </w:tcPr>
          <w:p w14:paraId="6E186D72">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p>
        </w:tc>
        <w:tc>
          <w:tcPr>
            <w:tcW w:w="339" w:type="pct"/>
            <w:vAlign w:val="center"/>
          </w:tcPr>
          <w:p w14:paraId="5096602B">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160AA32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4FDB1E6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BADB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477BAAFA">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06487AF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4F883E32">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（4）适用于富士施乐DocuPrint 3105定影组件</w:t>
            </w:r>
          </w:p>
        </w:tc>
        <w:tc>
          <w:tcPr>
            <w:tcW w:w="321" w:type="pct"/>
            <w:vAlign w:val="center"/>
          </w:tcPr>
          <w:p w14:paraId="710CB25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个</w:t>
            </w:r>
          </w:p>
        </w:tc>
        <w:tc>
          <w:tcPr>
            <w:tcW w:w="322" w:type="pct"/>
            <w:vAlign w:val="center"/>
          </w:tcPr>
          <w:p w14:paraId="4A6F7016">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p>
        </w:tc>
        <w:tc>
          <w:tcPr>
            <w:tcW w:w="339" w:type="pct"/>
            <w:vAlign w:val="center"/>
          </w:tcPr>
          <w:p w14:paraId="4092E672">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462295E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3DDA4DF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4E26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73A133F0">
            <w:pPr>
              <w:spacing w:line="24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w:t>
            </w:r>
          </w:p>
        </w:tc>
        <w:tc>
          <w:tcPr>
            <w:tcW w:w="327" w:type="pct"/>
            <w:vMerge w:val="restart"/>
            <w:vAlign w:val="center"/>
          </w:tcPr>
          <w:p w14:paraId="1057F620">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硒鼓</w:t>
            </w:r>
          </w:p>
        </w:tc>
        <w:tc>
          <w:tcPr>
            <w:tcW w:w="2294" w:type="pct"/>
            <w:vAlign w:val="center"/>
          </w:tcPr>
          <w:p w14:paraId="798EED82">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（1）适用于惠普Color LasserJet 5550dn硒鼓（黑色、蓝色、黄色各1支）</w:t>
            </w:r>
          </w:p>
        </w:tc>
        <w:tc>
          <w:tcPr>
            <w:tcW w:w="321" w:type="pct"/>
            <w:vAlign w:val="center"/>
          </w:tcPr>
          <w:p w14:paraId="36E3296C">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32EE9312">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3</w:t>
            </w:r>
          </w:p>
        </w:tc>
        <w:tc>
          <w:tcPr>
            <w:tcW w:w="339" w:type="pct"/>
            <w:vAlign w:val="center"/>
          </w:tcPr>
          <w:p w14:paraId="225408A2">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restart"/>
            <w:vAlign w:val="top"/>
          </w:tcPr>
          <w:p w14:paraId="7E405345">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739" w:type="pct"/>
            <w:vAlign w:val="top"/>
          </w:tcPr>
          <w:p w14:paraId="403DF9CD">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r>
      <w:tr w14:paraId="45CE0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0BBBBF1F">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7362336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0F718E6B">
            <w:pPr>
              <w:keepNext w:val="0"/>
              <w:keepLines w:val="0"/>
              <w:widowControl/>
              <w:suppressLineNumbers w:val="0"/>
              <w:jc w:val="lef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（2）适用于佳能imageCLASS MF732Cdw品红色硒鼓</w:t>
            </w:r>
          </w:p>
        </w:tc>
        <w:tc>
          <w:tcPr>
            <w:tcW w:w="321" w:type="pct"/>
            <w:vAlign w:val="center"/>
          </w:tcPr>
          <w:p w14:paraId="236C45B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18D1A795">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p>
        </w:tc>
        <w:tc>
          <w:tcPr>
            <w:tcW w:w="339" w:type="pct"/>
            <w:vAlign w:val="center"/>
          </w:tcPr>
          <w:p w14:paraId="5ED3F512">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67C22E1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296BB47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6419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063D6A56">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1DCEEEF4">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2483C291">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（3）适用于立思辰GB7531CDN硒鼓（黑色、蓝色、红色、黄色各1支）</w:t>
            </w:r>
          </w:p>
        </w:tc>
        <w:tc>
          <w:tcPr>
            <w:tcW w:w="321" w:type="pct"/>
            <w:vAlign w:val="center"/>
          </w:tcPr>
          <w:p w14:paraId="0994734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3E1242A5">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4</w:t>
            </w:r>
          </w:p>
        </w:tc>
        <w:tc>
          <w:tcPr>
            <w:tcW w:w="339" w:type="pct"/>
            <w:vAlign w:val="center"/>
          </w:tcPr>
          <w:p w14:paraId="00B6339B">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2EC1E64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14A90FA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B3BE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7803E370">
            <w:pPr>
              <w:spacing w:line="24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w:t>
            </w:r>
          </w:p>
        </w:tc>
        <w:tc>
          <w:tcPr>
            <w:tcW w:w="327" w:type="pct"/>
            <w:vMerge w:val="restart"/>
            <w:vAlign w:val="center"/>
          </w:tcPr>
          <w:p w14:paraId="54CE18E3">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显影组件</w:t>
            </w:r>
          </w:p>
        </w:tc>
        <w:tc>
          <w:tcPr>
            <w:tcW w:w="2294" w:type="pct"/>
            <w:vAlign w:val="center"/>
          </w:tcPr>
          <w:p w14:paraId="4C045B66">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（1）适用于惠普color LaserJet MFPE77830显影组件（黑色、蓝色、黄色、红色各2支）</w:t>
            </w:r>
          </w:p>
        </w:tc>
        <w:tc>
          <w:tcPr>
            <w:tcW w:w="321" w:type="pct"/>
            <w:vAlign w:val="center"/>
          </w:tcPr>
          <w:p w14:paraId="3E55B42C">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22E0DA61">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8</w:t>
            </w:r>
          </w:p>
        </w:tc>
        <w:tc>
          <w:tcPr>
            <w:tcW w:w="339" w:type="pct"/>
            <w:vAlign w:val="center"/>
          </w:tcPr>
          <w:p w14:paraId="5E66622C">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restart"/>
            <w:vAlign w:val="top"/>
          </w:tcPr>
          <w:p w14:paraId="2FB1FB20">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739" w:type="pct"/>
            <w:vAlign w:val="top"/>
          </w:tcPr>
          <w:p w14:paraId="577C1DA7">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r>
      <w:tr w14:paraId="27618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2A6CB3B2">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7027ADE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2D9674BB">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（2）适用于立思辰GB7531CDN显影组件（黑色、蓝色、黄色、红色各1支）</w:t>
            </w:r>
          </w:p>
        </w:tc>
        <w:tc>
          <w:tcPr>
            <w:tcW w:w="321" w:type="pct"/>
            <w:vAlign w:val="center"/>
          </w:tcPr>
          <w:p w14:paraId="0B9A7F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31CC4A32">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4</w:t>
            </w:r>
          </w:p>
        </w:tc>
        <w:tc>
          <w:tcPr>
            <w:tcW w:w="339" w:type="pct"/>
            <w:vAlign w:val="center"/>
          </w:tcPr>
          <w:p w14:paraId="77FAD515">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01CA74E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698ECFF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B0EB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restart"/>
            <w:vAlign w:val="center"/>
          </w:tcPr>
          <w:p w14:paraId="5790CF78">
            <w:pPr>
              <w:spacing w:line="24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w:t>
            </w:r>
          </w:p>
        </w:tc>
        <w:tc>
          <w:tcPr>
            <w:tcW w:w="327" w:type="pct"/>
            <w:vMerge w:val="restart"/>
            <w:vAlign w:val="center"/>
          </w:tcPr>
          <w:p w14:paraId="33F6323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转印组件</w:t>
            </w:r>
          </w:p>
        </w:tc>
        <w:tc>
          <w:tcPr>
            <w:tcW w:w="2294" w:type="pct"/>
            <w:vAlign w:val="center"/>
          </w:tcPr>
          <w:p w14:paraId="529FAEF0">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（1）适用于京瓷P5021转印组件</w:t>
            </w:r>
          </w:p>
        </w:tc>
        <w:tc>
          <w:tcPr>
            <w:tcW w:w="321" w:type="pct"/>
            <w:vAlign w:val="center"/>
          </w:tcPr>
          <w:p w14:paraId="5FFE3FBD">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202E0F34">
            <w:pPr>
              <w:keepNext w:val="0"/>
              <w:keepLines w:val="0"/>
              <w:widowControl/>
              <w:suppressLineNumbers w:val="0"/>
              <w:jc w:val="center"/>
              <w:textAlignment w:val="center"/>
              <w:rPr>
                <w:rFonts w:hint="default"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p>
        </w:tc>
        <w:tc>
          <w:tcPr>
            <w:tcW w:w="339" w:type="pct"/>
            <w:vAlign w:val="center"/>
          </w:tcPr>
          <w:p w14:paraId="1A878D29">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restart"/>
            <w:vAlign w:val="top"/>
          </w:tcPr>
          <w:p w14:paraId="0D7FDAA4">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739" w:type="pct"/>
            <w:vAlign w:val="top"/>
          </w:tcPr>
          <w:p w14:paraId="17D1BD3D">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r>
      <w:tr w14:paraId="6C72F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67FB2B65">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64FF90C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4AB340A0">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（2）适用于夏普SHARP MX-C2622R转印组件</w:t>
            </w:r>
          </w:p>
        </w:tc>
        <w:tc>
          <w:tcPr>
            <w:tcW w:w="321" w:type="pct"/>
            <w:vAlign w:val="center"/>
          </w:tcPr>
          <w:p w14:paraId="2B5E5A2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2D5D6EB6">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p>
        </w:tc>
        <w:tc>
          <w:tcPr>
            <w:tcW w:w="339" w:type="pct"/>
            <w:vAlign w:val="center"/>
          </w:tcPr>
          <w:p w14:paraId="4AACAB14">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620BAF3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6F6CA6C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BDD8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0CBBE6F1">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0E0DA2B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2B4EE2D4">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（3）适用于富士施乐ApeosPortC3570转印组件</w:t>
            </w:r>
          </w:p>
        </w:tc>
        <w:tc>
          <w:tcPr>
            <w:tcW w:w="321" w:type="pct"/>
            <w:vAlign w:val="center"/>
          </w:tcPr>
          <w:p w14:paraId="559109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3D48F510">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p>
        </w:tc>
        <w:tc>
          <w:tcPr>
            <w:tcW w:w="339" w:type="pct"/>
            <w:vAlign w:val="center"/>
          </w:tcPr>
          <w:p w14:paraId="507DD9ED">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71E409F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133551D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88FF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15401A2F">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346CFC7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3CBE9071">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（4）适用于富士施乐ApeosPortC4570转印组件</w:t>
            </w:r>
          </w:p>
        </w:tc>
        <w:tc>
          <w:tcPr>
            <w:tcW w:w="321" w:type="pct"/>
            <w:vAlign w:val="center"/>
          </w:tcPr>
          <w:p w14:paraId="18E905A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16529917">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2</w:t>
            </w:r>
          </w:p>
        </w:tc>
        <w:tc>
          <w:tcPr>
            <w:tcW w:w="339" w:type="pct"/>
            <w:vAlign w:val="center"/>
          </w:tcPr>
          <w:p w14:paraId="50484CBB">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6666A48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4542EED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0CFD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282" w:type="pct"/>
            <w:vMerge w:val="continue"/>
            <w:vAlign w:val="center"/>
          </w:tcPr>
          <w:p w14:paraId="266125BC">
            <w:pPr>
              <w:spacing w:line="240" w:lineRule="auto"/>
              <w:jc w:val="center"/>
              <w:rPr>
                <w:rFonts w:hint="eastAsia" w:asciiTheme="minorEastAsia" w:hAnsiTheme="minorEastAsia" w:eastAsiaTheme="minorEastAsia" w:cstheme="minorEastAsia"/>
                <w:sz w:val="24"/>
                <w:szCs w:val="24"/>
                <w:highlight w:val="none"/>
                <w:lang w:val="en-US" w:eastAsia="zh-CN"/>
              </w:rPr>
            </w:pPr>
          </w:p>
        </w:tc>
        <w:tc>
          <w:tcPr>
            <w:tcW w:w="327" w:type="pct"/>
            <w:vMerge w:val="continue"/>
            <w:vAlign w:val="center"/>
          </w:tcPr>
          <w:p w14:paraId="0C181F2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94" w:type="pct"/>
            <w:vAlign w:val="center"/>
          </w:tcPr>
          <w:p w14:paraId="043135B7">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（5）适用于立思辰GB7531CDN转印组件</w:t>
            </w:r>
          </w:p>
        </w:tc>
        <w:tc>
          <w:tcPr>
            <w:tcW w:w="321" w:type="pct"/>
            <w:vAlign w:val="center"/>
          </w:tcPr>
          <w:p w14:paraId="627E219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支</w:t>
            </w:r>
          </w:p>
        </w:tc>
        <w:tc>
          <w:tcPr>
            <w:tcW w:w="322" w:type="pct"/>
            <w:vAlign w:val="center"/>
          </w:tcPr>
          <w:p w14:paraId="1C3EE0F4">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1</w:t>
            </w:r>
          </w:p>
        </w:tc>
        <w:tc>
          <w:tcPr>
            <w:tcW w:w="339" w:type="pct"/>
            <w:vAlign w:val="center"/>
          </w:tcPr>
          <w:p w14:paraId="799801B0">
            <w:pPr>
              <w:keepNext w:val="0"/>
              <w:keepLines w:val="0"/>
              <w:widowControl/>
              <w:suppressLineNumbers w:val="0"/>
              <w:jc w:val="center"/>
              <w:textAlignment w:val="center"/>
              <w:rPr>
                <w:rFonts w:hint="eastAsia" w:hAnsi="宋体" w:cs="宋体"/>
                <w:i w:val="0"/>
                <w:iCs w:val="0"/>
                <w:color w:val="000000"/>
                <w:kern w:val="0"/>
                <w:sz w:val="22"/>
                <w:szCs w:val="22"/>
                <w:highlight w:val="none"/>
                <w:u w:val="none"/>
                <w:lang w:val="en-US" w:eastAsia="zh-CN" w:bidi="ar"/>
              </w:rPr>
            </w:pPr>
          </w:p>
        </w:tc>
        <w:tc>
          <w:tcPr>
            <w:tcW w:w="372" w:type="pct"/>
            <w:vMerge w:val="continue"/>
            <w:vAlign w:val="top"/>
          </w:tcPr>
          <w:p w14:paraId="4E2EC00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39" w:type="pct"/>
            <w:vAlign w:val="top"/>
          </w:tcPr>
          <w:p w14:paraId="6093FAF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67695095">
      <w:pPr>
        <w:pStyle w:val="5"/>
        <w:keepNext w:val="0"/>
        <w:keepLines w:val="0"/>
        <w:pageBreakBefore w:val="0"/>
        <w:widowControl/>
        <w:kinsoku/>
        <w:wordWrap/>
        <w:overflowPunct/>
        <w:topLinePunct w:val="0"/>
        <w:autoSpaceDE/>
        <w:autoSpaceDN/>
        <w:bidi w:val="0"/>
        <w:spacing w:line="360" w:lineRule="auto"/>
        <w:jc w:val="left"/>
        <w:rPr>
          <w:rFonts w:hint="default" w:hAnsi="宋体" w:cs="宋体"/>
          <w:b w:val="0"/>
          <w:szCs w:val="24"/>
          <w:highlight w:val="none"/>
          <w:lang w:val="en-US" w:eastAsia="zh-CN"/>
        </w:rPr>
      </w:pPr>
      <w:r>
        <w:rPr>
          <w:rFonts w:hint="eastAsia" w:hAnsi="宋体" w:cs="宋体"/>
          <w:b w:val="0"/>
          <w:szCs w:val="24"/>
          <w:highlight w:val="none"/>
        </w:rPr>
        <w:t>需方联系人及电话：</w:t>
      </w:r>
      <w:r>
        <w:rPr>
          <w:rFonts w:hint="eastAsia" w:hAnsi="宋体" w:cs="宋体"/>
          <w:b w:val="0"/>
          <w:szCs w:val="24"/>
          <w:highlight w:val="none"/>
          <w:lang w:eastAsia="zh-CN"/>
        </w:rPr>
        <w:t>周森</w:t>
      </w:r>
      <w:r>
        <w:rPr>
          <w:rFonts w:hint="eastAsia" w:hAnsi="宋体" w:cs="宋体"/>
          <w:b w:val="0"/>
          <w:szCs w:val="24"/>
          <w:highlight w:val="none"/>
        </w:rPr>
        <w:t>0771-2551</w:t>
      </w:r>
      <w:r>
        <w:rPr>
          <w:rFonts w:hint="eastAsia" w:hAnsi="宋体" w:cs="宋体"/>
          <w:b w:val="0"/>
          <w:szCs w:val="24"/>
          <w:highlight w:val="none"/>
          <w:lang w:val="en-US" w:eastAsia="zh-CN"/>
        </w:rPr>
        <w:t>2</w:t>
      </w:r>
      <w:r>
        <w:rPr>
          <w:rFonts w:hint="default" w:hAnsi="宋体" w:cs="宋体"/>
          <w:b w:val="0"/>
          <w:szCs w:val="24"/>
          <w:highlight w:val="none"/>
          <w:lang w:val="en-US" w:eastAsia="zh-CN"/>
        </w:rPr>
        <w:t>38</w:t>
      </w:r>
    </w:p>
    <w:p w14:paraId="79EF9148">
      <w:pPr>
        <w:pStyle w:val="5"/>
        <w:keepNext w:val="0"/>
        <w:keepLines w:val="0"/>
        <w:pageBreakBefore w:val="0"/>
        <w:widowControl/>
        <w:kinsoku/>
        <w:wordWrap/>
        <w:overflowPunct/>
        <w:topLinePunct w:val="0"/>
        <w:autoSpaceDE/>
        <w:autoSpaceDN/>
        <w:bidi w:val="0"/>
        <w:spacing w:line="360" w:lineRule="auto"/>
        <w:jc w:val="left"/>
        <w:rPr>
          <w:rFonts w:hint="default"/>
          <w:highlight w:val="none"/>
          <w:lang w:val="en-US" w:eastAsia="zh-CN"/>
        </w:rPr>
      </w:pPr>
      <w:r>
        <w:rPr>
          <w:rFonts w:hint="eastAsia" w:hAnsi="宋体" w:cs="宋体"/>
          <w:b w:val="0"/>
          <w:kern w:val="0"/>
          <w:szCs w:val="24"/>
          <w:highlight w:val="none"/>
        </w:rPr>
        <w:t>交货地点：广西南宁市</w:t>
      </w:r>
      <w:r>
        <w:rPr>
          <w:rFonts w:hint="eastAsia" w:hAnsi="宋体" w:cs="宋体"/>
          <w:b w:val="0"/>
          <w:kern w:val="0"/>
          <w:szCs w:val="24"/>
          <w:highlight w:val="none"/>
          <w:lang w:eastAsia="zh-CN"/>
        </w:rPr>
        <w:t>青秀区民主路</w:t>
      </w:r>
      <w:r>
        <w:rPr>
          <w:rFonts w:hint="eastAsia" w:hAnsi="宋体" w:cs="宋体"/>
          <w:b w:val="0"/>
          <w:kern w:val="0"/>
          <w:szCs w:val="24"/>
          <w:highlight w:val="none"/>
          <w:lang w:val="en-US" w:eastAsia="zh-CN"/>
        </w:rPr>
        <w:t>7号C座</w:t>
      </w:r>
      <w:r>
        <w:rPr>
          <w:rFonts w:hint="eastAsia" w:hAnsi="宋体" w:cs="宋体"/>
          <w:b w:val="0"/>
          <w:kern w:val="0"/>
          <w:szCs w:val="24"/>
          <w:highlight w:val="none"/>
        </w:rPr>
        <w:t>。</w:t>
      </w:r>
    </w:p>
    <w:p w14:paraId="632F087F">
      <w:pPr>
        <w:pStyle w:val="5"/>
        <w:keepNext w:val="0"/>
        <w:keepLines w:val="0"/>
        <w:pageBreakBefore w:val="0"/>
        <w:widowControl/>
        <w:numPr>
          <w:ilvl w:val="1"/>
          <w:numId w:val="1"/>
        </w:numPr>
        <w:kinsoku/>
        <w:wordWrap/>
        <w:overflowPunct/>
        <w:topLinePunct w:val="0"/>
        <w:autoSpaceDE/>
        <w:autoSpaceDN/>
        <w:bidi w:val="0"/>
        <w:adjustRightInd/>
        <w:snapToGrid/>
        <w:spacing w:line="360" w:lineRule="auto"/>
        <w:jc w:val="left"/>
        <w:textAlignment w:val="auto"/>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工厂试验可由投标方在生产厂家内完成。</w:t>
      </w:r>
    </w:p>
    <w:p w14:paraId="05ED59A2">
      <w:pPr>
        <w:pStyle w:val="5"/>
        <w:keepNext w:val="0"/>
        <w:keepLines w:val="0"/>
        <w:pageBreakBefore w:val="0"/>
        <w:widowControl/>
        <w:numPr>
          <w:ilvl w:val="1"/>
          <w:numId w:val="1"/>
        </w:numPr>
        <w:kinsoku/>
        <w:wordWrap/>
        <w:overflowPunct/>
        <w:topLinePunct w:val="0"/>
        <w:autoSpaceDE/>
        <w:autoSpaceDN/>
        <w:bidi w:val="0"/>
        <w:adjustRightInd/>
        <w:snapToGrid/>
        <w:spacing w:line="360" w:lineRule="auto"/>
        <w:jc w:val="left"/>
        <w:textAlignment w:val="auto"/>
        <w:rPr>
          <w:rFonts w:hAnsi="宋体" w:cs="宋体"/>
          <w:b w:val="0"/>
          <w:color w:val="FF000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投标方按标准检查安装质量，处理调试投运过程中出现的问题，做好售后服务工作。</w:t>
      </w:r>
    </w:p>
    <w:p w14:paraId="5FCAE968">
      <w:pPr>
        <w:pStyle w:val="4"/>
        <w:keepNext w:val="0"/>
        <w:keepLines w:val="0"/>
        <w:pageBreakBefore w:val="0"/>
        <w:widowControl/>
        <w:numPr>
          <w:ilvl w:val="0"/>
          <w:numId w:val="1"/>
        </w:numPr>
        <w:kinsoku/>
        <w:wordWrap/>
        <w:overflowPunct/>
        <w:topLinePunct w:val="0"/>
        <w:autoSpaceDE/>
        <w:autoSpaceDN/>
        <w:bidi w:val="0"/>
        <w:adjustRightInd/>
        <w:snapToGrid/>
        <w:spacing w:before="200" w:line="360" w:lineRule="auto"/>
        <w:contextualSpacing/>
        <w:jc w:val="left"/>
        <w:textAlignment w:val="auto"/>
        <w:rPr>
          <w:rFonts w:hAnsi="宋体" w:cs="宋体"/>
          <w:szCs w:val="24"/>
          <w:highlight w:val="none"/>
        </w:rPr>
      </w:pPr>
      <w:bookmarkStart w:id="3" w:name="_Toc18153"/>
      <w:r>
        <w:rPr>
          <w:rFonts w:hint="eastAsia" w:hAnsi="宋体" w:cs="宋体"/>
          <w:szCs w:val="24"/>
          <w:highlight w:val="none"/>
        </w:rPr>
        <w:t>应遵循的主要标准</w:t>
      </w:r>
      <w:bookmarkEnd w:id="3"/>
    </w:p>
    <w:p w14:paraId="3964F83F">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14:paraId="41E590A3">
      <w:pPr>
        <w:keepNext w:val="0"/>
        <w:keepLines w:val="0"/>
        <w:pageBreakBefore w:val="0"/>
        <w:kinsoku/>
        <w:wordWrap/>
        <w:overflowPunct/>
        <w:topLinePunct w:val="0"/>
        <w:autoSpaceDE/>
        <w:autoSpaceDN/>
        <w:bidi w:val="0"/>
        <w:spacing w:line="360" w:lineRule="auto"/>
        <w:jc w:val="center"/>
        <w:rPr>
          <w:rFonts w:hAnsi="宋体" w:cs="宋体"/>
          <w:highlight w:val="none"/>
        </w:rPr>
      </w:pPr>
      <w:r>
        <w:rPr>
          <w:rFonts w:hint="eastAsia" w:hAnsi="宋体" w:cs="宋体"/>
          <w:highlight w:val="none"/>
        </w:rPr>
        <w:t>表2 设备应遵循主要标准列表</w:t>
      </w:r>
    </w:p>
    <w:tbl>
      <w:tblPr>
        <w:tblStyle w:val="14"/>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14:paraId="4A5D2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14:paraId="3825FA28">
            <w:pPr>
              <w:keepNext w:val="0"/>
              <w:keepLines w:val="0"/>
              <w:pageBreakBefore w:val="0"/>
              <w:kinsoku/>
              <w:wordWrap/>
              <w:overflowPunct/>
              <w:topLinePunct w:val="0"/>
              <w:autoSpaceDE/>
              <w:autoSpaceDN/>
              <w:bidi w:val="0"/>
              <w:spacing w:line="360" w:lineRule="auto"/>
              <w:rPr>
                <w:rFonts w:hAnsi="宋体" w:cs="宋体"/>
                <w:highlight w:val="none"/>
              </w:rPr>
            </w:pPr>
            <w:r>
              <w:rPr>
                <w:rFonts w:hint="eastAsia" w:hAnsi="宋体" w:cs="宋体"/>
                <w:highlight w:val="none"/>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14:paraId="4DFEB78B">
            <w:pPr>
              <w:keepNext w:val="0"/>
              <w:keepLines w:val="0"/>
              <w:pageBreakBefore w:val="0"/>
              <w:kinsoku/>
              <w:wordWrap/>
              <w:overflowPunct/>
              <w:topLinePunct w:val="0"/>
              <w:autoSpaceDE/>
              <w:autoSpaceDN/>
              <w:bidi w:val="0"/>
              <w:spacing w:line="360" w:lineRule="auto"/>
              <w:jc w:val="center"/>
              <w:rPr>
                <w:rFonts w:hAnsi="宋体" w:cs="宋体"/>
                <w:highlight w:val="none"/>
              </w:rPr>
            </w:pPr>
            <w:r>
              <w:rPr>
                <w:rFonts w:hint="eastAsia" w:hAnsi="宋体" w:cs="宋体"/>
                <w:highlight w:val="none"/>
              </w:rPr>
              <w:t>标准名称</w:t>
            </w:r>
          </w:p>
        </w:tc>
      </w:tr>
      <w:tr w14:paraId="5050D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shd w:val="clear" w:color="auto" w:fill="auto"/>
            <w:vAlign w:val="top"/>
          </w:tcPr>
          <w:p w14:paraId="714D08C1">
            <w:pPr>
              <w:keepNext w:val="0"/>
              <w:keepLines w:val="0"/>
              <w:pageBreakBefore w:val="0"/>
              <w:kinsoku/>
              <w:wordWrap/>
              <w:overflowPunct/>
              <w:topLinePunct w:val="0"/>
              <w:autoSpaceDE/>
              <w:autoSpaceDN/>
              <w:bidi w:val="0"/>
              <w:spacing w:line="360" w:lineRule="auto"/>
              <w:rPr>
                <w:rFonts w:ascii="宋体" w:hAnsi="Calibri" w:eastAsia="宋体" w:cs="Times New Roman"/>
                <w:kern w:val="2"/>
                <w:sz w:val="24"/>
                <w:szCs w:val="24"/>
                <w:highlight w:val="none"/>
                <w:lang w:val="en-US" w:eastAsia="zh-CN" w:bidi="ar-SA"/>
              </w:rPr>
            </w:pPr>
            <w:r>
              <w:rPr>
                <w:rFonts w:hint="eastAsia"/>
                <w:highlight w:val="none"/>
                <w:lang w:val="sv-SE"/>
              </w:rPr>
              <w:t xml:space="preserve">GB 2423-95  </w:t>
            </w:r>
          </w:p>
        </w:tc>
        <w:tc>
          <w:tcPr>
            <w:tcW w:w="5812" w:type="dxa"/>
            <w:tcBorders>
              <w:top w:val="single" w:color="000000" w:sz="4" w:space="0"/>
              <w:left w:val="single" w:color="000000" w:sz="4" w:space="0"/>
              <w:bottom w:val="single" w:color="000000" w:sz="4" w:space="0"/>
              <w:right w:val="single" w:color="000000" w:sz="4" w:space="0"/>
            </w:tcBorders>
            <w:shd w:val="clear" w:color="auto" w:fill="auto"/>
            <w:vAlign w:val="top"/>
          </w:tcPr>
          <w:p w14:paraId="299C07B7">
            <w:pPr>
              <w:keepNext w:val="0"/>
              <w:keepLines w:val="0"/>
              <w:pageBreakBefore w:val="0"/>
              <w:kinsoku/>
              <w:wordWrap/>
              <w:overflowPunct/>
              <w:topLinePunct w:val="0"/>
              <w:autoSpaceDE/>
              <w:autoSpaceDN/>
              <w:bidi w:val="0"/>
              <w:spacing w:line="360" w:lineRule="auto"/>
              <w:rPr>
                <w:rFonts w:ascii="宋体" w:hAnsi="Calibri" w:eastAsia="宋体" w:cs="Times New Roman"/>
                <w:kern w:val="2"/>
                <w:sz w:val="24"/>
                <w:szCs w:val="24"/>
                <w:highlight w:val="none"/>
                <w:lang w:val="en-US" w:eastAsia="zh-CN" w:bidi="ar-SA"/>
              </w:rPr>
            </w:pPr>
            <w:r>
              <w:rPr>
                <w:rFonts w:hint="eastAsia"/>
                <w:highlight w:val="none"/>
                <w:lang w:val="sv-SE"/>
              </w:rPr>
              <w:t>电工电子产品环境试验规程</w:t>
            </w:r>
          </w:p>
        </w:tc>
      </w:tr>
      <w:tr w14:paraId="42C42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shd w:val="clear" w:color="auto" w:fill="auto"/>
            <w:vAlign w:val="top"/>
          </w:tcPr>
          <w:p w14:paraId="78882FB0">
            <w:pPr>
              <w:keepNext w:val="0"/>
              <w:keepLines w:val="0"/>
              <w:pageBreakBefore w:val="0"/>
              <w:kinsoku/>
              <w:wordWrap/>
              <w:overflowPunct/>
              <w:topLinePunct w:val="0"/>
              <w:autoSpaceDE/>
              <w:autoSpaceDN/>
              <w:bidi w:val="0"/>
              <w:spacing w:line="360" w:lineRule="auto"/>
              <w:rPr>
                <w:rFonts w:ascii="宋体" w:hAnsi="Calibri" w:eastAsia="宋体" w:cs="Times New Roman"/>
                <w:kern w:val="2"/>
                <w:sz w:val="24"/>
                <w:szCs w:val="24"/>
                <w:highlight w:val="none"/>
                <w:lang w:val="en-US" w:eastAsia="zh-CN" w:bidi="ar-SA"/>
              </w:rPr>
            </w:pPr>
            <w:r>
              <w:rPr>
                <w:rFonts w:hint="eastAsia"/>
                <w:highlight w:val="none"/>
                <w:lang w:val="sv-SE"/>
              </w:rPr>
              <w:t>GB—2887-89</w:t>
            </w:r>
          </w:p>
        </w:tc>
        <w:tc>
          <w:tcPr>
            <w:tcW w:w="5812" w:type="dxa"/>
            <w:tcBorders>
              <w:top w:val="single" w:color="000000" w:sz="4" w:space="0"/>
              <w:left w:val="single" w:color="000000" w:sz="4" w:space="0"/>
              <w:bottom w:val="single" w:color="000000" w:sz="4" w:space="0"/>
              <w:right w:val="single" w:color="000000" w:sz="4" w:space="0"/>
            </w:tcBorders>
            <w:shd w:val="clear" w:color="auto" w:fill="auto"/>
            <w:vAlign w:val="top"/>
          </w:tcPr>
          <w:p w14:paraId="08B6998E">
            <w:pPr>
              <w:keepNext w:val="0"/>
              <w:keepLines w:val="0"/>
              <w:pageBreakBefore w:val="0"/>
              <w:kinsoku/>
              <w:wordWrap/>
              <w:overflowPunct/>
              <w:topLinePunct w:val="0"/>
              <w:autoSpaceDE/>
              <w:autoSpaceDN/>
              <w:bidi w:val="0"/>
              <w:spacing w:line="360" w:lineRule="auto"/>
              <w:rPr>
                <w:rFonts w:ascii="宋体" w:hAnsi="Calibri" w:eastAsia="宋体" w:cs="Times New Roman"/>
                <w:kern w:val="2"/>
                <w:sz w:val="24"/>
                <w:szCs w:val="24"/>
                <w:highlight w:val="none"/>
                <w:lang w:val="en-US" w:eastAsia="zh-CN" w:bidi="ar-SA"/>
              </w:rPr>
            </w:pPr>
            <w:r>
              <w:rPr>
                <w:rFonts w:hint="eastAsia"/>
                <w:highlight w:val="none"/>
                <w:lang w:val="sv-SE"/>
              </w:rPr>
              <w:t>计算机场地技术条件</w:t>
            </w:r>
          </w:p>
        </w:tc>
      </w:tr>
      <w:tr w14:paraId="2E5D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vAlign w:val="center"/>
          </w:tcPr>
          <w:p w14:paraId="290A8EDC">
            <w:pPr>
              <w:keepNext w:val="0"/>
              <w:keepLines w:val="0"/>
              <w:pageBreakBefore w:val="0"/>
              <w:kinsoku/>
              <w:wordWrap/>
              <w:overflowPunct/>
              <w:topLinePunct w:val="0"/>
              <w:autoSpaceDE/>
              <w:autoSpaceDN/>
              <w:bidi w:val="0"/>
              <w:spacing w:line="360" w:lineRule="auto"/>
              <w:rPr>
                <w:rFonts w:hint="default" w:ascii="宋体" w:eastAsia="宋体" w:cs="Times New Roman"/>
                <w:highlight w:val="none"/>
                <w:lang w:val="sv-SE"/>
              </w:rPr>
            </w:pPr>
            <w:r>
              <w:rPr>
                <w:rFonts w:hint="default" w:ascii="宋体" w:eastAsia="宋体" w:cs="Times New Roman"/>
                <w:highlight w:val="none"/>
                <w:lang w:val="sv-SE"/>
              </w:rPr>
              <w:t>Q/CSG2222002-2025</w:t>
            </w:r>
          </w:p>
        </w:tc>
        <w:tc>
          <w:tcPr>
            <w:tcW w:w="5812" w:type="dxa"/>
            <w:tcBorders>
              <w:top w:val="single" w:color="000000" w:sz="4" w:space="0"/>
              <w:left w:val="single" w:color="000000" w:sz="4" w:space="0"/>
              <w:bottom w:val="single" w:color="000000" w:sz="4" w:space="0"/>
              <w:right w:val="single" w:color="000000" w:sz="4" w:space="0"/>
            </w:tcBorders>
            <w:vAlign w:val="center"/>
          </w:tcPr>
          <w:p w14:paraId="0B944833">
            <w:pPr>
              <w:keepNext w:val="0"/>
              <w:keepLines w:val="0"/>
              <w:pageBreakBefore w:val="0"/>
              <w:kinsoku/>
              <w:wordWrap/>
              <w:overflowPunct/>
              <w:topLinePunct w:val="0"/>
              <w:autoSpaceDE/>
              <w:autoSpaceDN/>
              <w:bidi w:val="0"/>
              <w:spacing w:line="360" w:lineRule="auto"/>
              <w:rPr>
                <w:rFonts w:hint="default" w:ascii="宋体" w:eastAsia="宋体" w:cs="Times New Roman"/>
                <w:highlight w:val="none"/>
                <w:lang w:val="sv-SE"/>
              </w:rPr>
            </w:pPr>
            <w:r>
              <w:rPr>
                <w:rFonts w:hint="default" w:ascii="宋体" w:eastAsia="宋体" w:cs="Times New Roman"/>
                <w:highlight w:val="none"/>
                <w:lang w:val="sv-SE"/>
              </w:rPr>
              <w:t>中国南方电网有限责任公司网络安全管理办法</w:t>
            </w:r>
          </w:p>
        </w:tc>
      </w:tr>
    </w:tbl>
    <w:p w14:paraId="460D97AC">
      <w:pPr>
        <w:pStyle w:val="4"/>
        <w:keepNext w:val="0"/>
        <w:keepLines w:val="0"/>
        <w:pageBreakBefore w:val="0"/>
        <w:widowControl/>
        <w:numPr>
          <w:ilvl w:val="0"/>
          <w:numId w:val="1"/>
        </w:numPr>
        <w:kinsoku/>
        <w:wordWrap/>
        <w:overflowPunct/>
        <w:topLinePunct w:val="0"/>
        <w:autoSpaceDE/>
        <w:autoSpaceDN/>
        <w:bidi w:val="0"/>
        <w:adjustRightInd/>
        <w:snapToGrid/>
        <w:spacing w:before="200" w:line="360" w:lineRule="auto"/>
        <w:contextualSpacing/>
        <w:jc w:val="left"/>
        <w:textAlignment w:val="auto"/>
        <w:rPr>
          <w:rFonts w:hAnsi="宋体" w:cs="宋体"/>
          <w:szCs w:val="24"/>
          <w:highlight w:val="none"/>
        </w:rPr>
      </w:pPr>
      <w:bookmarkStart w:id="4" w:name="_Toc195"/>
      <w:r>
        <w:rPr>
          <w:rFonts w:hint="eastAsia" w:hAnsi="宋体" w:cs="宋体"/>
          <w:szCs w:val="24"/>
          <w:highlight w:val="none"/>
        </w:rPr>
        <w:t>使用条件</w:t>
      </w:r>
      <w:bookmarkEnd w:id="4"/>
    </w:p>
    <w:p w14:paraId="4D964610">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正常工作大气条件</w:t>
      </w:r>
    </w:p>
    <w:p w14:paraId="223B5887">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环境温度：-</w:t>
      </w:r>
      <w:r>
        <w:rPr>
          <w:rFonts w:hint="eastAsia" w:hAnsi="宋体" w:cs="宋体"/>
          <w:b w:val="0"/>
          <w:szCs w:val="24"/>
          <w:highlight w:val="none"/>
          <w:lang w:val="en-US" w:eastAsia="zh-CN"/>
        </w:rPr>
        <w:t>5</w:t>
      </w:r>
      <w:r>
        <w:rPr>
          <w:rFonts w:hint="eastAsia" w:hAnsi="宋体" w:cs="宋体"/>
          <w:b w:val="0"/>
          <w:szCs w:val="24"/>
          <w:highlight w:val="none"/>
        </w:rPr>
        <w:t>℃～+55℃；</w:t>
      </w:r>
    </w:p>
    <w:p w14:paraId="4C573987">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相对湿度：</w:t>
      </w:r>
      <w:r>
        <w:rPr>
          <w:rFonts w:hint="default" w:ascii="Times New Roman" w:hAnsi="Times New Roman" w:cs="Times New Roman"/>
          <w:b w:val="0"/>
          <w:bCs w:val="0"/>
          <w:color w:val="000000"/>
          <w:sz w:val="24"/>
          <w:highlight w:val="none"/>
        </w:rPr>
        <w:t>不高于90％（装置内部应无凝露，也不结冰）；</w:t>
      </w:r>
    </w:p>
    <w:p w14:paraId="3A3233B9">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大气压力：</w:t>
      </w:r>
      <w:r>
        <w:rPr>
          <w:rFonts w:hint="eastAsia" w:hAnsi="宋体" w:cs="宋体"/>
          <w:b w:val="0"/>
          <w:szCs w:val="24"/>
          <w:highlight w:val="none"/>
          <w:lang w:val="en-US" w:eastAsia="zh-CN"/>
        </w:rPr>
        <w:t>7</w:t>
      </w:r>
      <w:r>
        <w:rPr>
          <w:rFonts w:hint="eastAsia" w:hAnsi="宋体" w:cs="宋体"/>
          <w:b w:val="0"/>
          <w:szCs w:val="24"/>
          <w:highlight w:val="none"/>
        </w:rPr>
        <w:t>0kPa～106kPa。</w:t>
      </w:r>
    </w:p>
    <w:p w14:paraId="72BBC38F">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bCs/>
          <w:szCs w:val="24"/>
          <w:highlight w:val="none"/>
          <w:lang w:val="en-US" w:eastAsia="zh-CN"/>
        </w:rPr>
        <w:t>无</w:t>
      </w:r>
      <w:r>
        <w:rPr>
          <w:rFonts w:hint="default" w:ascii="Times New Roman" w:hAnsi="Times New Roman" w:cs="Times New Roman"/>
          <w:b w:val="0"/>
          <w:bCs/>
          <w:color w:val="000000"/>
          <w:sz w:val="24"/>
          <w:highlight w:val="none"/>
        </w:rPr>
        <w:t>强烈振动和冲击，无强电磁干扰，不得有爆炸危险介质，周围介质不含有腐蚀金属和破坏绝缘的有害气体及导电介质。</w:t>
      </w:r>
    </w:p>
    <w:p w14:paraId="1FE64211">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lang w:val="en-US" w:eastAsia="zh-CN"/>
        </w:rPr>
        <w:t xml:space="preserve"> </w:t>
      </w:r>
      <w:r>
        <w:rPr>
          <w:rFonts w:hint="eastAsia" w:hAnsi="宋体" w:cs="宋体"/>
          <w:b w:val="0"/>
          <w:szCs w:val="24"/>
          <w:highlight w:val="none"/>
        </w:rPr>
        <w:t>贮存、运输环境条件</w:t>
      </w:r>
    </w:p>
    <w:p w14:paraId="2A28875C">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Ansi="宋体" w:cs="宋体"/>
          <w:b w:val="0"/>
          <w:kern w:val="0"/>
          <w:szCs w:val="24"/>
          <w:highlight w:val="none"/>
        </w:rPr>
      </w:pPr>
      <w:r>
        <w:rPr>
          <w:rFonts w:hint="eastAsia" w:hAnsi="宋体" w:cs="宋体"/>
          <w:b w:val="0"/>
          <w:kern w:val="0"/>
          <w:szCs w:val="24"/>
          <w:highlight w:val="none"/>
        </w:rPr>
        <w:t>装置在运输中允许的环境温度-40℃～＋70℃，相对湿度不大于85%；</w:t>
      </w:r>
    </w:p>
    <w:p w14:paraId="31F39FCB">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Ansi="宋体" w:cs="宋体"/>
          <w:b w:val="0"/>
          <w:bCs w:val="0"/>
          <w:kern w:val="0"/>
          <w:szCs w:val="24"/>
          <w:highlight w:val="none"/>
        </w:rPr>
      </w:pPr>
      <w:r>
        <w:rPr>
          <w:rFonts w:hint="eastAsia" w:hAnsi="宋体" w:cs="宋体"/>
          <w:b w:val="0"/>
          <w:kern w:val="0"/>
          <w:szCs w:val="24"/>
          <w:highlight w:val="none"/>
        </w:rPr>
        <w:t>在贮存中允许的环境温度-25℃～＋55℃，</w:t>
      </w:r>
      <w:r>
        <w:rPr>
          <w:rFonts w:hint="default" w:hAnsi="宋体" w:cs="宋体"/>
          <w:b w:val="0"/>
          <w:kern w:val="0"/>
          <w:szCs w:val="24"/>
          <w:highlight w:val="none"/>
        </w:rPr>
        <w:t>储存相对湿度：≤90%～96％</w:t>
      </w:r>
      <w:r>
        <w:rPr>
          <w:rFonts w:hint="eastAsia" w:hAnsi="宋体" w:cs="宋体"/>
          <w:b w:val="0"/>
          <w:kern w:val="0"/>
          <w:szCs w:val="24"/>
          <w:highlight w:val="none"/>
        </w:rPr>
        <w:t>，在不施加任何激励量的条件下，装置</w:t>
      </w:r>
      <w:r>
        <w:rPr>
          <w:rFonts w:hint="eastAsia" w:hAnsi="宋体" w:cs="宋体"/>
          <w:b w:val="0"/>
          <w:kern w:val="0"/>
          <w:szCs w:val="24"/>
          <w:highlight w:val="none"/>
          <w:lang w:val="en-US" w:eastAsia="zh-CN"/>
        </w:rPr>
        <w:t>应</w:t>
      </w:r>
      <w:r>
        <w:rPr>
          <w:rFonts w:hint="eastAsia" w:hAnsi="宋体" w:cs="宋体"/>
          <w:b w:val="0"/>
          <w:kern w:val="0"/>
          <w:szCs w:val="24"/>
          <w:highlight w:val="none"/>
        </w:rPr>
        <w:t>不出现不可逆变化。</w:t>
      </w:r>
      <w:r>
        <w:rPr>
          <w:rFonts w:hint="default" w:ascii="Times New Roman" w:hAnsi="Times New Roman" w:cs="Times New Roman"/>
          <w:b w:val="0"/>
          <w:bCs w:val="0"/>
          <w:color w:val="000000"/>
          <w:sz w:val="24"/>
          <w:highlight w:val="none"/>
        </w:rPr>
        <w:t>温度恢复正常后，装置的性能应仍符合本部分中的有关要求。</w:t>
      </w:r>
    </w:p>
    <w:p w14:paraId="6B7D727C">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b w:val="0"/>
          <w:szCs w:val="24"/>
          <w:highlight w:val="none"/>
        </w:rPr>
      </w:pPr>
      <w:r>
        <w:rPr>
          <w:rFonts w:hint="eastAsia" w:hAnsi="宋体" w:cs="宋体"/>
          <w:b w:val="0"/>
          <w:szCs w:val="24"/>
          <w:highlight w:val="none"/>
        </w:rPr>
        <w:t>周围环境</w:t>
      </w:r>
    </w:p>
    <w:p w14:paraId="14D1004E">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Ansi="宋体" w:cs="宋体"/>
          <w:b w:val="0"/>
          <w:kern w:val="0"/>
          <w:szCs w:val="24"/>
          <w:highlight w:val="none"/>
        </w:rPr>
      </w:pPr>
      <w:r>
        <w:rPr>
          <w:rFonts w:hint="eastAsia" w:hAnsi="宋体"/>
          <w:b w:val="0"/>
          <w:szCs w:val="24"/>
          <w:highlight w:val="none"/>
        </w:rPr>
        <w:t>场地符合GB/T 9361-1988中B类安全要求；</w:t>
      </w:r>
    </w:p>
    <w:p w14:paraId="237539DC">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Ansi="宋体" w:cs="宋体"/>
          <w:b w:val="0"/>
          <w:kern w:val="0"/>
          <w:szCs w:val="24"/>
          <w:highlight w:val="none"/>
        </w:rPr>
      </w:pPr>
      <w:r>
        <w:rPr>
          <w:rFonts w:hint="eastAsia" w:hAnsi="宋体" w:cs="宋体"/>
          <w:b w:val="0"/>
          <w:kern w:val="0"/>
          <w:szCs w:val="24"/>
          <w:highlight w:val="none"/>
        </w:rPr>
        <w:t>使用地点不出现超过GB/T 11287规定的严酷等级为I级的振动；不发生GB/T 17742－1999规定的烈度为Ⅶ度的地震；</w:t>
      </w:r>
    </w:p>
    <w:p w14:paraId="223C35A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jc w:val="left"/>
        <w:rPr>
          <w:rFonts w:hint="eastAsia" w:eastAsia="宋体" w:asciiTheme="minorEastAsia" w:hAnsiTheme="minorEastAsia" w:cstheme="minorEastAsia"/>
          <w:i w:val="0"/>
          <w:iCs w:val="0"/>
          <w:color w:val="000000"/>
          <w:kern w:val="0"/>
          <w:sz w:val="24"/>
          <w:szCs w:val="24"/>
          <w:highlight w:val="none"/>
          <w:u w:val="none"/>
          <w:lang w:val="en-US" w:eastAsia="zh-CN" w:bidi="ar"/>
        </w:rPr>
      </w:pPr>
      <w:r>
        <w:rPr>
          <w:rFonts w:hint="eastAsia" w:hAnsi="宋体" w:cs="宋体"/>
          <w:b w:val="0"/>
          <w:kern w:val="0"/>
          <w:szCs w:val="24"/>
          <w:highlight w:val="none"/>
        </w:rPr>
        <w:t>使用地点无爆炸危险的物质，周围介质中不含有能腐蚀金属、破坏绝缘和表面敷层的介质及导电介质，没有严重的霉菌存在</w:t>
      </w:r>
      <w:r>
        <w:rPr>
          <w:rFonts w:hint="eastAsia" w:hAnsi="宋体" w:cs="宋体"/>
          <w:b w:val="0"/>
          <w:kern w:val="0"/>
          <w:szCs w:val="24"/>
          <w:highlight w:val="none"/>
          <w:lang w:eastAsia="zh-CN"/>
        </w:rPr>
        <w:t>。</w:t>
      </w:r>
    </w:p>
    <w:p w14:paraId="1FFA1B61">
      <w:pPr>
        <w:pStyle w:val="5"/>
        <w:keepNext w:val="0"/>
        <w:keepLines w:val="0"/>
        <w:pageBreakBefore w:val="0"/>
        <w:widowControl/>
        <w:numPr>
          <w:ilvl w:val="1"/>
          <w:numId w:val="1"/>
        </w:numPr>
        <w:kinsoku/>
        <w:wordWrap/>
        <w:overflowPunct/>
        <w:topLinePunct w:val="0"/>
        <w:autoSpaceDE/>
        <w:autoSpaceDN/>
        <w:bidi w:val="0"/>
        <w:adjustRightInd/>
        <w:snapToGrid/>
        <w:spacing w:before="200" w:line="360" w:lineRule="auto"/>
        <w:jc w:val="left"/>
        <w:textAlignment w:val="auto"/>
        <w:rPr>
          <w:rFonts w:hint="eastAsia" w:hAnsi="宋体" w:cs="宋体"/>
          <w:szCs w:val="24"/>
          <w:highlight w:val="none"/>
        </w:rPr>
      </w:pPr>
      <w:r>
        <w:rPr>
          <w:rFonts w:hint="eastAsia" w:hAnsi="宋体" w:cs="宋体"/>
          <w:szCs w:val="24"/>
          <w:highlight w:val="none"/>
          <w:lang w:val="en-US" w:eastAsia="zh-CN"/>
        </w:rPr>
        <w:t>安全要求</w:t>
      </w:r>
    </w:p>
    <w:p w14:paraId="7A6BE2A1">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int="eastAsia" w:hAnsi="宋体"/>
          <w:b w:val="0"/>
          <w:kern w:val="0"/>
          <w:szCs w:val="24"/>
          <w:highlight w:val="none"/>
        </w:rPr>
      </w:pPr>
      <w:r>
        <w:rPr>
          <w:rFonts w:hint="eastAsia" w:ascii="宋体" w:hAnsi="宋体" w:eastAsia="宋体" w:cs="Times New Roman"/>
          <w:b w:val="0"/>
          <w:bCs/>
          <w:kern w:val="0"/>
          <w:sz w:val="24"/>
          <w:szCs w:val="24"/>
          <w:highlight w:val="none"/>
          <w:lang w:val="en-US" w:eastAsia="zh-CN" w:bidi="ar-SA"/>
        </w:rPr>
        <w:t>投标方及其产品和服务的提供者须配合招标方进行网络安全审查。</w:t>
      </w:r>
    </w:p>
    <w:p w14:paraId="1A8A063D">
      <w:pPr>
        <w:pStyle w:val="5"/>
        <w:keepNext w:val="0"/>
        <w:keepLines w:val="0"/>
        <w:pageBreakBefore w:val="0"/>
        <w:widowControl/>
        <w:numPr>
          <w:ilvl w:val="2"/>
          <w:numId w:val="1"/>
        </w:numPr>
        <w:kinsoku/>
        <w:wordWrap/>
        <w:overflowPunct/>
        <w:topLinePunct w:val="0"/>
        <w:autoSpaceDE/>
        <w:autoSpaceDN/>
        <w:bidi w:val="0"/>
        <w:spacing w:line="360" w:lineRule="auto"/>
        <w:jc w:val="left"/>
        <w:rPr>
          <w:rFonts w:hint="eastAsia" w:ascii="宋体" w:hAnsi="宋体" w:eastAsia="宋体" w:cs="Times New Roman"/>
          <w:b w:val="0"/>
          <w:bCs/>
          <w:kern w:val="0"/>
          <w:sz w:val="24"/>
          <w:szCs w:val="24"/>
          <w:highlight w:val="none"/>
          <w:lang w:val="en-US" w:eastAsia="zh-CN" w:bidi="ar-SA"/>
        </w:rPr>
      </w:pPr>
      <w:r>
        <w:rPr>
          <w:rFonts w:hint="eastAsia" w:hAnsi="宋体"/>
          <w:b w:val="0"/>
          <w:kern w:val="0"/>
          <w:szCs w:val="24"/>
          <w:highlight w:val="none"/>
        </w:rPr>
        <w:t>★</w:t>
      </w:r>
      <w:r>
        <w:rPr>
          <w:rFonts w:hint="eastAsia" w:ascii="宋体" w:hAnsi="宋体" w:eastAsia="宋体" w:cs="Times New Roman"/>
          <w:b w:val="0"/>
          <w:bCs/>
          <w:kern w:val="0"/>
          <w:sz w:val="24"/>
          <w:szCs w:val="24"/>
          <w:highlight w:val="none"/>
          <w:lang w:val="en-US" w:eastAsia="zh-CN" w:bidi="ar-SA"/>
        </w:rPr>
        <w:t>投标方及其产品和服务的提供者须承诺不利用提供产品和服务的便利条件非法获取用户数据、非法控制和操纵用户设备。无正当理由不中断产品供应或必要的技术支持服务等。</w:t>
      </w:r>
    </w:p>
    <w:p w14:paraId="38C7ACE3">
      <w:pPr>
        <w:pStyle w:val="5"/>
        <w:keepNext w:val="0"/>
        <w:keepLines w:val="0"/>
        <w:pageBreakBefore w:val="0"/>
        <w:widowControl/>
        <w:numPr>
          <w:ilvl w:val="1"/>
          <w:numId w:val="1"/>
        </w:numPr>
        <w:kinsoku/>
        <w:wordWrap/>
        <w:overflowPunct/>
        <w:topLinePunct w:val="0"/>
        <w:autoSpaceDE/>
        <w:autoSpaceDN/>
        <w:bidi w:val="0"/>
        <w:spacing w:line="360" w:lineRule="auto"/>
        <w:jc w:val="left"/>
        <w:rPr>
          <w:rFonts w:hAnsi="宋体" w:cs="宋体"/>
          <w:kern w:val="0"/>
          <w:szCs w:val="24"/>
          <w:highlight w:val="none"/>
        </w:rPr>
      </w:pPr>
      <w:r>
        <w:rPr>
          <w:rFonts w:hint="eastAsia" w:hAnsi="宋体" w:cs="宋体"/>
          <w:kern w:val="0"/>
          <w:szCs w:val="24"/>
          <w:highlight w:val="none"/>
        </w:rPr>
        <w:t>现场服务及售后服务</w:t>
      </w:r>
    </w:p>
    <w:p w14:paraId="6E40E8BC">
      <w:pPr>
        <w:pStyle w:val="5"/>
        <w:keepNext w:val="0"/>
        <w:keepLines w:val="0"/>
        <w:pageBreakBefore w:val="0"/>
        <w:widowControl/>
        <w:numPr>
          <w:ilvl w:val="2"/>
          <w:numId w:val="1"/>
        </w:numPr>
        <w:kinsoku/>
        <w:wordWrap/>
        <w:overflowPunct/>
        <w:topLinePunct w:val="0"/>
        <w:autoSpaceDE/>
        <w:autoSpaceDN/>
        <w:bidi w:val="0"/>
        <w:spacing w:line="360" w:lineRule="auto"/>
        <w:ind w:left="0" w:leftChars="0" w:firstLine="0" w:firstLineChars="0"/>
        <w:jc w:val="left"/>
        <w:rPr>
          <w:highlight w:val="none"/>
        </w:rPr>
      </w:pPr>
      <w:r>
        <w:rPr>
          <w:rFonts w:hint="eastAsia" w:hAnsi="宋体" w:cs="宋体"/>
          <w:b w:val="0"/>
          <w:kern w:val="0"/>
          <w:szCs w:val="24"/>
          <w:highlight w:val="none"/>
        </w:rPr>
        <w:t>投标方负责解决性能等方面的有关问题，详细解答合同范围内招标方提出的问题。</w:t>
      </w:r>
    </w:p>
    <w:p w14:paraId="21F4FDCD">
      <w:pPr>
        <w:pStyle w:val="5"/>
        <w:keepNext w:val="0"/>
        <w:keepLines w:val="0"/>
        <w:pageBreakBefore w:val="0"/>
        <w:widowControl/>
        <w:numPr>
          <w:ilvl w:val="2"/>
          <w:numId w:val="1"/>
        </w:numPr>
        <w:kinsoku/>
        <w:wordWrap/>
        <w:overflowPunct/>
        <w:topLinePunct w:val="0"/>
        <w:autoSpaceDE/>
        <w:autoSpaceDN/>
        <w:bidi w:val="0"/>
        <w:spacing w:line="360" w:lineRule="auto"/>
        <w:ind w:left="0" w:leftChars="0" w:firstLine="0" w:firstLineChars="0"/>
        <w:jc w:val="left"/>
        <w:rPr>
          <w:b w:val="0"/>
          <w:bCs w:val="0"/>
          <w:highlight w:val="none"/>
        </w:rPr>
      </w:pPr>
      <w:r>
        <w:rPr>
          <w:rFonts w:hint="eastAsia"/>
          <w:b w:val="0"/>
          <w:bCs w:val="0"/>
          <w:highlight w:val="none"/>
          <w:lang w:val="en-US" w:eastAsia="zh-CN"/>
        </w:rPr>
        <w:t>提供不少于一年产品质保期。</w:t>
      </w:r>
    </w:p>
    <w:p w14:paraId="2E8EEB73">
      <w:pPr>
        <w:pStyle w:val="5"/>
        <w:keepNext w:val="0"/>
        <w:keepLines w:val="0"/>
        <w:pageBreakBefore w:val="0"/>
        <w:widowControl/>
        <w:numPr>
          <w:ilvl w:val="2"/>
          <w:numId w:val="1"/>
        </w:numPr>
        <w:kinsoku/>
        <w:wordWrap/>
        <w:overflowPunct/>
        <w:topLinePunct w:val="0"/>
        <w:autoSpaceDE/>
        <w:autoSpaceDN/>
        <w:bidi w:val="0"/>
        <w:spacing w:line="360" w:lineRule="auto"/>
        <w:ind w:left="0" w:leftChars="0" w:firstLine="0" w:firstLineChars="0"/>
        <w:jc w:val="left"/>
        <w:rPr>
          <w:highlight w:val="none"/>
        </w:rPr>
      </w:pPr>
      <w:r>
        <w:rPr>
          <w:rFonts w:hint="eastAsia" w:hAnsi="宋体" w:cs="宋体"/>
          <w:b w:val="0"/>
          <w:kern w:val="0"/>
          <w:szCs w:val="24"/>
          <w:highlight w:val="none"/>
          <w:lang w:eastAsia="zh-CN"/>
        </w:rPr>
        <w:t>在</w:t>
      </w:r>
      <w:r>
        <w:rPr>
          <w:rFonts w:hint="eastAsia" w:hAnsi="宋体" w:cs="宋体"/>
          <w:b w:val="0"/>
          <w:kern w:val="0"/>
          <w:szCs w:val="24"/>
          <w:highlight w:val="none"/>
        </w:rPr>
        <w:t>质保期内</w:t>
      </w:r>
      <w:r>
        <w:rPr>
          <w:rFonts w:hint="eastAsia" w:hAnsi="宋体" w:cs="宋体"/>
          <w:b w:val="0"/>
          <w:kern w:val="0"/>
          <w:szCs w:val="24"/>
          <w:highlight w:val="none"/>
          <w:lang w:val="en-US" w:eastAsia="zh-CN"/>
        </w:rPr>
        <w:t>提供</w:t>
      </w:r>
      <w:r>
        <w:rPr>
          <w:rFonts w:hint="eastAsia" w:hAnsi="宋体" w:cs="宋体"/>
          <w:b w:val="0"/>
          <w:kern w:val="0"/>
          <w:szCs w:val="24"/>
          <w:highlight w:val="none"/>
        </w:rPr>
        <w:t>免费修理、维护服务。</w:t>
      </w:r>
    </w:p>
    <w:p w14:paraId="7D6437D6">
      <w:pPr>
        <w:pStyle w:val="5"/>
        <w:keepNext w:val="0"/>
        <w:keepLines w:val="0"/>
        <w:pageBreakBefore w:val="0"/>
        <w:widowControl/>
        <w:numPr>
          <w:ilvl w:val="2"/>
          <w:numId w:val="1"/>
        </w:numPr>
        <w:kinsoku/>
        <w:wordWrap/>
        <w:overflowPunct/>
        <w:topLinePunct w:val="0"/>
        <w:autoSpaceDE/>
        <w:autoSpaceDN/>
        <w:bidi w:val="0"/>
        <w:spacing w:line="360" w:lineRule="auto"/>
        <w:ind w:left="0" w:leftChars="0" w:firstLine="0" w:firstLineChars="0"/>
        <w:jc w:val="left"/>
        <w:rPr>
          <w:rFonts w:hAnsi="宋体" w:cs="宋体"/>
          <w:b w:val="0"/>
          <w:kern w:val="0"/>
          <w:szCs w:val="24"/>
          <w:highlight w:val="none"/>
        </w:rPr>
      </w:pPr>
      <w:r>
        <w:rPr>
          <w:rFonts w:hint="eastAsia" w:hAnsi="宋体" w:cs="宋体"/>
          <w:b w:val="0"/>
          <w:kern w:val="0"/>
          <w:szCs w:val="24"/>
          <w:highlight w:val="none"/>
        </w:rPr>
        <w:t>在产品质保期内</w:t>
      </w:r>
      <w:r>
        <w:rPr>
          <w:rFonts w:hint="eastAsia" w:hAnsi="宋体" w:cs="宋体"/>
          <w:b w:val="0"/>
          <w:kern w:val="0"/>
          <w:szCs w:val="24"/>
          <w:highlight w:val="none"/>
          <w:lang w:val="en-US" w:eastAsia="zh-CN"/>
        </w:rPr>
        <w:t>有质量问题，由</w:t>
      </w:r>
      <w:r>
        <w:rPr>
          <w:rFonts w:hint="eastAsia" w:hAnsi="宋体" w:cs="宋体"/>
          <w:b w:val="0"/>
          <w:kern w:val="0"/>
          <w:szCs w:val="24"/>
          <w:highlight w:val="none"/>
        </w:rPr>
        <w:t>投标方负责修理或更换。</w:t>
      </w:r>
    </w:p>
    <w:p w14:paraId="41201662">
      <w:pPr>
        <w:pStyle w:val="5"/>
        <w:keepNext w:val="0"/>
        <w:keepLines w:val="0"/>
        <w:pageBreakBefore w:val="0"/>
        <w:widowControl/>
        <w:numPr>
          <w:ilvl w:val="2"/>
          <w:numId w:val="1"/>
        </w:numPr>
        <w:kinsoku/>
        <w:wordWrap/>
        <w:overflowPunct/>
        <w:topLinePunct w:val="0"/>
        <w:autoSpaceDE/>
        <w:autoSpaceDN/>
        <w:bidi w:val="0"/>
        <w:spacing w:line="360" w:lineRule="auto"/>
        <w:ind w:left="0" w:leftChars="0" w:firstLine="0" w:firstLineChars="0"/>
        <w:jc w:val="left"/>
        <w:rPr>
          <w:rFonts w:hAnsi="宋体" w:cs="宋体"/>
          <w:b w:val="0"/>
          <w:kern w:val="0"/>
          <w:szCs w:val="24"/>
          <w:highlight w:val="none"/>
        </w:rPr>
      </w:pPr>
      <w:r>
        <w:rPr>
          <w:rFonts w:hint="eastAsia" w:hAnsi="宋体" w:cs="宋体"/>
          <w:b w:val="0"/>
          <w:kern w:val="0"/>
          <w:szCs w:val="24"/>
          <w:highlight w:val="none"/>
        </w:rPr>
        <w:t>质保期内硬件故障时，投标方</w:t>
      </w:r>
      <w:r>
        <w:rPr>
          <w:rFonts w:hint="eastAsia" w:hAnsi="宋体" w:cs="宋体"/>
          <w:b w:val="0"/>
          <w:kern w:val="0"/>
          <w:szCs w:val="24"/>
          <w:highlight w:val="none"/>
          <w:lang w:val="en-US" w:eastAsia="zh-CN"/>
        </w:rPr>
        <w:t>应提供远程技术指导</w:t>
      </w:r>
      <w:r>
        <w:rPr>
          <w:rFonts w:hint="eastAsia" w:hAnsi="宋体" w:cs="宋体"/>
          <w:b w:val="0"/>
          <w:kern w:val="0"/>
          <w:szCs w:val="24"/>
          <w:highlight w:val="none"/>
        </w:rPr>
        <w:t>，</w:t>
      </w:r>
      <w:r>
        <w:rPr>
          <w:rFonts w:hint="eastAsia" w:hAnsi="宋体" w:cs="宋体"/>
          <w:b w:val="0"/>
          <w:kern w:val="0"/>
          <w:szCs w:val="24"/>
          <w:highlight w:val="none"/>
          <w:lang w:val="en-US" w:eastAsia="zh-CN"/>
        </w:rPr>
        <w:t>使</w:t>
      </w:r>
      <w:r>
        <w:rPr>
          <w:rFonts w:hint="eastAsia" w:hAnsi="宋体" w:cs="宋体"/>
          <w:b w:val="0"/>
          <w:kern w:val="0"/>
          <w:szCs w:val="24"/>
          <w:highlight w:val="none"/>
        </w:rPr>
        <w:t>硬件故障</w:t>
      </w:r>
      <w:r>
        <w:rPr>
          <w:rFonts w:hint="eastAsia" w:hAnsi="宋体" w:cs="宋体"/>
          <w:b w:val="0"/>
          <w:kern w:val="0"/>
          <w:szCs w:val="24"/>
          <w:highlight w:val="none"/>
          <w:lang w:val="en-US" w:eastAsia="zh-CN"/>
        </w:rPr>
        <w:t>快速诊断并</w:t>
      </w:r>
      <w:r>
        <w:rPr>
          <w:rFonts w:hint="eastAsia" w:hAnsi="宋体" w:cs="宋体"/>
          <w:b w:val="0"/>
          <w:kern w:val="0"/>
          <w:szCs w:val="24"/>
          <w:highlight w:val="none"/>
        </w:rPr>
        <w:t>得以解决。</w:t>
      </w:r>
    </w:p>
    <w:p w14:paraId="26F30F94">
      <w:pPr>
        <w:pStyle w:val="4"/>
        <w:keepNext w:val="0"/>
        <w:keepLines w:val="0"/>
        <w:pageBreakBefore w:val="0"/>
        <w:widowControl/>
        <w:numPr>
          <w:ilvl w:val="0"/>
          <w:numId w:val="1"/>
        </w:numPr>
        <w:kinsoku/>
        <w:wordWrap/>
        <w:overflowPunct/>
        <w:topLinePunct w:val="0"/>
        <w:autoSpaceDE/>
        <w:autoSpaceDN/>
        <w:bidi w:val="0"/>
        <w:adjustRightInd/>
        <w:snapToGrid/>
        <w:spacing w:before="200" w:line="360" w:lineRule="auto"/>
        <w:contextualSpacing/>
        <w:jc w:val="left"/>
        <w:textAlignment w:val="auto"/>
        <w:rPr>
          <w:rFonts w:hint="eastAsia" w:hAnsi="宋体" w:cs="宋体"/>
          <w:szCs w:val="24"/>
          <w:highlight w:val="none"/>
        </w:rPr>
      </w:pPr>
      <w:bookmarkStart w:id="5" w:name="_Toc316983940"/>
      <w:bookmarkStart w:id="6" w:name="_Toc29159"/>
      <w:r>
        <w:rPr>
          <w:rFonts w:hint="eastAsia" w:hAnsi="宋体" w:cs="宋体"/>
          <w:szCs w:val="24"/>
          <w:highlight w:val="none"/>
          <w:lang w:val="en-US" w:eastAsia="zh-CN"/>
        </w:rPr>
        <w:t>响应文件</w:t>
      </w:r>
      <w:r>
        <w:rPr>
          <w:rFonts w:hint="eastAsia" w:hAnsi="宋体" w:cs="宋体"/>
          <w:szCs w:val="24"/>
          <w:highlight w:val="none"/>
        </w:rPr>
        <w:t>要求</w:t>
      </w:r>
      <w:bookmarkEnd w:id="5"/>
      <w:bookmarkEnd w:id="6"/>
    </w:p>
    <w:p w14:paraId="011ED2D8">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highlight w:val="none"/>
        </w:rPr>
      </w:pPr>
      <w:r>
        <w:rPr>
          <w:rFonts w:hint="eastAsia" w:asciiTheme="minorEastAsia" w:hAnsiTheme="minorEastAsia" w:eastAsiaTheme="minorEastAsia" w:cstheme="minorEastAsia"/>
          <w:b w:val="0"/>
          <w:bCs w:val="0"/>
          <w:sz w:val="24"/>
          <w:szCs w:val="24"/>
          <w:highlight w:val="none"/>
          <w:lang w:val="en-US" w:eastAsia="zh-CN"/>
        </w:rPr>
        <w:t>投标方提供的响应文件均须加盖投标方公章，不按响应文件要求提供的做否决投标处理：</w:t>
      </w:r>
    </w:p>
    <w:p w14:paraId="100AA114">
      <w:pPr>
        <w:keepNext w:val="0"/>
        <w:keepLines w:val="0"/>
        <w:pageBreakBefore w:val="0"/>
        <w:numPr>
          <w:ilvl w:val="0"/>
          <w:numId w:val="2"/>
        </w:numPr>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合法有效的营业执照。</w:t>
      </w:r>
    </w:p>
    <w:p w14:paraId="6C3354E6">
      <w:pPr>
        <w:pStyle w:val="2"/>
        <w:keepNext w:val="0"/>
        <w:keepLines w:val="0"/>
        <w:pageBreakBefore w:val="0"/>
        <w:numPr>
          <w:ilvl w:val="0"/>
          <w:numId w:val="2"/>
        </w:numPr>
        <w:kinsoku/>
        <w:wordWrap/>
        <w:overflowPunct/>
        <w:topLinePunct w:val="0"/>
        <w:autoSpaceDE/>
        <w:autoSpaceDN/>
        <w:bidi w:val="0"/>
        <w:adjustRightInd/>
        <w:snapToGrid/>
        <w:spacing w:after="0"/>
        <w:jc w:val="left"/>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法定代表人身份证明及身份证复印件。</w:t>
      </w:r>
    </w:p>
    <w:p w14:paraId="235DCC28">
      <w:pPr>
        <w:pStyle w:val="2"/>
        <w:keepNext w:val="0"/>
        <w:keepLines w:val="0"/>
        <w:pageBreakBefore w:val="0"/>
        <w:numPr>
          <w:ilvl w:val="0"/>
          <w:numId w:val="2"/>
        </w:numPr>
        <w:kinsoku/>
        <w:wordWrap/>
        <w:overflowPunct/>
        <w:topLinePunct w:val="0"/>
        <w:autoSpaceDE/>
        <w:autoSpaceDN/>
        <w:bidi w:val="0"/>
        <w:adjustRightInd/>
        <w:snapToGrid/>
        <w:spacing w:after="0"/>
        <w:jc w:val="left"/>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非法定代表人代表需提供法定代表人授权委托书及身份证复印件。</w:t>
      </w:r>
    </w:p>
    <w:p w14:paraId="786B814D">
      <w:pPr>
        <w:keepNext w:val="0"/>
        <w:keepLines w:val="0"/>
        <w:pageBreakBefore w:val="0"/>
        <w:numPr>
          <w:ilvl w:val="0"/>
          <w:numId w:val="2"/>
        </w:numPr>
        <w:kinsoku/>
        <w:wordWrap/>
        <w:overflowPunct/>
        <w:topLinePunct w:val="0"/>
        <w:autoSpaceDE/>
        <w:autoSpaceDN/>
        <w:bidi w:val="0"/>
        <w:adjustRightInd/>
        <w:snapToGrid/>
        <w:ind w:left="0" w:leftChars="0" w:firstLine="0" w:firstLineChars="0"/>
        <w:jc w:val="left"/>
        <w:textAlignment w:val="auto"/>
        <w:rPr>
          <w:rFonts w:hint="default" w:asciiTheme="minorEastAsia" w:hAnsiTheme="minorEastAsia" w:eastAsiaTheme="minorEastAsia" w:cstheme="minorEastAsia"/>
          <w:b w:val="0"/>
          <w:bCs w:val="0"/>
          <w:kern w:val="2"/>
          <w:sz w:val="24"/>
          <w:szCs w:val="24"/>
          <w:highlight w:val="none"/>
          <w:lang w:val="en-US" w:eastAsia="zh-CN" w:bidi="ar-SA"/>
        </w:rPr>
      </w:pPr>
      <w:r>
        <w:rPr>
          <w:rFonts w:hint="eastAsia" w:hAnsi="宋体"/>
          <w:b w:val="0"/>
          <w:kern w:val="0"/>
          <w:szCs w:val="24"/>
          <w:highlight w:val="none"/>
        </w:rPr>
        <w:t>★</w:t>
      </w:r>
      <w:r>
        <w:rPr>
          <w:rFonts w:hint="eastAsia" w:asciiTheme="minorEastAsia" w:hAnsiTheme="minorEastAsia" w:eastAsiaTheme="minorEastAsia" w:cstheme="minorEastAsia"/>
          <w:b w:val="0"/>
          <w:bCs w:val="0"/>
          <w:kern w:val="2"/>
          <w:sz w:val="24"/>
          <w:szCs w:val="24"/>
          <w:highlight w:val="none"/>
          <w:lang w:val="en-US" w:eastAsia="zh-CN" w:bidi="ar-SA"/>
        </w:rPr>
        <w:t>报价表（如报价总价低于最高限价的80%，需提供成本分析报告，报告需充分说明报价的组成，降低报价成本的治理措施及其它项目应用过的经验等，未提供成本分析报告或提供的成本分析报告不符合上述要求的视为不响应文件要求）。</w:t>
      </w:r>
    </w:p>
    <w:p w14:paraId="59EDBBC1">
      <w:pPr>
        <w:pStyle w:val="5"/>
        <w:keepNext w:val="0"/>
        <w:keepLines w:val="0"/>
        <w:pageBreakBefore w:val="0"/>
        <w:widowControl/>
        <w:numPr>
          <w:ilvl w:val="0"/>
          <w:numId w:val="0"/>
        </w:numPr>
        <w:kinsoku/>
        <w:wordWrap/>
        <w:overflowPunct/>
        <w:topLinePunct w:val="0"/>
        <w:autoSpaceDE/>
        <w:autoSpaceDN/>
        <w:bidi w:val="0"/>
        <w:spacing w:line="360" w:lineRule="auto"/>
        <w:ind w:leftChars="0"/>
        <w:jc w:val="left"/>
        <w:rPr>
          <w:highlight w:val="none"/>
        </w:rPr>
      </w:pPr>
      <w:r>
        <w:rPr>
          <w:rFonts w:hint="eastAsia" w:asciiTheme="minorEastAsia" w:hAnsiTheme="minorEastAsia" w:eastAsiaTheme="minorEastAsia" w:cstheme="minorEastAsia"/>
          <w:b w:val="0"/>
          <w:bCs w:val="0"/>
          <w:sz w:val="24"/>
          <w:szCs w:val="24"/>
          <w:highlight w:val="none"/>
          <w:lang w:val="en-US" w:eastAsia="zh-CN"/>
        </w:rPr>
        <w:t>（6）按</w:t>
      </w:r>
      <w:r>
        <w:rPr>
          <w:rFonts w:hint="eastAsia" w:asciiTheme="minorEastAsia" w:hAnsiTheme="minorEastAsia" w:eastAsiaTheme="minorEastAsia" w:cstheme="minorEastAsia"/>
          <w:b w:val="0"/>
          <w:bCs w:val="0"/>
          <w:sz w:val="24"/>
          <w:szCs w:val="24"/>
          <w:highlight w:val="none"/>
          <w:lang w:eastAsia="zh-CN"/>
        </w:rPr>
        <w:t>报价表要求</w:t>
      </w:r>
      <w:r>
        <w:rPr>
          <w:rFonts w:hint="eastAsia" w:asciiTheme="minorEastAsia" w:hAnsiTheme="minorEastAsia" w:eastAsiaTheme="minorEastAsia" w:cstheme="minorEastAsia"/>
          <w:b w:val="0"/>
          <w:bCs w:val="0"/>
          <w:sz w:val="24"/>
          <w:szCs w:val="24"/>
          <w:highlight w:val="none"/>
          <w:lang w:val="en-US" w:eastAsia="zh-CN"/>
        </w:rPr>
        <w:t>提供</w:t>
      </w:r>
      <w:r>
        <w:rPr>
          <w:rFonts w:hint="eastAsia" w:asciiTheme="minorEastAsia" w:hAnsiTheme="minorEastAsia" w:eastAsiaTheme="minorEastAsia" w:cstheme="minorEastAsia"/>
          <w:b w:val="0"/>
          <w:bCs w:val="0"/>
          <w:sz w:val="24"/>
          <w:szCs w:val="24"/>
          <w:highlight w:val="none"/>
          <w:lang w:eastAsia="zh-CN"/>
        </w:rPr>
        <w:t>投标产品的具体参数，包括：</w:t>
      </w:r>
      <w:r>
        <w:rPr>
          <w:rFonts w:hint="eastAsia" w:asciiTheme="minorEastAsia" w:hAnsiTheme="minorEastAsia" w:eastAsiaTheme="minorEastAsia" w:cstheme="minorEastAsia"/>
          <w:b w:val="0"/>
          <w:bCs w:val="0"/>
          <w:sz w:val="24"/>
          <w:szCs w:val="24"/>
          <w:highlight w:val="none"/>
          <w:lang w:val="en-US" w:eastAsia="zh-CN"/>
        </w:rPr>
        <w:t>品牌</w:t>
      </w:r>
      <w:r>
        <w:rPr>
          <w:rFonts w:hint="eastAsia" w:asciiTheme="minorEastAsia" w:hAnsiTheme="minorEastAsia" w:eastAsiaTheme="minorEastAsia" w:cstheme="minorEastAsia"/>
          <w:b w:val="0"/>
          <w:bCs w:val="0"/>
          <w:sz w:val="24"/>
          <w:szCs w:val="24"/>
          <w:highlight w:val="none"/>
          <w:lang w:eastAsia="zh-CN"/>
        </w:rPr>
        <w:t>型号、规格、单价、总价</w:t>
      </w:r>
      <w:r>
        <w:rPr>
          <w:rFonts w:hint="eastAsia" w:asciiTheme="minorEastAsia" w:hAnsiTheme="minorEastAsia" w:eastAsiaTheme="minorEastAsia" w:cstheme="minorEastAsia"/>
          <w:b w:val="0"/>
          <w:bCs w:val="0"/>
          <w:kern w:val="2"/>
          <w:sz w:val="24"/>
          <w:szCs w:val="24"/>
          <w:highlight w:val="none"/>
          <w:lang w:val="en-US" w:eastAsia="zh-CN" w:bidi="ar-SA"/>
        </w:rPr>
        <w:t>，如出现报价错误，视为不响应文件要求处理</w:t>
      </w:r>
      <w:r>
        <w:rPr>
          <w:rFonts w:hint="eastAsia" w:asciiTheme="minorEastAsia" w:hAnsiTheme="minorEastAsia" w:eastAsiaTheme="minorEastAsia" w:cstheme="minorEastAsia"/>
          <w:b w:val="0"/>
          <w:bCs w:val="0"/>
          <w:sz w:val="24"/>
          <w:szCs w:val="24"/>
          <w:highlight w:val="none"/>
        </w:rPr>
        <w:t>。</w:t>
      </w:r>
    </w:p>
    <w:p w14:paraId="0C249825">
      <w:pPr>
        <w:pStyle w:val="5"/>
        <w:keepNext w:val="0"/>
        <w:keepLines w:val="0"/>
        <w:pageBreakBefore w:val="0"/>
        <w:widowControl/>
        <w:numPr>
          <w:ilvl w:val="0"/>
          <w:numId w:val="0"/>
        </w:numPr>
        <w:kinsoku/>
        <w:wordWrap/>
        <w:overflowPunct/>
        <w:topLinePunct w:val="0"/>
        <w:autoSpaceDE/>
        <w:autoSpaceDN/>
        <w:bidi w:val="0"/>
        <w:spacing w:line="360" w:lineRule="auto"/>
        <w:ind w:leftChars="0"/>
        <w:jc w:val="left"/>
        <w:rPr>
          <w:highlight w:val="none"/>
        </w:rPr>
      </w:pPr>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70646">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B0A0C">
    <w:pPr>
      <w:framePr w:wrap="around" w:vAnchor="text" w:hAnchor="margin" w:xAlign="center" w:y="1"/>
    </w:pPr>
    <w:r>
      <w:fldChar w:fldCharType="begin"/>
    </w:r>
    <w:r>
      <w:instrText xml:space="preserve">PAGE  </w:instrText>
    </w:r>
    <w:r>
      <w:fldChar w:fldCharType="end"/>
    </w:r>
  </w:p>
  <w:p w14:paraId="642E5CC8">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2BD00">
    <w:pPr>
      <w:framePr w:wrap="around" w:vAnchor="text" w:hAnchor="margin" w:xAlign="center" w:y="1"/>
    </w:pPr>
    <w:r>
      <w:fldChar w:fldCharType="begin"/>
    </w:r>
    <w:r>
      <w:instrText xml:space="preserve">PAGE  </w:instrText>
    </w:r>
    <w:r>
      <w:fldChar w:fldCharType="separate"/>
    </w:r>
    <w:r>
      <w:t>13</w:t>
    </w:r>
    <w:r>
      <w:fldChar w:fldCharType="end"/>
    </w:r>
  </w:p>
  <w:p w14:paraId="79FCBC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53E73">
    <w:pPr>
      <w:pStyle w:val="10"/>
      <w:jc w:val="left"/>
    </w:pPr>
    <w:r>
      <w:drawing>
        <wp:inline distT="0" distB="0" distL="0" distR="0">
          <wp:extent cx="1562100" cy="266700"/>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2100"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3103C4"/>
    <w:multiLevelType w:val="singleLevel"/>
    <w:tmpl w:val="E03103C4"/>
    <w:lvl w:ilvl="0" w:tentative="0">
      <w:start w:val="1"/>
      <w:numFmt w:val="decimal"/>
      <w:suff w:val="nothing"/>
      <w:lvlText w:val="（%1）"/>
      <w:lvlJc w:val="left"/>
    </w:lvl>
  </w:abstractNum>
  <w:abstractNum w:abstractNumId="1">
    <w:nsid w:val="3590EAD1"/>
    <w:multiLevelType w:val="multilevel"/>
    <w:tmpl w:val="3590EAD1"/>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tabs>
          <w:tab w:val="left" w:pos="420"/>
        </w:tabs>
        <w:ind w:left="0" w:firstLine="0"/>
      </w:pPr>
      <w:rPr>
        <w:rFonts w:hint="eastAsia"/>
        <w:b w:val="0"/>
        <w:color w:val="auto"/>
      </w:rPr>
    </w:lvl>
    <w:lvl w:ilvl="2" w:tentative="0">
      <w:start w:val="1"/>
      <w:numFmt w:val="decimal"/>
      <w:lvlText w:val="%1.%2.%3"/>
      <w:lvlJc w:val="left"/>
      <w:pPr>
        <w:ind w:left="0" w:firstLine="0"/>
      </w:pPr>
      <w:rPr>
        <w:rFonts w:hint="default"/>
        <w:b w:val="0"/>
        <w:strike w:val="0"/>
        <w:dstrike w:val="0"/>
        <w:color w:val="auto"/>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ECF"/>
    <w:rsid w:val="006457D7"/>
    <w:rsid w:val="00695D22"/>
    <w:rsid w:val="006A0869"/>
    <w:rsid w:val="00714ECF"/>
    <w:rsid w:val="007425E8"/>
    <w:rsid w:val="00932E7F"/>
    <w:rsid w:val="00A8408F"/>
    <w:rsid w:val="00D15C4A"/>
    <w:rsid w:val="00E913EC"/>
    <w:rsid w:val="00F519DB"/>
    <w:rsid w:val="00FC3CF5"/>
    <w:rsid w:val="01724FD1"/>
    <w:rsid w:val="01E37341"/>
    <w:rsid w:val="024E2459"/>
    <w:rsid w:val="02605BB0"/>
    <w:rsid w:val="031407E0"/>
    <w:rsid w:val="053846B8"/>
    <w:rsid w:val="055E606D"/>
    <w:rsid w:val="07A05617"/>
    <w:rsid w:val="07DF799E"/>
    <w:rsid w:val="08374B13"/>
    <w:rsid w:val="086D6560"/>
    <w:rsid w:val="0886328A"/>
    <w:rsid w:val="09BA72EA"/>
    <w:rsid w:val="0A4D6DF4"/>
    <w:rsid w:val="0B8318A9"/>
    <w:rsid w:val="0C1D11D3"/>
    <w:rsid w:val="0C583F4F"/>
    <w:rsid w:val="0D6D2920"/>
    <w:rsid w:val="0D826AF7"/>
    <w:rsid w:val="0DCA1C7D"/>
    <w:rsid w:val="0DD22E11"/>
    <w:rsid w:val="0E135814"/>
    <w:rsid w:val="0EAF2DF9"/>
    <w:rsid w:val="0F494529"/>
    <w:rsid w:val="0F6FC8F8"/>
    <w:rsid w:val="117C54BB"/>
    <w:rsid w:val="11A72814"/>
    <w:rsid w:val="11C52438"/>
    <w:rsid w:val="11E20660"/>
    <w:rsid w:val="13CF3695"/>
    <w:rsid w:val="15E8043C"/>
    <w:rsid w:val="166C249A"/>
    <w:rsid w:val="17B86A37"/>
    <w:rsid w:val="17CA33F1"/>
    <w:rsid w:val="182D2D36"/>
    <w:rsid w:val="18EB0236"/>
    <w:rsid w:val="1A144475"/>
    <w:rsid w:val="1ACD5363"/>
    <w:rsid w:val="1AF17DBE"/>
    <w:rsid w:val="1B2A02DE"/>
    <w:rsid w:val="1BB4690B"/>
    <w:rsid w:val="1C782A98"/>
    <w:rsid w:val="1CB37CA0"/>
    <w:rsid w:val="1CF90A72"/>
    <w:rsid w:val="1D2E4810"/>
    <w:rsid w:val="1D64556D"/>
    <w:rsid w:val="1DA453B1"/>
    <w:rsid w:val="1E0C4E53"/>
    <w:rsid w:val="1E8F3467"/>
    <w:rsid w:val="1EDB3CB1"/>
    <w:rsid w:val="1EE94D12"/>
    <w:rsid w:val="1F2D0495"/>
    <w:rsid w:val="1F3855EE"/>
    <w:rsid w:val="201673B4"/>
    <w:rsid w:val="20516107"/>
    <w:rsid w:val="20D14047"/>
    <w:rsid w:val="22897BB7"/>
    <w:rsid w:val="231336BF"/>
    <w:rsid w:val="235E217F"/>
    <w:rsid w:val="238E6643"/>
    <w:rsid w:val="23F15106"/>
    <w:rsid w:val="24656822"/>
    <w:rsid w:val="25676784"/>
    <w:rsid w:val="2799156C"/>
    <w:rsid w:val="28336632"/>
    <w:rsid w:val="283D01C6"/>
    <w:rsid w:val="285A3337"/>
    <w:rsid w:val="28A7603E"/>
    <w:rsid w:val="2ACC37C5"/>
    <w:rsid w:val="2AF2461A"/>
    <w:rsid w:val="2BE4749E"/>
    <w:rsid w:val="2C8E2689"/>
    <w:rsid w:val="2C9F2910"/>
    <w:rsid w:val="2CA446C5"/>
    <w:rsid w:val="2CB50793"/>
    <w:rsid w:val="2CE23A79"/>
    <w:rsid w:val="2DCB08E2"/>
    <w:rsid w:val="2DE312CD"/>
    <w:rsid w:val="2F3E3147"/>
    <w:rsid w:val="2F54381F"/>
    <w:rsid w:val="2F7EE746"/>
    <w:rsid w:val="2FBB1644"/>
    <w:rsid w:val="2FF2A0FB"/>
    <w:rsid w:val="2FF67792"/>
    <w:rsid w:val="2FFFC567"/>
    <w:rsid w:val="305E6BC7"/>
    <w:rsid w:val="30881A2C"/>
    <w:rsid w:val="30E92D4B"/>
    <w:rsid w:val="318928E6"/>
    <w:rsid w:val="31FC0A43"/>
    <w:rsid w:val="327FF936"/>
    <w:rsid w:val="32A50CA9"/>
    <w:rsid w:val="32E15F1F"/>
    <w:rsid w:val="330F1A75"/>
    <w:rsid w:val="334C7FB6"/>
    <w:rsid w:val="33952B98"/>
    <w:rsid w:val="34D81DC2"/>
    <w:rsid w:val="35211D3B"/>
    <w:rsid w:val="35D80965"/>
    <w:rsid w:val="361C0DC2"/>
    <w:rsid w:val="36373EE3"/>
    <w:rsid w:val="37B40E9C"/>
    <w:rsid w:val="37BC0515"/>
    <w:rsid w:val="37C25F03"/>
    <w:rsid w:val="3930529C"/>
    <w:rsid w:val="39491FCC"/>
    <w:rsid w:val="39FA3E6B"/>
    <w:rsid w:val="3A21295B"/>
    <w:rsid w:val="3A7F4DEF"/>
    <w:rsid w:val="3CDF2518"/>
    <w:rsid w:val="3CF03605"/>
    <w:rsid w:val="3D425C5E"/>
    <w:rsid w:val="3D4F0613"/>
    <w:rsid w:val="3DBC4136"/>
    <w:rsid w:val="3DD50400"/>
    <w:rsid w:val="3DEA7335"/>
    <w:rsid w:val="3DFB4831"/>
    <w:rsid w:val="3EB8694E"/>
    <w:rsid w:val="3F147FA7"/>
    <w:rsid w:val="3FBEE83D"/>
    <w:rsid w:val="3FCB3D85"/>
    <w:rsid w:val="3FD75184"/>
    <w:rsid w:val="3FFF44E2"/>
    <w:rsid w:val="3FFF9893"/>
    <w:rsid w:val="40CF043E"/>
    <w:rsid w:val="41151708"/>
    <w:rsid w:val="41477D4E"/>
    <w:rsid w:val="41E27C26"/>
    <w:rsid w:val="42301F23"/>
    <w:rsid w:val="42D42A31"/>
    <w:rsid w:val="4364101B"/>
    <w:rsid w:val="436934FC"/>
    <w:rsid w:val="448A11B9"/>
    <w:rsid w:val="46355A0D"/>
    <w:rsid w:val="46867044"/>
    <w:rsid w:val="47B50031"/>
    <w:rsid w:val="47FFB0AB"/>
    <w:rsid w:val="48405A16"/>
    <w:rsid w:val="485721E6"/>
    <w:rsid w:val="496D5E51"/>
    <w:rsid w:val="4A8A2F4A"/>
    <w:rsid w:val="4B7163A5"/>
    <w:rsid w:val="4BF570FA"/>
    <w:rsid w:val="4E176F7A"/>
    <w:rsid w:val="4E21236A"/>
    <w:rsid w:val="4EA06726"/>
    <w:rsid w:val="4EE13D1B"/>
    <w:rsid w:val="51356054"/>
    <w:rsid w:val="51357C48"/>
    <w:rsid w:val="51D86F02"/>
    <w:rsid w:val="51EBBCE8"/>
    <w:rsid w:val="52566F2A"/>
    <w:rsid w:val="53AC1956"/>
    <w:rsid w:val="54A839E8"/>
    <w:rsid w:val="56252539"/>
    <w:rsid w:val="56E24F1A"/>
    <w:rsid w:val="577D1316"/>
    <w:rsid w:val="58027129"/>
    <w:rsid w:val="58AF2876"/>
    <w:rsid w:val="59103135"/>
    <w:rsid w:val="591E23BB"/>
    <w:rsid w:val="59D9078C"/>
    <w:rsid w:val="5A30017B"/>
    <w:rsid w:val="5AF84B28"/>
    <w:rsid w:val="5B3B28C2"/>
    <w:rsid w:val="5B3F9C6A"/>
    <w:rsid w:val="5B4714F7"/>
    <w:rsid w:val="5B5E0EA2"/>
    <w:rsid w:val="5BD855C7"/>
    <w:rsid w:val="5CF920E1"/>
    <w:rsid w:val="5DA46C2D"/>
    <w:rsid w:val="5DF747EE"/>
    <w:rsid w:val="5EA9DCF1"/>
    <w:rsid w:val="5EDBF4A6"/>
    <w:rsid w:val="5EF9D213"/>
    <w:rsid w:val="5EFE3AB2"/>
    <w:rsid w:val="5F4A27E1"/>
    <w:rsid w:val="5FBE168B"/>
    <w:rsid w:val="5FE73587"/>
    <w:rsid w:val="5FEFDFBC"/>
    <w:rsid w:val="5FF5A38F"/>
    <w:rsid w:val="6159302C"/>
    <w:rsid w:val="626149E4"/>
    <w:rsid w:val="62634C1E"/>
    <w:rsid w:val="626A069F"/>
    <w:rsid w:val="62A819D8"/>
    <w:rsid w:val="62AE5E99"/>
    <w:rsid w:val="62D74037"/>
    <w:rsid w:val="62E53A68"/>
    <w:rsid w:val="645C1B93"/>
    <w:rsid w:val="64653489"/>
    <w:rsid w:val="64922AE8"/>
    <w:rsid w:val="64F7C469"/>
    <w:rsid w:val="65126B49"/>
    <w:rsid w:val="65D24B21"/>
    <w:rsid w:val="66BE61DF"/>
    <w:rsid w:val="6814562C"/>
    <w:rsid w:val="68314789"/>
    <w:rsid w:val="68F46DE3"/>
    <w:rsid w:val="68FB229F"/>
    <w:rsid w:val="6A047A71"/>
    <w:rsid w:val="6A2745F0"/>
    <w:rsid w:val="6A5E3967"/>
    <w:rsid w:val="6AF65DB3"/>
    <w:rsid w:val="6DF22242"/>
    <w:rsid w:val="6E226B5C"/>
    <w:rsid w:val="6E4374B7"/>
    <w:rsid w:val="6E8FA0DA"/>
    <w:rsid w:val="6EB661AB"/>
    <w:rsid w:val="6FCD41FA"/>
    <w:rsid w:val="701012A8"/>
    <w:rsid w:val="704973C7"/>
    <w:rsid w:val="70583CB0"/>
    <w:rsid w:val="716C0325"/>
    <w:rsid w:val="72CE60C5"/>
    <w:rsid w:val="73865605"/>
    <w:rsid w:val="73A14B3F"/>
    <w:rsid w:val="73A22265"/>
    <w:rsid w:val="752F2083"/>
    <w:rsid w:val="75313602"/>
    <w:rsid w:val="75D86671"/>
    <w:rsid w:val="75E15002"/>
    <w:rsid w:val="75EF5FC7"/>
    <w:rsid w:val="75FD163C"/>
    <w:rsid w:val="765765B5"/>
    <w:rsid w:val="76B34F7E"/>
    <w:rsid w:val="779FB7CC"/>
    <w:rsid w:val="77A7DA41"/>
    <w:rsid w:val="77BF949D"/>
    <w:rsid w:val="77F392D5"/>
    <w:rsid w:val="78D78F09"/>
    <w:rsid w:val="78E940ED"/>
    <w:rsid w:val="79646B8B"/>
    <w:rsid w:val="79B453FD"/>
    <w:rsid w:val="79FA156C"/>
    <w:rsid w:val="7A7907A3"/>
    <w:rsid w:val="7A7E382C"/>
    <w:rsid w:val="7ADF916F"/>
    <w:rsid w:val="7ADF9961"/>
    <w:rsid w:val="7B6FA553"/>
    <w:rsid w:val="7B71D644"/>
    <w:rsid w:val="7BBB4E70"/>
    <w:rsid w:val="7BE72981"/>
    <w:rsid w:val="7BEF42EF"/>
    <w:rsid w:val="7BF662EE"/>
    <w:rsid w:val="7C210437"/>
    <w:rsid w:val="7C2C1363"/>
    <w:rsid w:val="7CBC616E"/>
    <w:rsid w:val="7CE06C76"/>
    <w:rsid w:val="7DDE9B14"/>
    <w:rsid w:val="7DFBEF8A"/>
    <w:rsid w:val="7E2D4E75"/>
    <w:rsid w:val="7E7F36A2"/>
    <w:rsid w:val="7F47FFDB"/>
    <w:rsid w:val="7F8C7120"/>
    <w:rsid w:val="7F9613F1"/>
    <w:rsid w:val="7F9D2987"/>
    <w:rsid w:val="7FD57BCB"/>
    <w:rsid w:val="7FDF5D18"/>
    <w:rsid w:val="7FDFD36D"/>
    <w:rsid w:val="7FEBDB69"/>
    <w:rsid w:val="9B3F1703"/>
    <w:rsid w:val="AFD7BFD4"/>
    <w:rsid w:val="B5DF2A02"/>
    <w:rsid w:val="B797AB10"/>
    <w:rsid w:val="B7B45486"/>
    <w:rsid w:val="BD4740EE"/>
    <w:rsid w:val="CFFE3AD7"/>
    <w:rsid w:val="D37BADDD"/>
    <w:rsid w:val="D61FB47A"/>
    <w:rsid w:val="D7BB89E9"/>
    <w:rsid w:val="D8BD912A"/>
    <w:rsid w:val="DBFFAFCA"/>
    <w:rsid w:val="DD6CEEAC"/>
    <w:rsid w:val="DE7F09E7"/>
    <w:rsid w:val="EA3F85A2"/>
    <w:rsid w:val="EF47261D"/>
    <w:rsid w:val="EF6D7019"/>
    <w:rsid w:val="EFBD581E"/>
    <w:rsid w:val="EFF79075"/>
    <w:rsid w:val="F118120A"/>
    <w:rsid w:val="F1DF9EB4"/>
    <w:rsid w:val="F3EF7321"/>
    <w:rsid w:val="F55C5355"/>
    <w:rsid w:val="F56F7D3E"/>
    <w:rsid w:val="F6FE8D95"/>
    <w:rsid w:val="F9BDF6AB"/>
    <w:rsid w:val="F9FF846F"/>
    <w:rsid w:val="FAB65CB9"/>
    <w:rsid w:val="FACFE874"/>
    <w:rsid w:val="FCEBC197"/>
    <w:rsid w:val="FDFE3DC9"/>
    <w:rsid w:val="FE7A9627"/>
    <w:rsid w:val="FF3F43F8"/>
    <w:rsid w:val="FFA9CD96"/>
    <w:rsid w:val="FFEF7096"/>
    <w:rsid w:val="FFF5F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qFormat/>
    <w:uiPriority w:val="0"/>
    <w:pPr>
      <w:keepNext/>
      <w:keepLines/>
      <w:outlineLvl w:val="0"/>
    </w:pPr>
    <w:rPr>
      <w:b/>
      <w:bCs/>
      <w:kern w:val="44"/>
      <w:szCs w:val="44"/>
    </w:rPr>
  </w:style>
  <w:style w:type="paragraph" w:styleId="5">
    <w:name w:val="heading 2"/>
    <w:basedOn w:val="1"/>
    <w:next w:val="1"/>
    <w:qFormat/>
    <w:uiPriority w:val="0"/>
    <w:pPr>
      <w:keepNext/>
      <w:keepLines/>
      <w:outlineLvl w:val="1"/>
    </w:pPr>
    <w:rPr>
      <w:rFonts w:hAnsi="Arial"/>
      <w:b/>
      <w:bCs/>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10"/>
    <w:pPr>
      <w:adjustRightInd w:val="0"/>
      <w:spacing w:before="60" w:after="60"/>
      <w:jc w:val="left"/>
      <w:outlineLvl w:val="0"/>
    </w:pPr>
    <w:rPr>
      <w:rFonts w:hAnsi="Arial"/>
      <w:b/>
    </w:rPr>
  </w:style>
  <w:style w:type="paragraph" w:styleId="6">
    <w:name w:val="annotation text"/>
    <w:basedOn w:val="1"/>
    <w:qFormat/>
    <w:uiPriority w:val="0"/>
    <w:pPr>
      <w:jc w:val="left"/>
    </w:pPr>
  </w:style>
  <w:style w:type="paragraph" w:styleId="7">
    <w:name w:val="Date"/>
    <w:basedOn w:val="1"/>
    <w:next w:val="1"/>
    <w:qFormat/>
    <w:uiPriority w:val="0"/>
    <w:rPr>
      <w:rFonts w:ascii="Times New Roman" w:hAnsi="Times New Roman"/>
      <w:sz w:val="24"/>
    </w:rPr>
  </w:style>
  <w:style w:type="paragraph" w:styleId="8">
    <w:name w:val="Balloon Text"/>
    <w:basedOn w:val="1"/>
    <w:link w:val="19"/>
    <w:qFormat/>
    <w:uiPriority w:val="0"/>
    <w:pPr>
      <w:spacing w:line="240" w:lineRule="auto"/>
    </w:pPr>
    <w:rPr>
      <w:sz w:val="18"/>
      <w:szCs w:val="18"/>
    </w:rPr>
  </w:style>
  <w:style w:type="paragraph" w:styleId="9">
    <w:name w:val="footer"/>
    <w:basedOn w:val="1"/>
    <w:link w:val="18"/>
    <w:qFormat/>
    <w:uiPriority w:val="0"/>
    <w:pPr>
      <w:tabs>
        <w:tab w:val="center" w:pos="4153"/>
        <w:tab w:val="right" w:pos="8306"/>
      </w:tabs>
      <w:snapToGrid w:val="0"/>
      <w:spacing w:line="240" w:lineRule="auto"/>
      <w:jc w:val="left"/>
    </w:pPr>
    <w:rPr>
      <w:sz w:val="18"/>
      <w:szCs w:val="18"/>
    </w:rPr>
  </w:style>
  <w:style w:type="paragraph" w:styleId="10">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right" w:leader="dot" w:pos="8296"/>
      </w:tabs>
    </w:pPr>
  </w:style>
  <w:style w:type="paragraph" w:styleId="12">
    <w:name w:val="toc 2"/>
    <w:basedOn w:val="1"/>
    <w:next w:val="1"/>
    <w:unhideWhenUsed/>
    <w:qFormat/>
    <w:uiPriority w:val="39"/>
    <w:pPr>
      <w:tabs>
        <w:tab w:val="right" w:leader="dot" w:pos="9289"/>
      </w:tabs>
      <w:snapToGrid w:val="0"/>
      <w:spacing w:line="480" w:lineRule="atLeast"/>
      <w:ind w:left="434"/>
      <w:jc w:val="left"/>
    </w:pPr>
    <w:rPr>
      <w:rFonts w:eastAsia="宋体"/>
      <w:b/>
      <w:smallCaps/>
      <w:sz w:val="24"/>
    </w:rPr>
  </w:style>
  <w:style w:type="paragraph" w:styleId="13">
    <w:name w:val="index 1"/>
    <w:basedOn w:val="1"/>
    <w:next w:val="1"/>
    <w:unhideWhenUsed/>
    <w:qFormat/>
    <w:uiPriority w:val="99"/>
    <w:rPr>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qFormat/>
    <w:uiPriority w:val="34"/>
    <w:pPr>
      <w:widowControl/>
      <w:tabs>
        <w:tab w:val="left" w:pos="-1440"/>
        <w:tab w:val="left" w:pos="-432"/>
        <w:tab w:val="left" w:pos="0"/>
        <w:tab w:val="left" w:pos="360"/>
        <w:tab w:val="left" w:pos="720"/>
        <w:tab w:val="left" w:pos="1368"/>
        <w:tab w:val="left" w:pos="1800"/>
        <w:tab w:val="left" w:pos="2160"/>
        <w:tab w:val="left" w:pos="2808"/>
      </w:tabs>
      <w:suppressAutoHyphens/>
      <w:overflowPunct w:val="0"/>
      <w:autoSpaceDE w:val="0"/>
      <w:autoSpaceDN w:val="0"/>
      <w:adjustRightInd w:val="0"/>
      <w:ind w:left="720"/>
      <w:contextualSpacing/>
      <w:jc w:val="left"/>
      <w:textAlignment w:val="baseline"/>
    </w:pPr>
    <w:rPr>
      <w:rFonts w:ascii="Arial" w:hAnsi="Arial" w:eastAsia="Times New Roman" w:cs="Arial"/>
      <w:spacing w:val="-2"/>
      <w:kern w:val="0"/>
      <w:sz w:val="20"/>
      <w:szCs w:val="20"/>
      <w:lang w:eastAsia="en-US"/>
    </w:rPr>
  </w:style>
  <w:style w:type="character" w:customStyle="1" w:styleId="18">
    <w:name w:val="页脚 Char"/>
    <w:basedOn w:val="16"/>
    <w:link w:val="9"/>
    <w:qFormat/>
    <w:uiPriority w:val="0"/>
    <w:rPr>
      <w:rFonts w:ascii="宋体" w:hAnsi="Calibri"/>
      <w:kern w:val="2"/>
      <w:sz w:val="18"/>
      <w:szCs w:val="18"/>
    </w:rPr>
  </w:style>
  <w:style w:type="character" w:customStyle="1" w:styleId="19">
    <w:name w:val="批注框文本 Char"/>
    <w:basedOn w:val="16"/>
    <w:link w:val="8"/>
    <w:qFormat/>
    <w:uiPriority w:val="0"/>
    <w:rPr>
      <w:rFonts w:ascii="宋体"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74113CE4-6046-40D0-ADFC-DEAAC4FFB17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1070</Words>
  <Characters>6099</Characters>
  <Lines>50</Lines>
  <Paragraphs>14</Paragraphs>
  <TotalTime>25</TotalTime>
  <ScaleCrop>false</ScaleCrop>
  <LinksUpToDate>false</LinksUpToDate>
  <CharactersWithSpaces>7155</CharactersWithSpaces>
  <Application>WPS Office_12.8.2.20324_F1E327BC-269C-435d-A152-05C5408002CA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2014-11-04T04:08:00Z</dcterms:created>
  <dc:creator>Administrator</dc:creator>
  <cp:lastModifiedBy>Administrator</cp:lastModifiedBy>
  <dcterms:modified xsi:type="dcterms:W3CDTF">2026-11-05T02:57:16Z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DB1DA8224426917AF0A5726AC1E5891C_43</vt:lpwstr>
  </property>
</Properties>
</file>