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0654D"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 w14:paraId="2DBC77B2"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 w14:paraId="5B828E5F"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 w14:paraId="1DD616C1"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 w14:paraId="2F1CB89A"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 w14:paraId="446B03D2"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 w14:paraId="76F28123"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 w14:paraId="39097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 w14:paraId="3E3F5B07"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 w14:paraId="46643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3E3BD332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 w14:paraId="34B05C08"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 w14:paraId="70284B78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 w14:paraId="2DD25692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 w14:paraId="29D5620F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66FF5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328CA31E"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 w14:paraId="68F9D6C6"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 w14:paraId="5DC373C1">
            <w:pPr>
              <w:spacing w:line="400" w:lineRule="exact"/>
              <w:jc w:val="center"/>
            </w:pPr>
            <w:r>
              <w:t>质量、环境、职业健康安全管理体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系</w:t>
            </w:r>
          </w:p>
        </w:tc>
        <w:tc>
          <w:tcPr>
            <w:tcW w:w="4073" w:type="dxa"/>
            <w:vAlign w:val="center"/>
          </w:tcPr>
          <w:p w14:paraId="590FD8DA">
            <w:pPr>
              <w:spacing w:line="400" w:lineRule="exact"/>
              <w:jc w:val="left"/>
            </w:pPr>
            <w:r>
              <w:rPr>
                <w:rFonts w:hint="eastAsia"/>
              </w:rPr>
              <w:t>通过质量、环境、职业健康安全管理体系认证。</w:t>
            </w:r>
          </w:p>
          <w:p w14:paraId="718A8217">
            <w:pPr>
              <w:spacing w:line="400" w:lineRule="exact"/>
              <w:jc w:val="left"/>
            </w:pPr>
            <w:r>
              <w:rPr>
                <w:rFonts w:hint="eastAsia"/>
              </w:rPr>
              <w:t>1.三证齐全且证书在有效期内，得3分；</w:t>
            </w:r>
          </w:p>
          <w:p w14:paraId="72165FE5">
            <w:pPr>
              <w:spacing w:line="400" w:lineRule="exact"/>
              <w:jc w:val="left"/>
            </w:pPr>
            <w:r>
              <w:rPr>
                <w:rFonts w:hint="eastAsia"/>
              </w:rPr>
              <w:t>2.具有两证且证书在有效期内，得2分；</w:t>
            </w:r>
          </w:p>
          <w:p w14:paraId="22F1345C">
            <w:pPr>
              <w:spacing w:line="400" w:lineRule="exact"/>
              <w:jc w:val="left"/>
            </w:pPr>
            <w:r>
              <w:rPr>
                <w:rFonts w:hint="eastAsia"/>
              </w:rPr>
              <w:t>3.仅有一证且证书在有效期内，得1分；</w:t>
            </w:r>
          </w:p>
          <w:p w14:paraId="2748504A">
            <w:pPr>
              <w:spacing w:line="400" w:lineRule="exact"/>
              <w:jc w:val="left"/>
            </w:pPr>
            <w:r>
              <w:rPr>
                <w:rFonts w:hint="eastAsia"/>
              </w:rPr>
              <w:t>4.未提供相关佐证材料或证书不在有效期内，得0分。</w:t>
            </w:r>
          </w:p>
        </w:tc>
        <w:tc>
          <w:tcPr>
            <w:tcW w:w="999" w:type="dxa"/>
            <w:vAlign w:val="center"/>
          </w:tcPr>
          <w:p w14:paraId="0E0601EE"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  <w:r>
              <w:t>.0</w:t>
            </w:r>
          </w:p>
        </w:tc>
      </w:tr>
      <w:tr w14:paraId="78E24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69093E0A"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 w14:paraId="3F1D4356">
            <w:pPr>
              <w:spacing w:line="400" w:lineRule="exact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企业</w:t>
            </w:r>
            <w:r>
              <w:rPr>
                <w:rFonts w:hint="eastAsia"/>
                <w:lang w:val="en-US" w:eastAsia="zh-CN"/>
              </w:rPr>
              <w:t>信誉</w:t>
            </w:r>
          </w:p>
        </w:tc>
        <w:tc>
          <w:tcPr>
            <w:tcW w:w="2299" w:type="dxa"/>
            <w:vAlign w:val="center"/>
          </w:tcPr>
          <w:p w14:paraId="6A1E25F0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企业</w:t>
            </w:r>
            <w:r>
              <w:rPr>
                <w:rFonts w:hint="eastAsia"/>
                <w:lang w:val="en-US" w:eastAsia="zh-CN"/>
              </w:rPr>
              <w:t>信誉</w:t>
            </w:r>
          </w:p>
        </w:tc>
        <w:tc>
          <w:tcPr>
            <w:tcW w:w="4073" w:type="dxa"/>
            <w:vAlign w:val="center"/>
          </w:tcPr>
          <w:p w14:paraId="20FB59D3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查看各投标人提供的银行资信证明：</w:t>
            </w:r>
          </w:p>
          <w:p w14:paraId="4B9D9ED9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1.2021年至今具有良好的银行资信证明，无任何不良记录的得10分；</w:t>
            </w:r>
          </w:p>
          <w:p w14:paraId="609437BE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2.2021年至今有1个不良记录的得7分；</w:t>
            </w:r>
          </w:p>
          <w:p w14:paraId="3B69A045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3.2021年至今有2个不良记录的得5分；</w:t>
            </w:r>
          </w:p>
          <w:p w14:paraId="0C218705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4.2021年至今有3个及以上不良记录或未提供证明的得0分。</w:t>
            </w:r>
          </w:p>
          <w:p w14:paraId="753A3DB8">
            <w:pPr>
              <w:spacing w:line="400" w:lineRule="exact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>注：</w:t>
            </w:r>
            <w:r>
              <w:rPr>
                <w:rFonts w:hint="eastAsia"/>
                <w:lang w:eastAsia="zh-CN"/>
              </w:rPr>
              <w:t>资信证明内容不能完全覆盖评价时段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  <w:lang w:eastAsia="zh-CN"/>
              </w:rPr>
              <w:t>且无法证明该年度无不良记录的，每缺失</w:t>
            </w:r>
            <w:r>
              <w:rPr>
                <w:rFonts w:hint="eastAsia"/>
                <w:lang w:val="en-US" w:eastAsia="zh-CN"/>
              </w:rPr>
              <w:t>1个年度资信证明扣2分，最多扣10分。</w:t>
            </w:r>
          </w:p>
        </w:tc>
        <w:tc>
          <w:tcPr>
            <w:tcW w:w="999" w:type="dxa"/>
            <w:vAlign w:val="center"/>
          </w:tcPr>
          <w:p w14:paraId="07916055"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  <w:r>
              <w:t>0.0</w:t>
            </w:r>
          </w:p>
        </w:tc>
      </w:tr>
      <w:tr w14:paraId="60746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08C6B316"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 w14:paraId="3CF23F0C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 w14:paraId="7F9C12F9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 w14:paraId="3A9C61E1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 w14:paraId="0B1C3783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具备与本检测相关专业（如</w:t>
            </w:r>
            <w:r>
              <w:rPr>
                <w:rFonts w:hint="eastAsia"/>
                <w:lang w:val="en-US" w:eastAsia="zh-CN"/>
              </w:rPr>
              <w:t>电气、测控、自动化、通信、电子信息、测试技术等）</w:t>
            </w:r>
            <w:r>
              <w:rPr>
                <w:rFonts w:hint="eastAsia"/>
                <w:lang w:val="en-US" w:eastAsia="zh-CN"/>
              </w:rPr>
              <w:t>高级工程师或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硕士及以上得3分，对应专业中级工程师或本科得2分，对应专业助理工程师得1分，</w:t>
            </w:r>
            <w:r>
              <w:rPr>
                <w:rFonts w:hint="eastAsia"/>
              </w:rPr>
              <w:t>最高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分。</w:t>
            </w:r>
          </w:p>
          <w:p w14:paraId="377C91F1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</w:t>
            </w:r>
            <w:r>
              <w:rPr>
                <w:rFonts w:hint="eastAsia"/>
                <w:lang w:eastAsia="zh-CN"/>
              </w:rPr>
              <w:t>每名人员仅选取职称或学历中得分较高一档积分，不重复计分；</w:t>
            </w:r>
            <w:r>
              <w:rPr>
                <w:rFonts w:hint="eastAsia"/>
              </w:rPr>
              <w:t>提供</w:t>
            </w:r>
            <w:r>
              <w:rPr>
                <w:rFonts w:hint="eastAsia"/>
                <w:lang w:val="en-US" w:eastAsia="zh-CN"/>
              </w:rPr>
              <w:t>项目人员</w:t>
            </w:r>
            <w:r>
              <w:rPr>
                <w:rFonts w:hint="eastAsia"/>
              </w:rPr>
              <w:t>职称或学历证明材料（按照职称或学位得分较高者计分），并提供在职证明材料（提供在本单位的劳动合同或投标截止日期前半年内连续3个月的社保证明），未提供佐证材料得0分。</w:t>
            </w:r>
          </w:p>
        </w:tc>
        <w:tc>
          <w:tcPr>
            <w:tcW w:w="999" w:type="dxa"/>
            <w:vAlign w:val="center"/>
          </w:tcPr>
          <w:p w14:paraId="76F676E3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9</w:t>
            </w:r>
            <w:r>
              <w:t>.0</w:t>
            </w:r>
          </w:p>
        </w:tc>
      </w:tr>
      <w:tr w14:paraId="2F2AE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A68181E">
            <w:pPr>
              <w:spacing w:line="40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vAlign w:val="center"/>
          </w:tcPr>
          <w:p w14:paraId="48BABB3E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商务响应性</w:t>
            </w:r>
          </w:p>
        </w:tc>
        <w:tc>
          <w:tcPr>
            <w:tcW w:w="2299" w:type="dxa"/>
            <w:vAlign w:val="center"/>
          </w:tcPr>
          <w:p w14:paraId="22121CB8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其他响应</w:t>
            </w:r>
          </w:p>
        </w:tc>
        <w:tc>
          <w:tcPr>
            <w:tcW w:w="4073" w:type="dxa"/>
            <w:vAlign w:val="center"/>
          </w:tcPr>
          <w:p w14:paraId="3E17B902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 w14:paraId="648D7CED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8</w:t>
            </w:r>
            <w:r>
              <w:t>.0</w:t>
            </w:r>
          </w:p>
        </w:tc>
      </w:tr>
      <w:tr w14:paraId="64A56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3DF5B4B5">
            <w:pPr>
              <w:spacing w:line="40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vAlign w:val="center"/>
          </w:tcPr>
          <w:p w14:paraId="3F803646"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 w14:paraId="04DD9986"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 w14:paraId="1EC65D2E">
            <w:pPr>
              <w:spacing w:line="400" w:lineRule="exact"/>
              <w:jc w:val="left"/>
            </w:pPr>
            <w:r>
              <w:t>提供</w:t>
            </w:r>
            <w:r>
              <w:rPr>
                <w:rFonts w:hint="eastAsia"/>
                <w:lang w:val="en-US" w:eastAsia="zh-CN"/>
              </w:rPr>
              <w:t>近三年（2023年1月1日至今）</w:t>
            </w:r>
            <w:r>
              <w:t>同类项目业绩证明及对应的项目</w:t>
            </w:r>
            <w:r>
              <w:rPr>
                <w:rFonts w:hint="eastAsia"/>
                <w:lang w:val="en-US" w:eastAsia="zh-CN"/>
              </w:rPr>
              <w:t>合同及</w:t>
            </w:r>
            <w:r>
              <w:t>发票凭证。起始分为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</w:t>
            </w:r>
            <w:r>
              <w:rPr>
                <w:rFonts w:hint="eastAsia"/>
                <w:lang w:val="en-US" w:eastAsia="zh-CN"/>
              </w:rPr>
              <w:t>1</w:t>
            </w:r>
            <w:r>
              <w:t>分，最高</w:t>
            </w:r>
            <w:r>
              <w:rPr>
                <w:rFonts w:hint="eastAsia"/>
                <w:lang w:val="en-US" w:eastAsia="zh-CN"/>
              </w:rPr>
              <w:t>20</w:t>
            </w:r>
            <w:r>
              <w:t>分。</w:t>
            </w:r>
          </w:p>
        </w:tc>
        <w:tc>
          <w:tcPr>
            <w:tcW w:w="999" w:type="dxa"/>
            <w:vAlign w:val="center"/>
          </w:tcPr>
          <w:p w14:paraId="047157FD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08101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 w14:paraId="0188B436"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</w:t>
            </w:r>
            <w:r>
              <w:rPr>
                <w:b/>
              </w:rPr>
              <w:t>0）分</w:t>
            </w:r>
          </w:p>
        </w:tc>
      </w:tr>
      <w:tr w14:paraId="63FB2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068866A7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 w14:paraId="55A7CA42"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 w14:paraId="7C985F67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 w14:paraId="7AC1E927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 w14:paraId="34473402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5F145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33036F91"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 w14:paraId="43667414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测试实施进度计划</w:t>
            </w:r>
          </w:p>
        </w:tc>
        <w:tc>
          <w:tcPr>
            <w:tcW w:w="2299" w:type="dxa"/>
            <w:vAlign w:val="center"/>
          </w:tcPr>
          <w:p w14:paraId="2E6E4F53">
            <w:pPr>
              <w:spacing w:line="400" w:lineRule="exact"/>
              <w:jc w:val="center"/>
            </w:pPr>
            <w:r>
              <w:rPr>
                <w:rFonts w:hint="eastAsia"/>
                <w:lang w:eastAsia="zh-CN"/>
              </w:rPr>
              <w:t>测试实施进度计划</w:t>
            </w:r>
          </w:p>
        </w:tc>
        <w:tc>
          <w:tcPr>
            <w:tcW w:w="4073" w:type="dxa"/>
            <w:vAlign w:val="center"/>
          </w:tcPr>
          <w:p w14:paraId="59FB8812">
            <w:pPr>
              <w:spacing w:line="400" w:lineRule="exact"/>
              <w:jc w:val="left"/>
            </w:pPr>
            <w:r>
              <w:rPr>
                <w:rFonts w:hint="eastAsia"/>
                <w:lang w:eastAsia="zh-CN"/>
              </w:rPr>
              <w:t>测试实施进度计划应具体、合理、并有具体对应的有效保障项目进度的措施</w:t>
            </w:r>
            <w:r>
              <w:rPr>
                <w:rFonts w:hint="eastAsia"/>
              </w:rPr>
              <w:t>。</w:t>
            </w:r>
          </w:p>
          <w:p w14:paraId="2677740A"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优（14 分＜得分≤20 分）</w:t>
            </w:r>
            <w:r>
              <w:rPr>
                <w:rFonts w:hint="eastAsia"/>
                <w:lang w:eastAsia="zh-CN"/>
              </w:rPr>
              <w:t>：进度计划及周期承诺详细完成，进度安排合理且有较好的可行性、针对性；</w:t>
            </w:r>
          </w:p>
          <w:p w14:paraId="3325DA80"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良（6 分＜得分≤14 分）</w:t>
            </w:r>
            <w:r>
              <w:rPr>
                <w:rFonts w:hint="eastAsia"/>
                <w:lang w:eastAsia="zh-CN"/>
              </w:rPr>
              <w:t>：进度计划及周期承诺一般，进度安排较合理且有一定的可行性、针对性；</w:t>
            </w:r>
          </w:p>
          <w:p w14:paraId="65440BF5">
            <w:pPr>
              <w:spacing w:line="400" w:lineRule="exact"/>
              <w:jc w:val="left"/>
            </w:pPr>
            <w:r>
              <w:rPr>
                <w:rFonts w:hint="eastAsia"/>
              </w:rPr>
              <w:t>中（1 分≤得分≤6 分）</w:t>
            </w:r>
            <w:r>
              <w:rPr>
                <w:rFonts w:hint="eastAsia"/>
                <w:lang w:eastAsia="zh-CN"/>
              </w:rPr>
              <w:t>：进度计划及周期承诺详一般，进度安排一般，可行性、针对性一般；</w:t>
            </w:r>
          </w:p>
          <w:p w14:paraId="51F9F868">
            <w:pPr>
              <w:spacing w:line="400" w:lineRule="exact"/>
              <w:jc w:val="left"/>
            </w:pPr>
            <w:r>
              <w:rPr>
                <w:rFonts w:hint="eastAsia"/>
              </w:rPr>
              <w:t>差（0 分）</w:t>
            </w:r>
            <w:r>
              <w:rPr>
                <w:rFonts w:hint="eastAsia"/>
                <w:lang w:eastAsia="zh-CN"/>
              </w:rPr>
              <w:t>：未提供实施进度计划</w:t>
            </w:r>
            <w:r>
              <w:rPr>
                <w:rFonts w:hint="eastAsia"/>
              </w:rPr>
              <w:t>。</w:t>
            </w:r>
          </w:p>
        </w:tc>
        <w:tc>
          <w:tcPr>
            <w:tcW w:w="999" w:type="dxa"/>
            <w:vAlign w:val="center"/>
          </w:tcPr>
          <w:p w14:paraId="11B45094"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 w14:paraId="77870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30FC2B57"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1E29B976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实施方案</w:t>
            </w:r>
          </w:p>
        </w:tc>
        <w:tc>
          <w:tcPr>
            <w:tcW w:w="2299" w:type="dxa"/>
            <w:vAlign w:val="center"/>
          </w:tcPr>
          <w:p w14:paraId="08A7ADF2">
            <w:pPr>
              <w:spacing w:line="400" w:lineRule="exact"/>
              <w:jc w:val="center"/>
            </w:pPr>
            <w:r>
              <w:rPr>
                <w:rFonts w:hint="eastAsia"/>
                <w:lang w:eastAsia="zh-CN"/>
              </w:rPr>
              <w:t>项目实施方案</w:t>
            </w:r>
          </w:p>
        </w:tc>
        <w:tc>
          <w:tcPr>
            <w:tcW w:w="4073" w:type="dxa"/>
            <w:vAlign w:val="center"/>
          </w:tcPr>
          <w:p w14:paraId="271AADB1">
            <w:pPr>
              <w:spacing w:line="400" w:lineRule="exact"/>
              <w:jc w:val="left"/>
            </w:pPr>
            <w:r>
              <w:rPr>
                <w:rFonts w:hint="eastAsia"/>
                <w:lang w:eastAsia="zh-CN"/>
              </w:rPr>
              <w:t>实施方案编制情况</w:t>
            </w:r>
            <w:r>
              <w:rPr>
                <w:rFonts w:hint="eastAsia"/>
              </w:rPr>
              <w:t>。</w:t>
            </w:r>
          </w:p>
          <w:p w14:paraId="0A90D0E6"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</w:t>
            </w:r>
            <w:r>
              <w:rPr>
                <w:rFonts w:hint="eastAsia"/>
                <w:lang w:eastAsia="zh-CN"/>
              </w:rPr>
              <w:t>：实施方案结构完整清晰、内容科学合理，针对性强，技术、安全、质量等管控措施管理制度完善，具备实验室管理系统且功能完善</w:t>
            </w:r>
            <w:r>
              <w:rPr>
                <w:rFonts w:hint="eastAsia"/>
              </w:rPr>
              <w:t>；</w:t>
            </w:r>
          </w:p>
          <w:p w14:paraId="48EACA10"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</w:t>
            </w:r>
            <w:r>
              <w:rPr>
                <w:rFonts w:hint="eastAsia"/>
                <w:lang w:eastAsia="zh-CN"/>
              </w:rPr>
              <w:t>：实施方案结构较完整清晰、内容科学合理性一般，针对性一般，技术、安全、质量等管控措施管理制度较完善，具备实验室管理系统但功能一般</w:t>
            </w:r>
            <w:r>
              <w:rPr>
                <w:rFonts w:hint="eastAsia"/>
              </w:rPr>
              <w:t>；</w:t>
            </w:r>
          </w:p>
          <w:p w14:paraId="705123E0">
            <w:pPr>
              <w:spacing w:line="400" w:lineRule="exact"/>
              <w:jc w:val="left"/>
            </w:pPr>
            <w:r>
              <w:rPr>
                <w:rFonts w:hint="eastAsia"/>
              </w:rPr>
              <w:t>中（1 分≤得分≤5 分）</w:t>
            </w:r>
            <w:r>
              <w:rPr>
                <w:rFonts w:hint="eastAsia"/>
                <w:lang w:eastAsia="zh-CN"/>
              </w:rPr>
              <w:t>：实施方案结构不完整、针对性不强，技术、安全、质量等管控措施管理制度不够完善，不具备实验室管理系统</w:t>
            </w:r>
            <w:r>
              <w:rPr>
                <w:rFonts w:hint="eastAsia"/>
              </w:rPr>
              <w:t xml:space="preserve">； </w:t>
            </w:r>
          </w:p>
          <w:p w14:paraId="2B0CDB60">
            <w:pPr>
              <w:spacing w:line="400" w:lineRule="exact"/>
              <w:jc w:val="left"/>
            </w:pPr>
            <w:r>
              <w:rPr>
                <w:rFonts w:hint="eastAsia"/>
              </w:rPr>
              <w:t>差（0 分）</w:t>
            </w:r>
            <w:r>
              <w:rPr>
                <w:rFonts w:hint="eastAsia"/>
                <w:lang w:eastAsia="zh-CN"/>
              </w:rPr>
              <w:t>：未提供相关实施方案</w:t>
            </w:r>
            <w:r>
              <w:rPr>
                <w:rFonts w:hint="eastAsia"/>
              </w:rPr>
              <w:t>。</w:t>
            </w:r>
          </w:p>
        </w:tc>
        <w:tc>
          <w:tcPr>
            <w:tcW w:w="999" w:type="dxa"/>
            <w:vAlign w:val="center"/>
          </w:tcPr>
          <w:p w14:paraId="68B2B8C4">
            <w:pPr>
              <w:spacing w:line="400" w:lineRule="exact"/>
              <w:jc w:val="center"/>
            </w:pPr>
            <w:r>
              <w:t>15.0</w:t>
            </w:r>
          </w:p>
        </w:tc>
      </w:tr>
      <w:tr w14:paraId="29AB9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10451CD4"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 w14:paraId="051B85A5">
            <w:pPr>
              <w:spacing w:line="400" w:lineRule="exact"/>
              <w:jc w:val="center"/>
            </w:pPr>
            <w:r>
              <w:rPr>
                <w:color w:val="auto"/>
              </w:rPr>
              <w:t>技术应答情况</w:t>
            </w:r>
          </w:p>
        </w:tc>
        <w:tc>
          <w:tcPr>
            <w:tcW w:w="2299" w:type="dxa"/>
            <w:vAlign w:val="center"/>
          </w:tcPr>
          <w:p w14:paraId="2002AF5C"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 w14:paraId="16E1071C">
            <w:pPr>
              <w:spacing w:line="400" w:lineRule="exact"/>
              <w:jc w:val="left"/>
            </w:pPr>
            <w:r>
              <w:rPr>
                <w:rFonts w:hint="eastAsia"/>
              </w:rPr>
              <w:t>技术规范书和技术要求应答情况。</w:t>
            </w:r>
          </w:p>
          <w:p w14:paraId="5A05A39A"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 w14:paraId="539585DF"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 w14:paraId="61AAB9E5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中（1 分≤得分≤5 分）：技术应答一般，对需说明的内容阐述不全，部分条款未响应招标文件要求；</w:t>
            </w:r>
          </w:p>
          <w:p w14:paraId="1A947F13">
            <w:pPr>
              <w:spacing w:line="400" w:lineRule="exact"/>
              <w:jc w:val="left"/>
            </w:pPr>
            <w:r>
              <w:rPr>
                <w:rFonts w:hint="eastAsia"/>
              </w:rPr>
              <w:t>差（0 分）</w:t>
            </w:r>
            <w:r>
              <w:rPr>
                <w:rFonts w:hint="eastAsia"/>
                <w:lang w:eastAsia="zh-CN"/>
              </w:rPr>
              <w:t>：未提供技术应答</w:t>
            </w:r>
            <w:r>
              <w:rPr>
                <w:rFonts w:hint="eastAsia"/>
              </w:rPr>
              <w:t>。</w:t>
            </w:r>
          </w:p>
        </w:tc>
        <w:tc>
          <w:tcPr>
            <w:tcW w:w="999" w:type="dxa"/>
            <w:vAlign w:val="center"/>
          </w:tcPr>
          <w:p w14:paraId="653D22BD">
            <w:pPr>
              <w:spacing w:line="400" w:lineRule="exact"/>
              <w:jc w:val="center"/>
            </w:pPr>
            <w:r>
              <w:t>15.0</w:t>
            </w:r>
          </w:p>
        </w:tc>
      </w:tr>
      <w:tr w14:paraId="36294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001620C6"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 w14:paraId="7E81CB90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检测程序及保密措施</w:t>
            </w:r>
          </w:p>
        </w:tc>
        <w:tc>
          <w:tcPr>
            <w:tcW w:w="2299" w:type="dxa"/>
            <w:vAlign w:val="center"/>
          </w:tcPr>
          <w:p w14:paraId="3325A5BC"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检测程序及保密措施</w:t>
            </w:r>
          </w:p>
        </w:tc>
        <w:tc>
          <w:tcPr>
            <w:tcW w:w="4073" w:type="dxa"/>
            <w:vAlign w:val="center"/>
          </w:tcPr>
          <w:p w14:paraId="1EE09681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优（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分＜得分≤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 xml:space="preserve"> 分）：</w:t>
            </w:r>
            <w:r>
              <w:rPr>
                <w:rFonts w:hint="eastAsia"/>
                <w:lang w:val="en-US" w:eastAsia="zh-CN"/>
              </w:rPr>
              <w:t>检测机构有完整的检测管理程序，检测过程中有关检测信息所采取的保密措施非常完备，保密程度较好；</w:t>
            </w:r>
          </w:p>
          <w:p w14:paraId="4F5C6FFC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良（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 xml:space="preserve"> 分≤得分≤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分）：</w:t>
            </w:r>
            <w:r>
              <w:rPr>
                <w:rFonts w:hint="eastAsia"/>
                <w:lang w:val="en-US" w:eastAsia="zh-CN"/>
              </w:rPr>
              <w:t>检测机构的检测管理程序一般，或检测过程中对有关检测信息所采取的保密措施较少，保密程度一般；</w:t>
            </w:r>
          </w:p>
          <w:p w14:paraId="6A7242C1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差（0 分）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  <w:lang w:val="en-US" w:eastAsia="zh-CN"/>
              </w:rPr>
              <w:t>未提供</w:t>
            </w:r>
            <w:r>
              <w:rPr>
                <w:rFonts w:hint="eastAsia"/>
                <w:lang w:eastAsia="zh-CN"/>
              </w:rPr>
              <w:t>检测程序及保密措施。</w:t>
            </w:r>
          </w:p>
        </w:tc>
        <w:tc>
          <w:tcPr>
            <w:tcW w:w="999" w:type="dxa"/>
            <w:vAlign w:val="center"/>
          </w:tcPr>
          <w:p w14:paraId="7FECDA60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10.0</w:t>
            </w:r>
          </w:p>
        </w:tc>
      </w:tr>
      <w:tr w14:paraId="076BC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604244A1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4" w:type="dxa"/>
            <w:vAlign w:val="center"/>
          </w:tcPr>
          <w:p w14:paraId="3ED6B7C6"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 w14:paraId="0162E687"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 w14:paraId="1724F5CD">
            <w:pPr>
              <w:spacing w:line="400" w:lineRule="exact"/>
              <w:jc w:val="left"/>
            </w:pPr>
            <w:r>
              <w:rPr>
                <w:rFonts w:hint="eastAsia"/>
              </w:rPr>
              <w:t>项目服务响应和服务承诺情况。</w:t>
            </w:r>
          </w:p>
          <w:p w14:paraId="31AB339F">
            <w:pPr>
              <w:spacing w:line="400" w:lineRule="exact"/>
              <w:jc w:val="left"/>
            </w:pPr>
            <w:r>
              <w:rPr>
                <w:rFonts w:hint="eastAsia"/>
              </w:rPr>
              <w:t>优（5 分＜得分≤10 分）：售后服务响应及时，服务措施较完整，质保期、质保和服务承诺较优。</w:t>
            </w:r>
          </w:p>
          <w:p w14:paraId="59D41375"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分≤得分≤5 分）：售后服务响应、服务措施、质保期、质保和服务承诺一般； </w:t>
            </w:r>
          </w:p>
          <w:p w14:paraId="74BB5B1D"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 w14:paraId="58961631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10</w:t>
            </w:r>
            <w:r>
              <w:t>.0</w:t>
            </w:r>
          </w:p>
        </w:tc>
      </w:tr>
      <w:tr w14:paraId="1174B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 w14:paraId="07652279"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0）分</w:t>
            </w:r>
          </w:p>
        </w:tc>
      </w:tr>
      <w:tr w14:paraId="1E813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ADB55C8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 w14:paraId="20C8D440"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 w14:paraId="6F298C46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 w14:paraId="5B8F7F21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 w14:paraId="5E209C72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34321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39A61F53"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 w14:paraId="00F59076"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 w14:paraId="1B09EE5F"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 w14:paraId="532D584D"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 w14:paraId="09ABBFC3"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 w14:paraId="0198AD4D"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 w14:paraId="02E782FC"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 w14:paraId="7100FBC0"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 w14:paraId="6C3BE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 w14:paraId="27EC4F97"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 w14:paraId="2E881F4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3744E"/>
    <w:rsid w:val="00051E67"/>
    <w:rsid w:val="00072621"/>
    <w:rsid w:val="001C1D0D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4F6CE2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31A2823"/>
    <w:rsid w:val="044E7D8A"/>
    <w:rsid w:val="0508058A"/>
    <w:rsid w:val="094B7937"/>
    <w:rsid w:val="0CF34297"/>
    <w:rsid w:val="0EEC520D"/>
    <w:rsid w:val="13816ECC"/>
    <w:rsid w:val="14134FD3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A7649B"/>
    <w:rsid w:val="2A315B45"/>
    <w:rsid w:val="2C333C14"/>
    <w:rsid w:val="2DB43208"/>
    <w:rsid w:val="2E4375F4"/>
    <w:rsid w:val="32326DEE"/>
    <w:rsid w:val="327A0EC0"/>
    <w:rsid w:val="3A2E3E02"/>
    <w:rsid w:val="3D273115"/>
    <w:rsid w:val="40C66554"/>
    <w:rsid w:val="42B34A7B"/>
    <w:rsid w:val="435509D0"/>
    <w:rsid w:val="44C012D8"/>
    <w:rsid w:val="459245EA"/>
    <w:rsid w:val="48B91E5D"/>
    <w:rsid w:val="497A2022"/>
    <w:rsid w:val="4BA87B8E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621D3630"/>
    <w:rsid w:val="6BE2040C"/>
    <w:rsid w:val="6FB46AE8"/>
    <w:rsid w:val="734A1819"/>
    <w:rsid w:val="7577700C"/>
    <w:rsid w:val="7B5641E6"/>
    <w:rsid w:val="7F7FB49B"/>
    <w:rsid w:val="BFABA26F"/>
    <w:rsid w:val="DFD55BD8"/>
    <w:rsid w:val="E7A7A999"/>
    <w:rsid w:val="F5397173"/>
    <w:rsid w:val="FEFD24BD"/>
    <w:rsid w:val="FFFB9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1229</Words>
  <Characters>1327</Characters>
  <Lines>17</Lines>
  <Paragraphs>4</Paragraphs>
  <TotalTime>0</TotalTime>
  <ScaleCrop>false</ScaleCrop>
  <LinksUpToDate>false</LinksUpToDate>
  <CharactersWithSpaces>1348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2025-04-12T02:41:00Z</dcterms:created>
  <dc:creator>2176582E6DB647989B571133181FE602</dc:creator>
  <cp:lastModifiedBy>XCAD~fenglin</cp:lastModifiedBy>
  <dcterms:modified xsi:type="dcterms:W3CDTF">2026-11-05T10:43:03Z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D2A8D5304DD9D6CBDA33E86A000A61EF_43</vt:lpwstr>
  </property>
  <property fmtid="{D5CDD505-2E9C-101B-9397-08002B2CF9AE}" pid="4" name="KSOTemplateDocerSaveRecord">
    <vt:lpwstr>eyJoZGlkIjoiZDBlNTA3MTAwNWE1NDg3MTk3YWM4YjlhYWZhNDQ2ZWMiLCJ1c2VySWQiOiI0NDY5NDM4OTMifQ==</vt:lpwstr>
  </property>
</Properties>
</file>