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24DAE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车载无人机快速支架</w:t>
      </w:r>
      <w:r>
        <w:rPr>
          <w:rFonts w:hint="eastAsia"/>
          <w:sz w:val="32"/>
          <w:szCs w:val="40"/>
          <w:lang w:val="en-US" w:eastAsia="zh-CN"/>
        </w:rPr>
        <w:t>技术要求</w:t>
      </w:r>
    </w:p>
    <w:p w14:paraId="03069399">
      <w:pPr>
        <w:jc w:val="left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要求提供材料支持</w:t>
      </w:r>
    </w:p>
    <w:p w14:paraId="1DF9F2F4">
      <w:pPr>
        <w:jc w:val="left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主要内容：项目无人机供电巡线工作通常覆盖广泛区域，常需跨越复杂地形区域以及频繁进行转移。工作人员在每次转移作业点位，需要反复对无人机进行折叠、拆卸装箱等工序，并且传统无人机装箱操作存在拆装耗时、螺旋桨折叠易损、电池散置存在短路风险等问题，产生供电线路巡检工作中无人机设备频繁转运效率低、电池管理不便等实际需求痛点。</w:t>
      </w:r>
    </w:p>
    <w:p w14:paraId="6F4B294B">
      <w:pPr>
        <w:jc w:val="left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针对上述痛点，本项目旨在研发一款集成化车载无人机快速收纳支架系统。本支架采用模块化设计，通过定制化卡扣结构与减震基座实现无人机整机免拆解固定，车厢内可实现快速取放；支架内还融合智能电池仓体，内置温控模块与独立充电接口，支持多组电池存储及循环补电，有效的利用转移时间为电池进行补电。本项目通过优化巡检装备移动部署流程，可有效的提升现场作业效率，同时降低设备运输损耗率，为电网智能化巡检体系提供硬件支撑。</w:t>
      </w:r>
    </w:p>
    <w:p w14:paraId="6D130D27">
      <w:pPr>
        <w:jc w:val="left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技术原理：无人机的脚架与机身连接稳固，因此可以做为与运输车辆之间的连接点夹持位置。本项目的无人机固定底座能够安装在皮卡车型的后方车斗内，侧方的可调节支撑能够适应多种尺寸的皮卡车斗。其中，固定支架通过通过可调节的伸缩杆来实现撑杆的长短调节，末段通过可滑动的螺纹结构进行锁紧。无人机脚架多为碳纤维管结构，在对其进行锁定配合时，无人机固定底座设计有与脚架配合的凹槽，在安置无人机时先将脚架装入内侧的配合槽中，再将外壳向下压入槽内，其中在外侧的脚架配合凹槽设计有弹簧配合的锁紧结构，将无人机脚架牢牢固定在无人机固定底座上。</w:t>
      </w:r>
    </w:p>
    <w:p w14:paraId="544B7B29">
      <w:pPr>
        <w:jc w:val="left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同时本项目的无人机底座与脚架连接的部分安装有自锁导轨，在进行装卸无人机时能够向外拉出，拉出到指定位置后导轨会自行锁定，方便人员装卸。完成装卸后可以一键快速解锁导轨，即可将固定底座推回车斗内重新锁定，以保障无人机在车内时，不会因为颠簸或是侧向的加速度而造成翻倒磕碰，对设备起到保护的作用同时也提高了人员的工作效率。</w:t>
      </w:r>
    </w:p>
    <w:p w14:paraId="70CAAF83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2484755" cy="1787525"/>
            <wp:effectExtent l="0" t="0" r="10795" b="317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8475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67635" cy="1751965"/>
            <wp:effectExtent l="0" t="0" r="18415" b="63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763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093BA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/>
          <w:i/>
          <w:color w:val="FF0000"/>
          <w:spacing w:val="30"/>
          <w:sz w:val="20"/>
          <w:lang w:eastAsia="zh-CN"/>
        </w:rPr>
        <w:drawing>
          <wp:inline distT="0" distB="0" distL="114300" distR="114300">
            <wp:extent cx="2256790" cy="1228090"/>
            <wp:effectExtent l="9525" t="9525" r="19685" b="19685"/>
            <wp:docPr id="1" name="图片 1" descr="a1690c3693ed2c019306ef24d732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1690c3693ed2c019306ef24d73226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22809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i/>
          <w:color w:val="FF0000"/>
          <w:spacing w:val="30"/>
          <w:sz w:val="20"/>
          <w:lang w:eastAsia="zh-CN"/>
        </w:rPr>
        <w:drawing>
          <wp:inline distT="0" distB="0" distL="114300" distR="114300">
            <wp:extent cx="2719705" cy="1245870"/>
            <wp:effectExtent l="9525" t="9525" r="13970" b="20955"/>
            <wp:docPr id="2" name="图片 2" descr="2239386e43abc78855d9ce45bd6a5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239386e43abc78855d9ce45bd6a5e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9705" cy="124587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838499E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</w:pPr>
    </w:p>
    <w:p w14:paraId="35C1C7D9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</w:pPr>
    </w:p>
    <w:p w14:paraId="58949B19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</w:pPr>
    </w:p>
    <w:p w14:paraId="6E8CE1A7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</w:pPr>
    </w:p>
    <w:p w14:paraId="018CD255">
      <w:pPr>
        <w:pStyle w:val="3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left="0" w:right="0" w:firstLine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加工方案</w:t>
      </w:r>
    </w:p>
    <w:tbl>
      <w:tblPr>
        <w:tblStyle w:val="4"/>
        <w:tblpPr w:leftFromText="180" w:rightFromText="180" w:vertAnchor="text" w:horzAnchor="page" w:tblpX="1593" w:tblpY="113"/>
        <w:tblOverlap w:val="never"/>
        <w:tblW w:w="445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536"/>
        <w:gridCol w:w="1096"/>
        <w:gridCol w:w="4309"/>
      </w:tblGrid>
      <w:tr w14:paraId="3CCEB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00E747C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01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6532A37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物资名称</w:t>
            </w:r>
          </w:p>
        </w:tc>
        <w:tc>
          <w:tcPr>
            <w:tcW w:w="72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130C480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规格型号</w:t>
            </w:r>
          </w:p>
        </w:tc>
        <w:tc>
          <w:tcPr>
            <w:tcW w:w="2835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3519813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加工方案</w:t>
            </w:r>
          </w:p>
        </w:tc>
      </w:tr>
      <w:tr w14:paraId="6CD98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1B8E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15E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外观设计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62A6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87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</w:rPr>
              <w:t>按1:1建模，出造型效果图及STEP源文件；与车斗、M350脚架无干涉，外形公差±0.5mm</w:t>
            </w:r>
          </w:p>
        </w:tc>
      </w:tr>
      <w:tr w14:paraId="2E639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6ECB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BF8F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定制部件设计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5B0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16B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</w:rPr>
              <w:t>减震基座、滑轨自锁、脚架锁紧3类部件出零件图及装配图；关键配合±0.2mm</w:t>
            </w:r>
          </w:p>
        </w:tc>
      </w:tr>
      <w:tr w14:paraId="3D7F68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F76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73DE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PCB及PCBA加工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5B15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64F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</w:rPr>
              <w:t>FR-4双面板、板厚1.6mm；三防漆处理</w:t>
            </w:r>
          </w:p>
        </w:tc>
      </w:tr>
      <w:tr w14:paraId="705FF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C26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0A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3D打印加工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2A5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54B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</w:rPr>
              <w:t>SLA树脂/PA12打印外观及装配验证件，成型精度±0.2mm、层厚≤0.1mm，件数与材质按图纸</w:t>
            </w:r>
          </w:p>
        </w:tc>
      </w:tr>
      <w:tr w14:paraId="7EA8B5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7B9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5273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材料部件组装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0C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49A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</w:rPr>
              <w:t>总成组装，紧固件按设计扭矩复紧并；活动件无卡滞</w:t>
            </w:r>
          </w:p>
        </w:tc>
      </w:tr>
      <w:tr w14:paraId="73383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8B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1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C47D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装置功能测试</w:t>
            </w:r>
          </w:p>
        </w:tc>
        <w:tc>
          <w:tcPr>
            <w:tcW w:w="72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0A3A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F80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  <w:lang w:val="en-US" w:eastAsia="zh-CN"/>
              </w:rPr>
              <w:t>对所有功能点进行功能性测试，确保功能可用。</w:t>
            </w:r>
          </w:p>
        </w:tc>
      </w:tr>
      <w:tr w14:paraId="4AE28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/>
            <w:vAlign w:val="center"/>
          </w:tcPr>
          <w:p w14:paraId="5A90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1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213D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金属材料加工</w:t>
            </w:r>
          </w:p>
        </w:tc>
        <w:tc>
          <w:tcPr>
            <w:tcW w:w="72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A01D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\</w:t>
            </w:r>
          </w:p>
        </w:tc>
        <w:tc>
          <w:tcPr>
            <w:tcW w:w="2835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8E9D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19"/>
                <w:szCs w:val="19"/>
                <w:shd w:val="clear" w:color="auto" w:fill="FFFFFF"/>
                <w:lang w:val="en-US" w:eastAsia="zh-CN"/>
              </w:rPr>
              <w:t>按图纸的设计及公差进行加工</w:t>
            </w:r>
          </w:p>
        </w:tc>
      </w:tr>
    </w:tbl>
    <w:p w14:paraId="6B16963E">
      <w:pPr>
        <w:rPr>
          <w:rFonts w:hint="default"/>
          <w:sz w:val="32"/>
          <w:szCs w:val="40"/>
          <w:lang w:val="en-US" w:eastAsia="zh-CN"/>
        </w:rPr>
      </w:pPr>
    </w:p>
    <w:p w14:paraId="074339FA">
      <w:pPr>
        <w:pStyle w:val="2"/>
        <w:rPr>
          <w:rFonts w:hint="default"/>
          <w:sz w:val="32"/>
          <w:szCs w:val="40"/>
          <w:lang w:val="en-US" w:eastAsia="zh-CN"/>
        </w:rPr>
      </w:pPr>
    </w:p>
    <w:p w14:paraId="729D144C">
      <w:pPr>
        <w:rPr>
          <w:rFonts w:hint="default"/>
          <w:sz w:val="32"/>
          <w:szCs w:val="40"/>
          <w:lang w:val="en-US" w:eastAsia="zh-CN"/>
        </w:rPr>
      </w:pPr>
    </w:p>
    <w:p w14:paraId="2E839C84">
      <w:pPr>
        <w:pStyle w:val="2"/>
        <w:rPr>
          <w:rFonts w:hint="default"/>
          <w:sz w:val="32"/>
          <w:szCs w:val="40"/>
          <w:lang w:val="en-US" w:eastAsia="zh-CN"/>
        </w:rPr>
      </w:pPr>
    </w:p>
    <w:p w14:paraId="57FB3930">
      <w:pPr>
        <w:rPr>
          <w:rFonts w:hint="default"/>
          <w:sz w:val="32"/>
          <w:szCs w:val="40"/>
          <w:lang w:val="en-US" w:eastAsia="zh-CN"/>
        </w:rPr>
      </w:pPr>
    </w:p>
    <w:p w14:paraId="60438567">
      <w:pPr>
        <w:pStyle w:val="2"/>
        <w:rPr>
          <w:rFonts w:hint="default"/>
          <w:sz w:val="32"/>
          <w:szCs w:val="40"/>
          <w:lang w:val="en-US" w:eastAsia="zh-CN"/>
        </w:rPr>
      </w:pPr>
    </w:p>
    <w:p w14:paraId="7B9E19B9">
      <w:pPr>
        <w:rPr>
          <w:rFonts w:hint="default"/>
          <w:sz w:val="32"/>
          <w:szCs w:val="40"/>
          <w:lang w:val="en-US" w:eastAsia="zh-CN"/>
        </w:rPr>
      </w:pPr>
    </w:p>
    <w:p w14:paraId="54997017">
      <w:pPr>
        <w:pStyle w:val="2"/>
        <w:rPr>
          <w:rFonts w:hint="default"/>
          <w:sz w:val="32"/>
          <w:szCs w:val="40"/>
          <w:lang w:val="en-US" w:eastAsia="zh-CN"/>
        </w:rPr>
      </w:pPr>
    </w:p>
    <w:p w14:paraId="14B4245F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另需提供：</w:t>
      </w:r>
      <w:r>
        <w:rPr>
          <w:rFonts w:hint="default"/>
          <w:lang w:val="en-US" w:eastAsia="zh-CN"/>
        </w:rPr>
        <w:t>企业技术能力证明材料（证明材料需要包含发票、合同、验收单或检验报告）</w:t>
      </w:r>
      <w:r>
        <w:rPr>
          <w:rFonts w:hint="eastAsia"/>
          <w:lang w:val="en-US" w:eastAsia="zh-CN"/>
        </w:rPr>
        <w:t>、</w:t>
      </w:r>
    </w:p>
    <w:p w14:paraId="65B8D73C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服务方案（测试加工设计）</w:t>
      </w:r>
      <w:r>
        <w:rPr>
          <w:rFonts w:hint="eastAsia"/>
          <w:lang w:val="en-US" w:eastAsia="zh-CN"/>
        </w:rPr>
        <w:t>，根据加工方案完成设备整体，并需提供完整的设备使用操作视频及说明书，必须达到交付验收标准</w:t>
      </w:r>
      <w:r>
        <w:rPr>
          <w:rFonts w:hint="default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07B020EB"/>
    <w:rsid w:val="19910107"/>
    <w:rsid w:val="1F2E3188"/>
    <w:rsid w:val="1F8848ED"/>
    <w:rsid w:val="305A5F71"/>
    <w:rsid w:val="7AB03EC0"/>
    <w:rsid w:val="7CC3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2024-01-25T07:08:00Z</dcterms:created>
  <dc:creator>wangjunping</dc:creator>
  <cp:lastModifiedBy>yanshiming</cp:lastModifiedBy>
  <dcterms:modified xsi:type="dcterms:W3CDTF">2026-10-30T01:51:31Z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967FC79B5E164800A19A4ED9750A4276</vt:lpwstr>
  </property>
</Properties>
</file>