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10604934">
      <w:pPr>
        <w:spacing w:beforeLines="200" w:line="360" w:lineRule="auto"/>
        <w:rPr>
          <w:rFonts w:asciiTheme="minorEastAsia" w:hAnsiTheme="minorEastAsia" w:eastAsiaTheme="minorEastAsia"/>
        </w:rPr>
      </w:pPr>
      <w:r>
        <w:rPr>
          <w:rFonts w:asciiTheme="minorEastAsia" w:hAnsiTheme="minorEastAsia" w:eastAsiaTheme="minorEastAsia"/>
          <w:b/>
          <w:sz w:val="52"/>
          <w:szCs w:val="2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-1139190</wp:posOffset>
            </wp:positionH>
            <wp:positionV relativeFrom="paragraph">
              <wp:posOffset>-955040</wp:posOffset>
            </wp:positionV>
            <wp:extent cx="8915400" cy="2736850"/>
            <wp:effectExtent l="0" t="0" r="0" b="6350"/>
            <wp:wrapTight wrapText="bothSides">
              <wp:wrapPolygon>
                <wp:start x="-23" y="0"/>
                <wp:lineTo x="-23" y="21525"/>
                <wp:lineTo x="21600" y="21525"/>
                <wp:lineTo x="21600" y="0"/>
                <wp:lineTo x="-23" y="0"/>
              </wp:wrapPolygon>
            </wp:wrapTight>
            <wp:docPr id="2" name="Picture 68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8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915400" cy="27368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1D548A24">
      <w:pPr>
        <w:tabs>
          <w:tab w:val="left" w:pos="480"/>
        </w:tabs>
        <w:adjustRightInd w:val="0"/>
        <w:snapToGrid w:val="0"/>
        <w:spacing w:line="360" w:lineRule="auto"/>
        <w:jc w:val="center"/>
        <w:rPr>
          <w:rFonts w:hint="eastAsia" w:asciiTheme="minorEastAsia" w:hAnsiTheme="minorEastAsia" w:eastAsiaTheme="minorEastAsia"/>
          <w:b/>
          <w:bCs/>
          <w:sz w:val="44"/>
          <w:szCs w:val="44"/>
        </w:rPr>
      </w:pPr>
      <w:r>
        <w:rPr>
          <w:rFonts w:hint="eastAsia" w:asciiTheme="minorEastAsia" w:hAnsiTheme="minorEastAsia" w:eastAsiaTheme="minorEastAsia"/>
          <w:b/>
          <w:bCs/>
          <w:sz w:val="44"/>
          <w:szCs w:val="44"/>
          <w:lang w:val="en-US" w:eastAsia="zh-CN"/>
        </w:rPr>
        <w:t>河源</w:t>
      </w:r>
      <w:r>
        <w:rPr>
          <w:rFonts w:hint="eastAsia" w:asciiTheme="minorEastAsia" w:hAnsiTheme="minorEastAsia" w:eastAsiaTheme="minorEastAsia"/>
          <w:b/>
          <w:bCs/>
          <w:sz w:val="44"/>
          <w:szCs w:val="44"/>
        </w:rPr>
        <w:t>供电局</w:t>
      </w:r>
    </w:p>
    <w:p w14:paraId="1DD95F27">
      <w:pPr>
        <w:tabs>
          <w:tab w:val="left" w:pos="480"/>
        </w:tabs>
        <w:adjustRightInd w:val="0"/>
        <w:snapToGrid w:val="0"/>
        <w:spacing w:line="360" w:lineRule="auto"/>
        <w:jc w:val="center"/>
        <w:rPr>
          <w:rFonts w:hint="eastAsia" w:asciiTheme="minorEastAsia" w:hAnsiTheme="minorEastAsia" w:eastAsiaTheme="minorEastAsia"/>
          <w:b/>
          <w:bCs/>
          <w:sz w:val="44"/>
          <w:szCs w:val="44"/>
          <w:lang w:val="en-US" w:eastAsia="zh-CN"/>
        </w:rPr>
      </w:pPr>
      <w:r>
        <w:rPr>
          <w:rFonts w:hint="eastAsia" w:asciiTheme="minorEastAsia" w:hAnsiTheme="minorEastAsia" w:eastAsiaTheme="minorEastAsia"/>
          <w:b/>
          <w:bCs/>
          <w:sz w:val="44"/>
          <w:szCs w:val="44"/>
          <w:lang w:val="en-US" w:eastAsia="zh-CN"/>
        </w:rPr>
        <w:t>一种10kV刀闸合闸状态智能识别装置研制</w:t>
      </w:r>
    </w:p>
    <w:p w14:paraId="33FE2130">
      <w:pPr>
        <w:tabs>
          <w:tab w:val="left" w:pos="480"/>
        </w:tabs>
        <w:adjustRightInd w:val="0"/>
        <w:snapToGrid w:val="0"/>
        <w:spacing w:line="360" w:lineRule="auto"/>
        <w:jc w:val="center"/>
        <w:rPr>
          <w:rFonts w:hint="default" w:asciiTheme="minorEastAsia" w:hAnsiTheme="minorEastAsia" w:eastAsiaTheme="minorEastAsia"/>
          <w:b/>
          <w:bCs/>
          <w:sz w:val="44"/>
          <w:szCs w:val="44"/>
          <w:lang w:val="en-US" w:eastAsia="zh-CN"/>
        </w:rPr>
      </w:pPr>
      <w:r>
        <w:rPr>
          <w:rFonts w:hint="eastAsia" w:asciiTheme="minorEastAsia" w:hAnsiTheme="minorEastAsia" w:eastAsiaTheme="minorEastAsia"/>
          <w:b/>
          <w:bCs/>
          <w:sz w:val="44"/>
          <w:szCs w:val="44"/>
          <w:lang w:val="en-US" w:eastAsia="zh-CN"/>
        </w:rPr>
        <w:t>项目材料采购</w:t>
      </w:r>
    </w:p>
    <w:p w14:paraId="7FF1DAA0">
      <w:pPr>
        <w:pStyle w:val="4"/>
        <w:spacing w:line="360" w:lineRule="auto"/>
        <w:ind w:right="210"/>
        <w:jc w:val="center"/>
        <w:rPr>
          <w:rFonts w:asciiTheme="minorEastAsia" w:hAnsiTheme="minorEastAsia" w:eastAsiaTheme="minorEastAsia"/>
          <w:sz w:val="44"/>
          <w:szCs w:val="44"/>
        </w:rPr>
      </w:pPr>
      <w:bookmarkStart w:id="0" w:name="_Toc490994883"/>
      <w:bookmarkStart w:id="1" w:name="_Toc490993881"/>
      <w:bookmarkStart w:id="2" w:name="_Toc490827275"/>
      <w:bookmarkStart w:id="3" w:name="_Toc490836508"/>
      <w:bookmarkStart w:id="4" w:name="_Toc490836987"/>
      <w:bookmarkStart w:id="5" w:name="_Toc490992882"/>
      <w:bookmarkStart w:id="6" w:name="_Toc490993917"/>
      <w:bookmarkStart w:id="7" w:name="_Toc490836196"/>
      <w:bookmarkStart w:id="8" w:name="_Toc490828824"/>
      <w:bookmarkStart w:id="9" w:name="_Toc490828342"/>
      <w:bookmarkStart w:id="10" w:name="_Toc529463209"/>
      <w:bookmarkStart w:id="11" w:name="_Toc490833902"/>
      <w:bookmarkStart w:id="12" w:name="_Toc490836685"/>
      <w:r>
        <w:rPr>
          <w:rFonts w:asciiTheme="minorEastAsia" w:hAnsiTheme="minorEastAsia" w:eastAsiaTheme="minorEastAsia"/>
          <w:sz w:val="44"/>
          <w:szCs w:val="44"/>
        </w:rPr>
        <w:t>技术</w:t>
      </w:r>
      <w:r>
        <w:rPr>
          <w:rFonts w:hint="eastAsia" w:asciiTheme="minorEastAsia" w:hAnsiTheme="minorEastAsia" w:eastAsiaTheme="minorEastAsia"/>
          <w:sz w:val="44"/>
          <w:szCs w:val="44"/>
        </w:rPr>
        <w:t>规范书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</w:p>
    <w:p w14:paraId="055814C2">
      <w:pPr>
        <w:spacing w:beforeLines="200"/>
        <w:rPr>
          <w:rFonts w:asciiTheme="minorEastAsia" w:hAnsiTheme="minorEastAsia" w:eastAsiaTheme="minorEastAsia"/>
          <w:b/>
          <w:sz w:val="52"/>
          <w:szCs w:val="22"/>
        </w:rPr>
      </w:pPr>
    </w:p>
    <w:p w14:paraId="15829B56">
      <w:pPr>
        <w:spacing w:beforeLines="200"/>
        <w:rPr>
          <w:rFonts w:asciiTheme="minorEastAsia" w:hAnsiTheme="minorEastAsia" w:eastAsiaTheme="minorEastAsia"/>
          <w:b/>
          <w:sz w:val="52"/>
          <w:szCs w:val="22"/>
        </w:rPr>
      </w:pPr>
    </w:p>
    <w:p w14:paraId="7C8E4DDF">
      <w:pPr>
        <w:jc w:val="center"/>
        <w:rPr>
          <w:rFonts w:hint="eastAsia"/>
          <w:b/>
          <w:sz w:val="30"/>
          <w:szCs w:val="30"/>
          <w:lang w:eastAsia="zh-CN"/>
        </w:rPr>
      </w:pPr>
      <w:r>
        <w:rPr>
          <w:rFonts w:hint="eastAsia"/>
          <w:b/>
          <w:sz w:val="30"/>
          <w:szCs w:val="30"/>
          <w:lang w:val="en-US" w:eastAsia="zh-CN"/>
        </w:rPr>
        <w:t>河源</w:t>
      </w:r>
      <w:r>
        <w:rPr>
          <w:rFonts w:hint="eastAsia"/>
          <w:b/>
          <w:sz w:val="30"/>
          <w:szCs w:val="30"/>
          <w:lang w:eastAsia="zh-CN"/>
        </w:rPr>
        <w:t>供电局</w:t>
      </w:r>
    </w:p>
    <w:p w14:paraId="510DC51D">
      <w:pPr>
        <w:jc w:val="center"/>
        <w:rPr>
          <w:rFonts w:hint="default"/>
          <w:b/>
          <w:sz w:val="30"/>
          <w:szCs w:val="30"/>
          <w:lang w:val="en-US"/>
        </w:rPr>
      </w:pPr>
      <w:r>
        <w:rPr>
          <w:b/>
          <w:sz w:val="30"/>
          <w:szCs w:val="30"/>
        </w:rPr>
        <w:t>二〇</w:t>
      </w:r>
      <w:r>
        <w:rPr>
          <w:rFonts w:hint="eastAsia"/>
          <w:b/>
          <w:sz w:val="30"/>
          <w:szCs w:val="30"/>
          <w:lang w:eastAsia="zh-CN"/>
        </w:rPr>
        <w:t>二</w:t>
      </w:r>
      <w:r>
        <w:rPr>
          <w:rFonts w:hint="eastAsia"/>
          <w:b/>
          <w:sz w:val="30"/>
          <w:szCs w:val="30"/>
          <w:lang w:val="en-US" w:eastAsia="zh-CN"/>
        </w:rPr>
        <w:t>X</w:t>
      </w:r>
      <w:r>
        <w:rPr>
          <w:b/>
          <w:sz w:val="30"/>
          <w:szCs w:val="30"/>
        </w:rPr>
        <w:t>年</w:t>
      </w:r>
      <w:r>
        <w:rPr>
          <w:rFonts w:hint="eastAsia"/>
          <w:b/>
          <w:sz w:val="30"/>
          <w:szCs w:val="30"/>
          <w:lang w:val="en-US" w:eastAsia="zh-CN"/>
        </w:rPr>
        <w:t>X月</w:t>
      </w:r>
    </w:p>
    <w:p w14:paraId="363F3C2F">
      <w:pPr>
        <w:jc w:val="both"/>
        <w:rPr>
          <w:rFonts w:hint="default" w:eastAsia="宋体"/>
          <w:b/>
          <w:sz w:val="30"/>
          <w:szCs w:val="30"/>
          <w:lang w:val="en-US" w:eastAsia="zh-CN"/>
        </w:rPr>
      </w:pPr>
    </w:p>
    <w:p w14:paraId="232945E5">
      <w:pPr>
        <w:rPr>
          <w:rFonts w:hint="eastAsia"/>
        </w:rPr>
      </w:pPr>
      <w:bookmarkStart w:id="13" w:name="_Toc490993882"/>
    </w:p>
    <w:p w14:paraId="7F7391A5">
      <w:pPr>
        <w:pStyle w:val="23"/>
        <w:rPr>
          <w:rFonts w:hint="eastAsia"/>
        </w:rPr>
      </w:pPr>
    </w:p>
    <w:p w14:paraId="30C75E2B">
      <w:pPr>
        <w:pStyle w:val="4"/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/>
        <w:rPr>
          <w:sz w:val="32"/>
          <w:szCs w:val="32"/>
        </w:rPr>
      </w:pPr>
      <w:bookmarkStart w:id="14" w:name="_Toc529463210"/>
      <w:r>
        <w:rPr>
          <w:rFonts w:hint="eastAsia"/>
          <w:sz w:val="32"/>
          <w:szCs w:val="32"/>
        </w:rPr>
        <w:t>1.总则</w:t>
      </w:r>
      <w:bookmarkEnd w:id="13"/>
      <w:bookmarkEnd w:id="14"/>
    </w:p>
    <w:p w14:paraId="37BBEF22"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本技术规范书适用于一种10kV刀闸合闸状态智能识别装置研制</w:t>
      </w:r>
    </w:p>
    <w:p w14:paraId="286E04B9"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项目所需材料。</w:t>
      </w:r>
    </w:p>
    <w:p w14:paraId="06EEE6C9"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1.1本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技术规范书规定了一种10kV刀闸合闸状态智能识别装置研制</w:t>
      </w:r>
    </w:p>
    <w:p w14:paraId="59E00C45"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项目所需材料的界限、技术要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求、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安全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要求等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具体内容。</w:t>
      </w:r>
    </w:p>
    <w:p w14:paraId="2311169F"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rPr>
          <w:rFonts w:hint="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1.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本技术规范书提出的技术要求。除技术规范书中规定的技术参数和要求外，其余均遵循最新版本的国家标准（GB）、电力行业标准（DL）、IEC标准和国际单位（SI）。</w:t>
      </w:r>
    </w:p>
    <w:p w14:paraId="1DC9E222">
      <w:pPr>
        <w:pStyle w:val="4"/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/>
        <w:rPr>
          <w:sz w:val="32"/>
          <w:szCs w:val="32"/>
        </w:rPr>
      </w:pPr>
      <w:bookmarkStart w:id="15" w:name="_Toc490993883"/>
      <w:bookmarkStart w:id="16" w:name="_Toc529463211"/>
      <w:r>
        <w:rPr>
          <w:rFonts w:hint="eastAsia"/>
          <w:sz w:val="32"/>
          <w:szCs w:val="32"/>
        </w:rPr>
        <w:t>2.</w:t>
      </w:r>
      <w:bookmarkEnd w:id="15"/>
      <w:bookmarkStart w:id="17" w:name="_Toc445396910"/>
      <w:bookmarkStart w:id="18" w:name="_Toc351722589"/>
      <w:bookmarkStart w:id="19" w:name="_Toc476060462"/>
      <w:r>
        <w:rPr>
          <w:rFonts w:hint="eastAsia"/>
          <w:sz w:val="32"/>
          <w:szCs w:val="32"/>
        </w:rPr>
        <w:t>项目目标</w:t>
      </w:r>
      <w:bookmarkEnd w:id="16"/>
      <w:bookmarkEnd w:id="17"/>
      <w:bookmarkEnd w:id="18"/>
      <w:bookmarkEnd w:id="19"/>
    </w:p>
    <w:p w14:paraId="69B6C4BA">
      <w:pPr>
        <w:spacing w:line="360" w:lineRule="auto"/>
        <w:ind w:firstLine="480" w:firstLineChars="200"/>
        <w:rPr>
          <w:rFonts w:hint="eastAsia" w:ascii="宋体" w:hAnsi="宋体"/>
          <w:sz w:val="24"/>
          <w:lang w:eastAsia="zh-CN"/>
        </w:rPr>
      </w:pPr>
      <w:bookmarkStart w:id="20" w:name="_Toc291690055"/>
      <w:bookmarkStart w:id="21" w:name="_Toc351722590"/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本</w:t>
      </w:r>
      <w:r>
        <w:rPr>
          <w:rFonts w:hint="eastAsia" w:ascii="宋体" w:hAnsi="宋体"/>
          <w:sz w:val="24"/>
          <w:lang w:val="en-US" w:eastAsia="zh-CN"/>
        </w:rPr>
        <w:t>项目是针对一种10kV刀闸合闸状态智能识别装置研制</w:t>
      </w:r>
    </w:p>
    <w:p w14:paraId="0EA5334E">
      <w:pPr>
        <w:spacing w:line="360" w:lineRule="auto"/>
        <w:ind w:firstLine="480" w:firstLineChars="200"/>
        <w:rPr>
          <w:rFonts w:hint="eastAsia" w:ascii="宋体" w:hAnsi="宋体" w:eastAsia="宋体" w:cs="Times New Roman"/>
          <w:sz w:val="24"/>
          <w:szCs w:val="24"/>
        </w:rPr>
      </w:pPr>
      <w:r>
        <w:rPr>
          <w:rFonts w:hint="eastAsia" w:ascii="宋体" w:hAnsi="宋体"/>
          <w:sz w:val="24"/>
          <w:lang w:eastAsia="zh-CN"/>
        </w:rPr>
        <w:t>，</w:t>
      </w:r>
      <w:r>
        <w:rPr>
          <w:rFonts w:hint="eastAsia" w:ascii="宋体" w:hAnsi="宋体"/>
          <w:sz w:val="24"/>
          <w:lang w:val="en-US" w:eastAsia="zh-CN"/>
        </w:rPr>
        <w:t>采购其所需的材料，确保成果能够正常运行，</w:t>
      </w:r>
      <w:r>
        <w:rPr>
          <w:rFonts w:hint="eastAsia" w:ascii="宋体" w:hAnsi="宋体" w:eastAsia="宋体" w:cs="Times New Roman"/>
          <w:sz w:val="24"/>
          <w:szCs w:val="24"/>
        </w:rPr>
        <w:t>能够</w:t>
      </w:r>
      <w:r>
        <w:rPr>
          <w:rFonts w:hint="eastAsia" w:ascii="宋体" w:hAnsi="宋体" w:cs="Times New Roman"/>
          <w:sz w:val="24"/>
          <w:szCs w:val="24"/>
          <w:lang w:val="en-US" w:eastAsia="zh-CN"/>
        </w:rPr>
        <w:t>到达预期效果</w:t>
      </w:r>
      <w:r>
        <w:rPr>
          <w:rFonts w:hint="eastAsia" w:ascii="宋体" w:hAnsi="宋体" w:eastAsia="宋体" w:cs="Times New Roman"/>
          <w:sz w:val="24"/>
          <w:szCs w:val="24"/>
        </w:rPr>
        <w:t>。</w:t>
      </w:r>
    </w:p>
    <w:p w14:paraId="46305374">
      <w:pPr>
        <w:pStyle w:val="4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textAlignment w:val="auto"/>
        <w:rPr>
          <w:rFonts w:hint="eastAsia" w:ascii="宋体" w:hAnsi="宋体" w:eastAsia="宋体" w:cs="宋体"/>
          <w:color w:val="auto"/>
          <w:sz w:val="32"/>
          <w:szCs w:val="32"/>
          <w:highlight w:val="none"/>
        </w:rPr>
      </w:pPr>
      <w:bookmarkStart w:id="22" w:name="_Toc8978"/>
      <w:bookmarkStart w:id="23" w:name="_Toc15654"/>
      <w:bookmarkStart w:id="24" w:name="_Toc470168814"/>
      <w:bookmarkStart w:id="25" w:name="_Toc11752"/>
      <w:bookmarkStart w:id="26" w:name="_Toc114177936"/>
      <w:r>
        <w:rPr>
          <w:rFonts w:hint="eastAsia" w:cs="宋体"/>
          <w:sz w:val="32"/>
          <w:szCs w:val="32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</w:rPr>
        <w:t>. 供货需求</w:t>
      </w:r>
      <w:bookmarkEnd w:id="22"/>
      <w:bookmarkEnd w:id="23"/>
      <w:bookmarkEnd w:id="24"/>
      <w:bookmarkEnd w:id="25"/>
      <w:bookmarkEnd w:id="26"/>
    </w:p>
    <w:p w14:paraId="1A024538">
      <w:pPr>
        <w:adjustRightInd w:val="0"/>
        <w:snapToGrid w:val="0"/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所需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材料明细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见表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: 供货范围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。</w:t>
      </w:r>
    </w:p>
    <w:p w14:paraId="3BF5B023">
      <w:pPr>
        <w:jc w:val="center"/>
        <w:rPr>
          <w:rFonts w:eastAsia="宋体"/>
          <w:color w:val="auto"/>
          <w:sz w:val="24"/>
          <w:szCs w:val="24"/>
          <w:highlight w:val="none"/>
        </w:rPr>
      </w:pPr>
      <w:r>
        <w:rPr>
          <w:rFonts w:eastAsia="宋体"/>
          <w:color w:val="auto"/>
          <w:sz w:val="24"/>
          <w:szCs w:val="24"/>
          <w:highlight w:val="none"/>
        </w:rPr>
        <w:t>表</w:t>
      </w:r>
      <w:r>
        <w:rPr>
          <w:rFonts w:hint="eastAsia"/>
          <w:color w:val="auto"/>
          <w:sz w:val="24"/>
          <w:szCs w:val="24"/>
          <w:highlight w:val="none"/>
          <w:lang w:val="en-US" w:eastAsia="zh-CN"/>
        </w:rPr>
        <w:t>1</w:t>
      </w:r>
      <w:r>
        <w:rPr>
          <w:rFonts w:eastAsia="宋体"/>
          <w:color w:val="auto"/>
          <w:sz w:val="24"/>
          <w:szCs w:val="24"/>
          <w:highlight w:val="none"/>
        </w:rPr>
        <w:t xml:space="preserve"> 供货范围</w:t>
      </w:r>
    </w:p>
    <w:tbl>
      <w:tblPr>
        <w:tblStyle w:val="25"/>
        <w:tblW w:w="875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55"/>
        <w:gridCol w:w="2035"/>
        <w:gridCol w:w="1748"/>
        <w:gridCol w:w="1014"/>
        <w:gridCol w:w="2899"/>
      </w:tblGrid>
      <w:tr w14:paraId="7A7881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93" w:hRule="atLeast"/>
          <w:tblHeader/>
          <w:jc w:val="center"/>
        </w:trPr>
        <w:tc>
          <w:tcPr>
            <w:tcW w:w="1055" w:type="dxa"/>
            <w:noWrap w:val="0"/>
            <w:vAlign w:val="center"/>
          </w:tcPr>
          <w:p w14:paraId="39468E83">
            <w:pPr>
              <w:jc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2035" w:type="dxa"/>
            <w:noWrap w:val="0"/>
            <w:vAlign w:val="center"/>
          </w:tcPr>
          <w:p w14:paraId="2435518A">
            <w:pPr>
              <w:jc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  <w:t>名称</w:t>
            </w:r>
          </w:p>
        </w:tc>
        <w:tc>
          <w:tcPr>
            <w:tcW w:w="1748" w:type="dxa"/>
            <w:noWrap w:val="0"/>
            <w:vAlign w:val="center"/>
          </w:tcPr>
          <w:p w14:paraId="39E77B5D">
            <w:pPr>
              <w:jc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/>
                <w:color w:val="auto"/>
                <w:sz w:val="24"/>
                <w:szCs w:val="24"/>
                <w:highlight w:val="none"/>
                <w:lang w:val="en-US" w:eastAsia="zh-CN"/>
              </w:rPr>
              <w:t>型号规格</w:t>
            </w:r>
          </w:p>
        </w:tc>
        <w:tc>
          <w:tcPr>
            <w:tcW w:w="1014" w:type="dxa"/>
            <w:noWrap w:val="0"/>
            <w:vAlign w:val="center"/>
          </w:tcPr>
          <w:p w14:paraId="686DD79D">
            <w:pPr>
              <w:jc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  <w:t>单位</w:t>
            </w:r>
          </w:p>
        </w:tc>
        <w:tc>
          <w:tcPr>
            <w:tcW w:w="2899" w:type="dxa"/>
            <w:noWrap w:val="0"/>
            <w:vAlign w:val="center"/>
          </w:tcPr>
          <w:p w14:paraId="11C8EAB3">
            <w:pPr>
              <w:jc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  <w:t>项目</w:t>
            </w:r>
            <w:r>
              <w:rPr>
                <w:rFonts w:hint="eastAsia" w:ascii="Times New Roman" w:hAnsi="Times New Roman"/>
                <w:color w:val="auto"/>
                <w:sz w:val="24"/>
                <w:szCs w:val="24"/>
                <w:highlight w:val="none"/>
                <w:lang w:val="en-US" w:eastAsia="zh-CN"/>
              </w:rPr>
              <w:t>需求</w:t>
            </w:r>
            <w:r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  <w:t>数量</w:t>
            </w:r>
          </w:p>
        </w:tc>
      </w:tr>
      <w:tr w14:paraId="3F27C5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50" w:hRule="atLeast"/>
          <w:jc w:val="center"/>
        </w:trPr>
        <w:tc>
          <w:tcPr>
            <w:tcW w:w="1055" w:type="dxa"/>
            <w:noWrap w:val="0"/>
            <w:vAlign w:val="center"/>
          </w:tcPr>
          <w:p w14:paraId="4FDCC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035" w:type="dxa"/>
            <w:noWrap w:val="0"/>
            <w:vAlign w:val="center"/>
          </w:tcPr>
          <w:p w14:paraId="5C8BC9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3"/>
                <w:szCs w:val="23"/>
                <w:u w:val="none"/>
                <w:lang w:val="en-US" w:eastAsia="zh-CN" w:bidi="ar"/>
              </w:rPr>
              <w:t>主控模块</w:t>
            </w:r>
          </w:p>
        </w:tc>
        <w:tc>
          <w:tcPr>
            <w:tcW w:w="1748" w:type="dxa"/>
            <w:noWrap w:val="0"/>
            <w:vAlign w:val="center"/>
          </w:tcPr>
          <w:p w14:paraId="074E09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Open Sans" w:hAnsi="Open Sans" w:eastAsia="Open Sans" w:cs="Open Sans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数据采集处理</w:t>
            </w:r>
          </w:p>
        </w:tc>
        <w:tc>
          <w:tcPr>
            <w:tcW w:w="1014" w:type="dxa"/>
            <w:noWrap w:val="0"/>
            <w:vAlign w:val="center"/>
          </w:tcPr>
          <w:p w14:paraId="11C6658A">
            <w:pPr>
              <w:spacing w:line="360" w:lineRule="exact"/>
              <w:jc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vanish w:val="0"/>
                <w:kern w:val="0"/>
                <w:szCs w:val="21"/>
                <w:lang w:val="en-US" w:eastAsia="zh-CN"/>
              </w:rPr>
              <w:t>个</w:t>
            </w:r>
          </w:p>
        </w:tc>
        <w:tc>
          <w:tcPr>
            <w:tcW w:w="2899" w:type="dxa"/>
            <w:noWrap w:val="0"/>
            <w:vAlign w:val="center"/>
          </w:tcPr>
          <w:p w14:paraId="29196DBB">
            <w:pPr>
              <w:spacing w:line="360" w:lineRule="exact"/>
              <w:jc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vanish w:val="0"/>
                <w:kern w:val="0"/>
                <w:szCs w:val="21"/>
                <w:lang w:val="en-US" w:eastAsia="zh-CN"/>
              </w:rPr>
              <w:t>1</w:t>
            </w:r>
          </w:p>
        </w:tc>
      </w:tr>
      <w:tr w14:paraId="1549C9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50" w:hRule="atLeast"/>
          <w:jc w:val="center"/>
        </w:trPr>
        <w:tc>
          <w:tcPr>
            <w:tcW w:w="1055" w:type="dxa"/>
            <w:noWrap w:val="0"/>
            <w:vAlign w:val="center"/>
          </w:tcPr>
          <w:p w14:paraId="602785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035" w:type="dxa"/>
            <w:noWrap w:val="0"/>
            <w:vAlign w:val="center"/>
          </w:tcPr>
          <w:p w14:paraId="49E5F7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3"/>
                <w:szCs w:val="23"/>
                <w:u w:val="none"/>
                <w:lang w:val="en-US" w:eastAsia="zh-CN" w:bidi="ar"/>
              </w:rPr>
              <w:t>传感器组件</w:t>
            </w:r>
          </w:p>
        </w:tc>
        <w:tc>
          <w:tcPr>
            <w:tcW w:w="1748" w:type="dxa"/>
            <w:noWrap w:val="0"/>
            <w:vAlign w:val="center"/>
          </w:tcPr>
          <w:p w14:paraId="4E0C9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Open Sans" w:hAnsi="Open Sans" w:eastAsia="Open Sans" w:cs="Open Sans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拉力传感器</w:t>
            </w:r>
          </w:p>
        </w:tc>
        <w:tc>
          <w:tcPr>
            <w:tcW w:w="1014" w:type="dxa"/>
            <w:noWrap w:val="0"/>
            <w:vAlign w:val="center"/>
          </w:tcPr>
          <w:p w14:paraId="355C4F7B">
            <w:pPr>
              <w:spacing w:line="360" w:lineRule="exact"/>
              <w:jc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vanish w:val="0"/>
                <w:kern w:val="0"/>
                <w:szCs w:val="21"/>
                <w:lang w:val="en-US" w:eastAsia="zh-CN"/>
              </w:rPr>
              <w:t>个</w:t>
            </w:r>
          </w:p>
        </w:tc>
        <w:tc>
          <w:tcPr>
            <w:tcW w:w="2899" w:type="dxa"/>
            <w:noWrap w:val="0"/>
            <w:vAlign w:val="center"/>
          </w:tcPr>
          <w:p w14:paraId="282C69E5">
            <w:pPr>
              <w:spacing w:line="360" w:lineRule="exact"/>
              <w:jc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vanish w:val="0"/>
                <w:kern w:val="0"/>
                <w:szCs w:val="21"/>
                <w:lang w:val="en-US" w:eastAsia="zh-CN"/>
              </w:rPr>
              <w:t>1</w:t>
            </w:r>
          </w:p>
        </w:tc>
      </w:tr>
      <w:tr w14:paraId="1CFC0A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50" w:hRule="atLeast"/>
          <w:jc w:val="center"/>
        </w:trPr>
        <w:tc>
          <w:tcPr>
            <w:tcW w:w="1055" w:type="dxa"/>
            <w:noWrap w:val="0"/>
            <w:vAlign w:val="center"/>
          </w:tcPr>
          <w:p w14:paraId="73BE19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035" w:type="dxa"/>
            <w:noWrap w:val="0"/>
            <w:vAlign w:val="center"/>
          </w:tcPr>
          <w:p w14:paraId="7570DF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视觉模块</w:t>
            </w:r>
          </w:p>
        </w:tc>
        <w:tc>
          <w:tcPr>
            <w:tcW w:w="1748" w:type="dxa"/>
            <w:noWrap w:val="0"/>
            <w:vAlign w:val="center"/>
          </w:tcPr>
          <w:p w14:paraId="31138C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Open Sans" w:hAnsi="Open Sans" w:eastAsia="Open Sans" w:cs="Open Sans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高清摄像头及图像采集</w:t>
            </w:r>
          </w:p>
        </w:tc>
        <w:tc>
          <w:tcPr>
            <w:tcW w:w="1014" w:type="dxa"/>
            <w:noWrap w:val="0"/>
            <w:vAlign w:val="center"/>
          </w:tcPr>
          <w:p w14:paraId="5F18AFDA">
            <w:pPr>
              <w:spacing w:line="360" w:lineRule="exact"/>
              <w:jc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vanish w:val="0"/>
                <w:kern w:val="0"/>
                <w:szCs w:val="21"/>
                <w:lang w:val="en-US" w:eastAsia="zh-CN"/>
              </w:rPr>
              <w:t>个</w:t>
            </w:r>
          </w:p>
        </w:tc>
        <w:tc>
          <w:tcPr>
            <w:tcW w:w="2899" w:type="dxa"/>
            <w:noWrap w:val="0"/>
            <w:vAlign w:val="center"/>
          </w:tcPr>
          <w:p w14:paraId="1C621514">
            <w:pPr>
              <w:spacing w:line="360" w:lineRule="exact"/>
              <w:jc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vanish w:val="0"/>
                <w:kern w:val="0"/>
                <w:szCs w:val="21"/>
                <w:lang w:val="en-US" w:eastAsia="zh-CN"/>
              </w:rPr>
              <w:t>1</w:t>
            </w:r>
          </w:p>
        </w:tc>
      </w:tr>
      <w:tr w14:paraId="34BB0B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50" w:hRule="atLeast"/>
          <w:jc w:val="center"/>
        </w:trPr>
        <w:tc>
          <w:tcPr>
            <w:tcW w:w="1055" w:type="dxa"/>
            <w:noWrap w:val="0"/>
            <w:vAlign w:val="center"/>
          </w:tcPr>
          <w:p w14:paraId="005713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035" w:type="dxa"/>
            <w:noWrap w:val="0"/>
            <w:vAlign w:val="center"/>
          </w:tcPr>
          <w:p w14:paraId="536B5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3"/>
                <w:szCs w:val="23"/>
                <w:u w:val="none"/>
                <w:lang w:val="en-US" w:eastAsia="zh-CN" w:bidi="ar"/>
              </w:rPr>
              <w:t>人机交互模块</w:t>
            </w:r>
          </w:p>
        </w:tc>
        <w:tc>
          <w:tcPr>
            <w:tcW w:w="1748" w:type="dxa"/>
            <w:noWrap w:val="0"/>
            <w:vAlign w:val="center"/>
          </w:tcPr>
          <w:p w14:paraId="11B30D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Open Sans" w:hAnsi="Open Sans" w:eastAsia="Open Sans" w:cs="Open Sans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显示屏及状态提示模块</w:t>
            </w:r>
          </w:p>
        </w:tc>
        <w:tc>
          <w:tcPr>
            <w:tcW w:w="1014" w:type="dxa"/>
            <w:noWrap w:val="0"/>
            <w:vAlign w:val="center"/>
          </w:tcPr>
          <w:p w14:paraId="44536ABA">
            <w:pPr>
              <w:spacing w:line="360" w:lineRule="exact"/>
              <w:jc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vanish w:val="0"/>
                <w:kern w:val="0"/>
                <w:szCs w:val="21"/>
                <w:lang w:val="en-US" w:eastAsia="zh-CN"/>
              </w:rPr>
              <w:t>个</w:t>
            </w:r>
          </w:p>
        </w:tc>
        <w:tc>
          <w:tcPr>
            <w:tcW w:w="2899" w:type="dxa"/>
            <w:noWrap w:val="0"/>
            <w:vAlign w:val="center"/>
          </w:tcPr>
          <w:p w14:paraId="5D5A35B5">
            <w:pPr>
              <w:spacing w:line="360" w:lineRule="exact"/>
              <w:jc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vanish w:val="0"/>
                <w:kern w:val="0"/>
                <w:szCs w:val="21"/>
                <w:lang w:val="en-US" w:eastAsia="zh-CN"/>
              </w:rPr>
              <w:t>1</w:t>
            </w:r>
          </w:p>
        </w:tc>
      </w:tr>
      <w:tr w14:paraId="13CE28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50" w:hRule="atLeast"/>
          <w:jc w:val="center"/>
        </w:trPr>
        <w:tc>
          <w:tcPr>
            <w:tcW w:w="1055" w:type="dxa"/>
            <w:noWrap w:val="0"/>
            <w:vAlign w:val="center"/>
          </w:tcPr>
          <w:p w14:paraId="57546E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2035" w:type="dxa"/>
            <w:noWrap w:val="0"/>
            <w:vAlign w:val="center"/>
          </w:tcPr>
          <w:p w14:paraId="6C47DC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供电模块</w:t>
            </w:r>
          </w:p>
        </w:tc>
        <w:tc>
          <w:tcPr>
            <w:tcW w:w="1748" w:type="dxa"/>
            <w:noWrap w:val="0"/>
            <w:vAlign w:val="center"/>
          </w:tcPr>
          <w:p w14:paraId="4EC52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Open Sans" w:hAnsi="Open Sans" w:eastAsia="Open Sans" w:cs="Open Sans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电源管理单元</w:t>
            </w:r>
          </w:p>
        </w:tc>
        <w:tc>
          <w:tcPr>
            <w:tcW w:w="1014" w:type="dxa"/>
            <w:noWrap w:val="0"/>
            <w:vAlign w:val="center"/>
          </w:tcPr>
          <w:p w14:paraId="1FFF52BD">
            <w:pPr>
              <w:spacing w:line="360" w:lineRule="exact"/>
              <w:jc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vanish w:val="0"/>
                <w:kern w:val="0"/>
                <w:szCs w:val="21"/>
                <w:lang w:val="en-US" w:eastAsia="zh-CN"/>
              </w:rPr>
              <w:t>个</w:t>
            </w:r>
          </w:p>
        </w:tc>
        <w:tc>
          <w:tcPr>
            <w:tcW w:w="2899" w:type="dxa"/>
            <w:noWrap w:val="0"/>
            <w:vAlign w:val="center"/>
          </w:tcPr>
          <w:p w14:paraId="6306EE0D">
            <w:pPr>
              <w:spacing w:line="360" w:lineRule="exact"/>
              <w:jc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vanish w:val="0"/>
                <w:kern w:val="0"/>
                <w:szCs w:val="21"/>
                <w:lang w:val="en-US" w:eastAsia="zh-CN"/>
              </w:rPr>
              <w:t>1</w:t>
            </w:r>
          </w:p>
        </w:tc>
      </w:tr>
      <w:tr w14:paraId="534000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50" w:hRule="atLeast"/>
          <w:jc w:val="center"/>
        </w:trPr>
        <w:tc>
          <w:tcPr>
            <w:tcW w:w="1055" w:type="dxa"/>
            <w:noWrap w:val="0"/>
            <w:vAlign w:val="center"/>
          </w:tcPr>
          <w:p w14:paraId="46E68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035" w:type="dxa"/>
            <w:noWrap w:val="0"/>
            <w:vAlign w:val="center"/>
          </w:tcPr>
          <w:p w14:paraId="126F5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外壳组件</w:t>
            </w:r>
          </w:p>
        </w:tc>
        <w:tc>
          <w:tcPr>
            <w:tcW w:w="1748" w:type="dxa"/>
            <w:noWrap w:val="0"/>
            <w:vAlign w:val="center"/>
          </w:tcPr>
          <w:p w14:paraId="43A329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Open Sans" w:hAnsi="Open Sans" w:eastAsia="Open Sans" w:cs="Open Sans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防护外壳固定件</w:t>
            </w:r>
          </w:p>
        </w:tc>
        <w:tc>
          <w:tcPr>
            <w:tcW w:w="1014" w:type="dxa"/>
            <w:noWrap w:val="0"/>
            <w:vAlign w:val="center"/>
          </w:tcPr>
          <w:p w14:paraId="6505068E">
            <w:pPr>
              <w:spacing w:line="360" w:lineRule="exact"/>
              <w:jc w:val="center"/>
              <w:rPr>
                <w:rFonts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vanish w:val="0"/>
                <w:kern w:val="0"/>
                <w:szCs w:val="21"/>
                <w:lang w:val="en-US" w:eastAsia="zh-CN"/>
              </w:rPr>
              <w:t>个</w:t>
            </w:r>
          </w:p>
        </w:tc>
        <w:tc>
          <w:tcPr>
            <w:tcW w:w="2899" w:type="dxa"/>
            <w:noWrap w:val="0"/>
            <w:vAlign w:val="center"/>
          </w:tcPr>
          <w:p w14:paraId="52591CBE">
            <w:pPr>
              <w:spacing w:line="360" w:lineRule="exact"/>
              <w:jc w:val="center"/>
              <w:rPr>
                <w:rFonts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vanish w:val="0"/>
                <w:kern w:val="0"/>
                <w:szCs w:val="21"/>
                <w:lang w:val="en-US" w:eastAsia="zh-CN"/>
              </w:rPr>
              <w:t>1</w:t>
            </w:r>
          </w:p>
        </w:tc>
      </w:tr>
      <w:tr w14:paraId="35241D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50" w:hRule="atLeast"/>
          <w:jc w:val="center"/>
        </w:trPr>
        <w:tc>
          <w:tcPr>
            <w:tcW w:w="1055" w:type="dxa"/>
            <w:noWrap w:val="0"/>
            <w:vAlign w:val="center"/>
          </w:tcPr>
          <w:p w14:paraId="7ACFD2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2035" w:type="dxa"/>
            <w:noWrap w:val="0"/>
            <w:vAlign w:val="center"/>
          </w:tcPr>
          <w:p w14:paraId="144525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合闸钩组件</w:t>
            </w:r>
          </w:p>
        </w:tc>
        <w:tc>
          <w:tcPr>
            <w:tcW w:w="1748" w:type="dxa"/>
            <w:noWrap w:val="0"/>
            <w:vAlign w:val="center"/>
          </w:tcPr>
          <w:p w14:paraId="271B51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Open Sans" w:hAnsi="Open Sans" w:eastAsia="Open Sans" w:cs="Open Sans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连接件</w:t>
            </w:r>
          </w:p>
        </w:tc>
        <w:tc>
          <w:tcPr>
            <w:tcW w:w="1014" w:type="dxa"/>
            <w:noWrap w:val="0"/>
            <w:vAlign w:val="center"/>
          </w:tcPr>
          <w:p w14:paraId="09A0396A">
            <w:pPr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vanish w:val="0"/>
                <w:kern w:val="0"/>
                <w:szCs w:val="21"/>
                <w:lang w:val="en-US" w:eastAsia="zh-CN"/>
              </w:rPr>
              <w:t>个</w:t>
            </w:r>
          </w:p>
        </w:tc>
        <w:tc>
          <w:tcPr>
            <w:tcW w:w="2899" w:type="dxa"/>
            <w:noWrap w:val="0"/>
            <w:vAlign w:val="center"/>
          </w:tcPr>
          <w:p w14:paraId="7A6A33A7">
            <w:pPr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vanish w:val="0"/>
                <w:kern w:val="0"/>
                <w:szCs w:val="21"/>
                <w:lang w:val="en-US" w:eastAsia="zh-CN"/>
              </w:rPr>
              <w:t>1</w:t>
            </w:r>
          </w:p>
        </w:tc>
      </w:tr>
      <w:tr w14:paraId="07A3E0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50" w:hRule="atLeast"/>
          <w:jc w:val="center"/>
        </w:trPr>
        <w:tc>
          <w:tcPr>
            <w:tcW w:w="1055" w:type="dxa"/>
            <w:noWrap w:val="0"/>
            <w:vAlign w:val="center"/>
          </w:tcPr>
          <w:p w14:paraId="55E4D5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35" w:type="dxa"/>
            <w:noWrap w:val="0"/>
            <w:vAlign w:val="center"/>
          </w:tcPr>
          <w:p w14:paraId="1E172F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F1115"/>
                <w:kern w:val="0"/>
                <w:sz w:val="23"/>
                <w:szCs w:val="23"/>
                <w:u w:val="none"/>
                <w:lang w:val="en-US" w:eastAsia="zh-CN" w:bidi="ar"/>
              </w:rPr>
              <w:t>绝缘杆</w:t>
            </w:r>
          </w:p>
        </w:tc>
        <w:tc>
          <w:tcPr>
            <w:tcW w:w="1748" w:type="dxa"/>
            <w:noWrap w:val="0"/>
            <w:vAlign w:val="center"/>
          </w:tcPr>
          <w:p w14:paraId="2AEC9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Open Sans" w:hAnsi="Open Sans" w:eastAsia="Open Sans" w:cs="Open Sans"/>
                <w:i w:val="0"/>
                <w:iCs w:val="0"/>
                <w:color w:val="0F1115"/>
                <w:kern w:val="0"/>
                <w:sz w:val="22"/>
                <w:szCs w:val="22"/>
                <w:u w:val="none"/>
                <w:lang w:val="en-US" w:eastAsia="zh-CN" w:bidi="ar"/>
              </w:rPr>
              <w:t>伸缩杆</w:t>
            </w:r>
          </w:p>
        </w:tc>
        <w:tc>
          <w:tcPr>
            <w:tcW w:w="1014" w:type="dxa"/>
            <w:noWrap w:val="0"/>
            <w:vAlign w:val="center"/>
          </w:tcPr>
          <w:p w14:paraId="048A4633">
            <w:pPr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vanish w:val="0"/>
                <w:kern w:val="0"/>
                <w:szCs w:val="21"/>
                <w:lang w:val="en-US" w:eastAsia="zh-CN"/>
              </w:rPr>
              <w:t>个</w:t>
            </w:r>
          </w:p>
        </w:tc>
        <w:tc>
          <w:tcPr>
            <w:tcW w:w="2899" w:type="dxa"/>
            <w:noWrap w:val="0"/>
            <w:vAlign w:val="center"/>
          </w:tcPr>
          <w:p w14:paraId="1ED584AF">
            <w:pPr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vanish w:val="0"/>
                <w:kern w:val="0"/>
                <w:szCs w:val="21"/>
                <w:lang w:val="en-US" w:eastAsia="zh-CN"/>
              </w:rPr>
              <w:t>1</w:t>
            </w:r>
          </w:p>
        </w:tc>
      </w:tr>
    </w:tbl>
    <w:p w14:paraId="0BB049DE">
      <w:pPr>
        <w:spacing w:line="360" w:lineRule="auto"/>
        <w:ind w:firstLine="480" w:firstLineChars="200"/>
        <w:rPr>
          <w:rFonts w:hint="default" w:ascii="宋体" w:hAnsi="宋体" w:eastAsia="宋体" w:cs="Times New Roman"/>
          <w:sz w:val="24"/>
          <w:szCs w:val="24"/>
          <w:lang w:val="en-US" w:eastAsia="zh-CN"/>
        </w:rPr>
      </w:pPr>
    </w:p>
    <w:p w14:paraId="0FD5BE50">
      <w:pPr>
        <w:pStyle w:val="4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560" w:lineRule="exact"/>
        <w:ind w:right="0" w:rightChars="0"/>
        <w:rPr>
          <w:rFonts w:hint="eastAsia"/>
          <w:lang w:eastAsia="zh-CN"/>
        </w:rPr>
      </w:pPr>
      <w:bookmarkStart w:id="27" w:name="_Toc529463212"/>
      <w:bookmarkStart w:id="28" w:name="_Toc445396911"/>
      <w:bookmarkStart w:id="29" w:name="_Toc476060463"/>
      <w:r>
        <w:rPr>
          <w:rFonts w:hint="eastAsia"/>
          <w:sz w:val="32"/>
          <w:szCs w:val="32"/>
          <w:lang w:val="en-US" w:eastAsia="zh-CN"/>
        </w:rPr>
        <w:t>3.</w:t>
      </w:r>
      <w:r>
        <w:rPr>
          <w:rFonts w:hint="eastAsia"/>
          <w:sz w:val="32"/>
          <w:szCs w:val="32"/>
        </w:rPr>
        <w:t>服务</w:t>
      </w:r>
      <w:bookmarkEnd w:id="20"/>
      <w:bookmarkEnd w:id="21"/>
      <w:bookmarkEnd w:id="27"/>
      <w:bookmarkEnd w:id="28"/>
      <w:bookmarkEnd w:id="29"/>
      <w:r>
        <w:rPr>
          <w:rFonts w:hint="eastAsia"/>
          <w:sz w:val="32"/>
          <w:szCs w:val="32"/>
          <w:lang w:eastAsia="zh-CN"/>
        </w:rPr>
        <w:t>要求</w:t>
      </w:r>
    </w:p>
    <w:p w14:paraId="19E44913">
      <w:pPr>
        <w:pStyle w:val="48"/>
        <w:widowControl/>
        <w:numPr>
          <w:ilvl w:val="0"/>
          <w:numId w:val="0"/>
        </w:numPr>
        <w:shd w:val="clear" w:color="auto" w:fill="FFFFFF"/>
        <w:tabs>
          <w:tab w:val="left" w:pos="0"/>
        </w:tabs>
        <w:spacing w:before="105" w:beforeAutospacing="0" w:after="105" w:afterAutospacing="0" w:line="36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  <w:t>本服务要求中标单位做好所需配件材料供应时效和质量控制，并配合完成适配</w:t>
      </w:r>
      <w:bookmarkStart w:id="30" w:name="_Toc490993885"/>
      <w:bookmarkStart w:id="31" w:name="_Toc529463214"/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  <w:t>。</w:t>
      </w:r>
    </w:p>
    <w:p w14:paraId="0F0C8BEA">
      <w:pPr>
        <w:pStyle w:val="4"/>
        <w:pageBreakBefore w:val="0"/>
        <w:numPr>
          <w:ilvl w:val="0"/>
          <w:numId w:val="2"/>
        </w:numPr>
        <w:kinsoku/>
        <w:wordWrap/>
        <w:overflowPunct/>
        <w:autoSpaceDE/>
        <w:autoSpaceDN/>
        <w:bidi w:val="0"/>
        <w:spacing w:line="560" w:lineRule="exact"/>
        <w:ind w:right="0" w:rightChars="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技术要求</w:t>
      </w:r>
      <w:bookmarkEnd w:id="30"/>
      <w:bookmarkEnd w:id="31"/>
    </w:p>
    <w:p w14:paraId="10105496"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rPr>
          <w:rFonts w:hint="eastAsia" w:asciiTheme="minorEastAsia" w:hAnsiTheme="minorEastAsia" w:eastAsiaTheme="minorEastAsia" w:cstheme="minorEastAsia"/>
          <w:sz w:val="24"/>
          <w:szCs w:val="32"/>
        </w:rPr>
      </w:pPr>
      <w:r>
        <w:rPr>
          <w:rFonts w:hint="eastAsia" w:asciiTheme="minorEastAsia" w:hAnsiTheme="minorEastAsia" w:eastAsiaTheme="minorEastAsia" w:cstheme="minorEastAsia"/>
          <w:sz w:val="24"/>
          <w:szCs w:val="32"/>
          <w:lang w:val="en-US" w:eastAsia="zh-CN"/>
        </w:rPr>
        <w:t>4.1适配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一种10kV刀闸合闸状态智能识别装置研制项目</w:t>
      </w:r>
      <w:r>
        <w:rPr>
          <w:rFonts w:hint="eastAsia" w:asciiTheme="minorEastAsia" w:hAnsiTheme="minorEastAsia" w:eastAsiaTheme="minorEastAsia" w:cstheme="minorEastAsia"/>
          <w:sz w:val="24"/>
          <w:szCs w:val="32"/>
          <w:lang w:val="en-US" w:eastAsia="zh-CN"/>
        </w:rPr>
        <w:t>使用；</w:t>
      </w:r>
    </w:p>
    <w:p w14:paraId="0AA6B7AA">
      <w:pPr>
        <w:pStyle w:val="48"/>
        <w:numPr>
          <w:ilvl w:val="0"/>
          <w:numId w:val="3"/>
        </w:numPr>
        <w:shd w:val="clear" w:color="auto" w:fill="FFFFFF"/>
        <w:tabs>
          <w:tab w:val="left" w:pos="0"/>
        </w:tabs>
        <w:spacing w:before="105" w:beforeAutospacing="0" w:after="105" w:afterAutospacing="0" w:line="435" w:lineRule="atLeast"/>
        <w:ind w:left="0" w:leftChars="0" w:firstLine="403" w:firstLineChars="0"/>
        <w:rPr>
          <w:rFonts w:hint="eastAsia" w:asciiTheme="minorEastAsia" w:hAnsiTheme="minorEastAsia" w:eastAsiaTheme="minorEastAsia" w:cstheme="minorEastAsia"/>
          <w:sz w:val="24"/>
          <w:szCs w:val="32"/>
        </w:rPr>
      </w:pPr>
      <w:r>
        <w:rPr>
          <w:rFonts w:hint="eastAsia" w:asciiTheme="minorEastAsia" w:hAnsiTheme="minorEastAsia" w:eastAsiaTheme="minorEastAsia" w:cstheme="minorEastAsia"/>
          <w:sz w:val="24"/>
          <w:szCs w:val="32"/>
          <w:lang w:val="en-US" w:eastAsia="zh-CN"/>
        </w:rPr>
        <w:t xml:space="preserve"> 总体规格偏差不大于±5%，长度偏差偏差不大于±10%；</w:t>
      </w:r>
    </w:p>
    <w:p w14:paraId="076D813A">
      <w:pPr>
        <w:pStyle w:val="48"/>
        <w:numPr>
          <w:ilvl w:val="0"/>
          <w:numId w:val="3"/>
        </w:numPr>
        <w:shd w:val="clear" w:color="auto" w:fill="FFFFFF"/>
        <w:tabs>
          <w:tab w:val="left" w:pos="0"/>
        </w:tabs>
        <w:spacing w:before="105" w:beforeAutospacing="0" w:after="105" w:afterAutospacing="0" w:line="435" w:lineRule="atLeast"/>
        <w:ind w:left="0" w:leftChars="0" w:firstLine="403" w:firstLineChars="0"/>
        <w:rPr>
          <w:rFonts w:hint="eastAsia" w:asciiTheme="minorEastAsia" w:hAnsiTheme="minorEastAsia" w:eastAsiaTheme="minorEastAsia" w:cstheme="minorEastAsia"/>
          <w:sz w:val="24"/>
          <w:szCs w:val="32"/>
        </w:rPr>
      </w:pPr>
      <w:r>
        <w:rPr>
          <w:rFonts w:hint="eastAsia" w:asciiTheme="minorEastAsia" w:hAnsiTheme="minorEastAsia" w:eastAsiaTheme="minorEastAsia" w:cstheme="minorEastAsia"/>
          <w:sz w:val="24"/>
          <w:szCs w:val="32"/>
          <w:lang w:val="en-US" w:eastAsia="zh-CN"/>
        </w:rPr>
        <w:t xml:space="preserve"> 所需材料，需要提供出厂合格证明；</w:t>
      </w:r>
    </w:p>
    <w:p w14:paraId="483ADA84">
      <w:pPr>
        <w:pStyle w:val="48"/>
        <w:numPr>
          <w:ilvl w:val="0"/>
          <w:numId w:val="3"/>
        </w:numPr>
        <w:shd w:val="clear" w:color="auto" w:fill="FFFFFF"/>
        <w:tabs>
          <w:tab w:val="left" w:pos="0"/>
        </w:tabs>
        <w:spacing w:before="105" w:beforeAutospacing="0" w:after="105" w:afterAutospacing="0" w:line="435" w:lineRule="atLeast"/>
        <w:ind w:left="0" w:leftChars="0" w:firstLine="403" w:firstLineChars="0"/>
        <w:rPr>
          <w:rFonts w:hint="eastAsia" w:asciiTheme="minorEastAsia" w:hAnsiTheme="minorEastAsia" w:eastAsiaTheme="minorEastAsia" w:cstheme="minorEastAsia"/>
          <w:sz w:val="24"/>
          <w:szCs w:val="32"/>
        </w:rPr>
      </w:pPr>
      <w:r>
        <w:rPr>
          <w:rFonts w:hint="eastAsia" w:asciiTheme="minorEastAsia" w:hAnsiTheme="minorEastAsia" w:eastAsiaTheme="minorEastAsia" w:cstheme="minorEastAsia"/>
          <w:sz w:val="24"/>
          <w:szCs w:val="32"/>
          <w:lang w:val="en-US" w:eastAsia="zh-CN"/>
        </w:rPr>
        <w:t xml:space="preserve"> ......</w:t>
      </w:r>
    </w:p>
    <w:p w14:paraId="4718EAA6">
      <w:pPr>
        <w:pStyle w:val="4"/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  <w:lang w:val="en-US" w:eastAsia="zh-CN"/>
        </w:rPr>
        <w:t>5</w:t>
      </w:r>
      <w:r>
        <w:rPr>
          <w:rFonts w:hint="eastAsia"/>
          <w:sz w:val="32"/>
          <w:szCs w:val="32"/>
        </w:rPr>
        <w:t>.</w:t>
      </w:r>
      <w:r>
        <w:rPr>
          <w:rFonts w:hint="eastAsia"/>
          <w:sz w:val="32"/>
          <w:szCs w:val="32"/>
          <w:lang w:eastAsia="zh-CN"/>
        </w:rPr>
        <w:t>安全责任</w:t>
      </w:r>
      <w:r>
        <w:rPr>
          <w:rFonts w:hint="eastAsia"/>
          <w:sz w:val="32"/>
          <w:szCs w:val="32"/>
        </w:rPr>
        <w:t>要求</w:t>
      </w:r>
    </w:p>
    <w:p w14:paraId="198D3D88"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rPr>
          <w:rFonts w:hint="default" w:asciiTheme="minorEastAsia" w:hAnsiTheme="minorEastAsia" w:eastAsiaTheme="minorEastAsia" w:cstheme="minorEastAsia"/>
          <w:kern w:val="0"/>
          <w:sz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kern w:val="0"/>
          <w:sz w:val="24"/>
          <w:lang w:val="en-US" w:eastAsia="zh-CN"/>
        </w:rPr>
        <w:t>在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一种10kV刀闸合闸状态智能识别装置研制</w:t>
      </w:r>
      <w:r>
        <w:rPr>
          <w:rFonts w:hint="eastAsia" w:asciiTheme="minorEastAsia" w:hAnsiTheme="minorEastAsia" w:eastAsiaTheme="minorEastAsia" w:cstheme="minorEastAsia"/>
          <w:sz w:val="24"/>
          <w:szCs w:val="32"/>
          <w:lang w:val="en-US" w:eastAsia="zh-CN"/>
        </w:rPr>
        <w:t>项目</w:t>
      </w:r>
      <w:r>
        <w:rPr>
          <w:rFonts w:hint="eastAsia" w:asciiTheme="minorEastAsia" w:hAnsiTheme="minorEastAsia" w:eastAsiaTheme="minorEastAsia" w:cstheme="minorEastAsia"/>
          <w:kern w:val="0"/>
          <w:sz w:val="24"/>
          <w:lang w:val="en-US" w:eastAsia="zh-CN"/>
        </w:rPr>
        <w:t>所需材料供应过程中，需要供应符合技术要求、质量要求的优质材料，确保材料满足</w:t>
      </w:r>
      <w:bookmarkStart w:id="32" w:name="_GoBack"/>
      <w:bookmarkEnd w:id="32"/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质量和安全要求</w:t>
      </w:r>
      <w:r>
        <w:rPr>
          <w:rFonts w:hint="eastAsia" w:asciiTheme="minorEastAsia" w:hAnsiTheme="minorEastAsia" w:eastAsiaTheme="minorEastAsia" w:cstheme="minorEastAsia"/>
          <w:kern w:val="0"/>
          <w:sz w:val="24"/>
          <w:lang w:val="en-US" w:eastAsia="zh-CN"/>
        </w:rPr>
        <w:t>。</w:t>
      </w:r>
    </w:p>
    <w:sectPr>
      <w:headerReference r:id="rId3" w:type="default"/>
      <w:footerReference r:id="rId4" w:type="default"/>
      <w:pgSz w:w="11906" w:h="16838"/>
      <w:pgMar w:top="1670" w:right="1800" w:bottom="1440" w:left="1800" w:header="1135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书宋简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Open Sans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AB6F4E">
    <w:pPr>
      <w:pStyle w:val="43"/>
      <w:rPr>
        <w:sz w:val="21"/>
        <w:szCs w:val="21"/>
      </w:rPr>
    </w:pPr>
    <w:r>
      <w:rPr>
        <w:rFonts w:hint="eastAsia"/>
      </w:rPr>
      <w:t xml:space="preserve"> </w:t>
    </w:r>
    <w:r>
      <w:t xml:space="preserve">                     </w:t>
    </w:r>
    <w:r>
      <w:rPr>
        <w:sz w:val="21"/>
        <w:szCs w:val="21"/>
      </w:rPr>
      <w:t xml:space="preserve"> </w:t>
    </w:r>
    <w:r>
      <w:rPr>
        <w:sz w:val="21"/>
        <w:szCs w:val="21"/>
        <w:lang w:val="zh-CN"/>
      </w:rPr>
      <w:t xml:space="preserve">~ </w:t>
    </w:r>
    <w:r>
      <w:rPr>
        <w:rFonts w:asciiTheme="minorHAnsi" w:hAnsiTheme="minorHAnsi" w:eastAsiaTheme="minorEastAsia" w:cstheme="minorBidi"/>
        <w:sz w:val="21"/>
        <w:szCs w:val="21"/>
      </w:rPr>
      <w:fldChar w:fldCharType="begin"/>
    </w:r>
    <w:r>
      <w:rPr>
        <w:sz w:val="21"/>
        <w:szCs w:val="21"/>
      </w:rPr>
      <w:instrText xml:space="preserve">PAGE    \* MERGEFORMAT</w:instrText>
    </w:r>
    <w:r>
      <w:rPr>
        <w:rFonts w:asciiTheme="minorHAnsi" w:hAnsiTheme="minorHAnsi" w:eastAsiaTheme="minorEastAsia" w:cstheme="minorBidi"/>
        <w:sz w:val="21"/>
        <w:szCs w:val="21"/>
      </w:rPr>
      <w:fldChar w:fldCharType="separate"/>
    </w:r>
    <w:r>
      <w:rPr>
        <w:sz w:val="21"/>
        <w:szCs w:val="21"/>
        <w:lang w:val="zh-CN"/>
      </w:rPr>
      <w:t>1</w:t>
    </w:r>
    <w:r>
      <w:rPr>
        <w:sz w:val="21"/>
        <w:szCs w:val="21"/>
      </w:rPr>
      <w:fldChar w:fldCharType="end"/>
    </w:r>
    <w:r>
      <w:rPr>
        <w:sz w:val="21"/>
        <w:szCs w:val="21"/>
        <w:lang w:val="zh-CN"/>
      </w:rPr>
      <w:t xml:space="preserve"> ~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02AB24">
    <w:pPr>
      <w:pStyle w:val="19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A5CBF1A"/>
    <w:multiLevelType w:val="singleLevel"/>
    <w:tmpl w:val="8A5CBF1A"/>
    <w:lvl w:ilvl="0" w:tentative="0">
      <w:start w:val="4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6C603DE"/>
    <w:multiLevelType w:val="singleLevel"/>
    <w:tmpl w:val="C6C603DE"/>
    <w:lvl w:ilvl="0" w:tentative="0">
      <w:start w:val="1"/>
      <w:numFmt w:val="decimal"/>
      <w:suff w:val="nothing"/>
      <w:lvlText w:val="4.%1"/>
      <w:lvlJc w:val="left"/>
      <w:pPr>
        <w:ind w:left="0" w:firstLine="403"/>
      </w:pPr>
      <w:rPr>
        <w:rFonts w:hint="default"/>
      </w:rPr>
    </w:lvl>
  </w:abstractNum>
  <w:abstractNum w:abstractNumId="2">
    <w:nsid w:val="00000013"/>
    <w:multiLevelType w:val="multilevel"/>
    <w:tmpl w:val="00000013"/>
    <w:lvl w:ilvl="0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 w:ascii="黑体" w:hAnsi="Times New Roman" w:eastAsia="黑体"/>
        <w:b/>
        <w:i w:val="0"/>
        <w:sz w:val="28"/>
      </w:rPr>
    </w:lvl>
    <w:lvl w:ilvl="1" w:tentative="0">
      <w:start w:val="1"/>
      <w:numFmt w:val="decimal"/>
      <w:pStyle w:val="37"/>
      <w:lvlText w:val="%1%2"/>
      <w:lvlJc w:val="left"/>
      <w:pPr>
        <w:tabs>
          <w:tab w:val="left" w:pos="360"/>
        </w:tabs>
        <w:ind w:left="0" w:firstLine="0"/>
      </w:pPr>
      <w:rPr>
        <w:rFonts w:hint="eastAsia" w:ascii="黑体" w:hAnsi="Times New Roman" w:eastAsia="黑体"/>
        <w:b/>
        <w:i w:val="0"/>
        <w:sz w:val="20"/>
      </w:rPr>
    </w:lvl>
    <w:lvl w:ilvl="2" w:tentative="0">
      <w:start w:val="1"/>
      <w:numFmt w:val="decimal"/>
      <w:pStyle w:val="36"/>
      <w:lvlText w:val="%1%2.%3"/>
      <w:lvlJc w:val="left"/>
      <w:pPr>
        <w:tabs>
          <w:tab w:val="left" w:pos="720"/>
        </w:tabs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3" w:tentative="0">
      <w:start w:val="1"/>
      <w:numFmt w:val="decimal"/>
      <w:lvlText w:val="%1%2.%3.%4"/>
      <w:lvlJc w:val="left"/>
      <w:pPr>
        <w:tabs>
          <w:tab w:val="left" w:pos="720"/>
        </w:tabs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4" w:tentative="0">
      <w:start w:val="1"/>
      <w:numFmt w:val="decimal"/>
      <w:lvlText w:val="%2.%3.%4.%5"/>
      <w:lvlJc w:val="left"/>
      <w:pPr>
        <w:tabs>
          <w:tab w:val="left" w:pos="1080"/>
        </w:tabs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5" w:tentative="0">
      <w:start w:val="1"/>
      <w:numFmt w:val="decimal"/>
      <w:lvlText w:val="%2.%3.%4.%5.%6"/>
      <w:lvlJc w:val="left"/>
      <w:pPr>
        <w:tabs>
          <w:tab w:val="left" w:pos="1021"/>
        </w:tabs>
        <w:ind w:left="1021" w:hanging="1021"/>
      </w:pPr>
      <w:rPr>
        <w:rFonts w:hint="eastAsia" w:ascii="黑体" w:hAnsi="Times New Roman" w:eastAsia="黑体"/>
        <w:b/>
        <w:i w:val="0"/>
        <w:sz w:val="21"/>
      </w:rPr>
    </w:lvl>
    <w:lvl w:ilvl="6" w:tentative="0">
      <w:start w:val="1"/>
      <w:numFmt w:val="decimal"/>
      <w:lvlRestart w:val="5"/>
      <w:lvlText w:val="%2.%3.%4.%5.%6.%7"/>
      <w:lvlJc w:val="left"/>
      <w:pPr>
        <w:tabs>
          <w:tab w:val="left" w:pos="1440"/>
        </w:tabs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7" w:tentative="0">
      <w:start w:val="1"/>
      <w:numFmt w:val="decimal"/>
      <w:lvlRestart w:val="5"/>
      <w:lvlText w:val="图 %2.0.%5 -%8"/>
      <w:lvlJc w:val="left"/>
      <w:pPr>
        <w:tabs>
          <w:tab w:val="left" w:pos="1440"/>
        </w:tabs>
        <w:ind w:left="0" w:firstLine="0"/>
      </w:pPr>
      <w:rPr>
        <w:rFonts w:hint="eastAsia" w:ascii="黑体" w:eastAsia="黑体"/>
        <w:b/>
        <w:i w:val="0"/>
        <w:sz w:val="21"/>
      </w:rPr>
    </w:lvl>
    <w:lvl w:ilvl="8" w:tentative="0">
      <w:start w:val="1"/>
      <w:numFmt w:val="decimal"/>
      <w:lvlRestart w:val="6"/>
      <w:lvlText w:val="      %9)"/>
      <w:lvlJc w:val="left"/>
      <w:pPr>
        <w:tabs>
          <w:tab w:val="left" w:pos="1080"/>
        </w:tabs>
        <w:ind w:left="0" w:firstLine="0"/>
      </w:pPr>
      <w:rPr>
        <w:rFonts w:hint="eastAsia" w:ascii="黑体" w:hAnsi="华文细黑" w:eastAsia="黑体"/>
        <w:b/>
        <w:i w:val="0"/>
        <w:sz w:val="21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doNotExpandShiftReturn/>
    <w:adjustLineHeightInTable/>
    <w:doNotWrapTextWithPunct/>
    <w:doNotUseEastAsianBreakRules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180014"/>
    <w:rsid w:val="000130DC"/>
    <w:rsid w:val="00013BEA"/>
    <w:rsid w:val="00017942"/>
    <w:rsid w:val="0002391A"/>
    <w:rsid w:val="00050526"/>
    <w:rsid w:val="00076B1C"/>
    <w:rsid w:val="00085CFF"/>
    <w:rsid w:val="000A7712"/>
    <w:rsid w:val="000D737C"/>
    <w:rsid w:val="00107F72"/>
    <w:rsid w:val="00132756"/>
    <w:rsid w:val="00172B95"/>
    <w:rsid w:val="001859E9"/>
    <w:rsid w:val="00185AA2"/>
    <w:rsid w:val="001A6D90"/>
    <w:rsid w:val="001C2E12"/>
    <w:rsid w:val="001C72F7"/>
    <w:rsid w:val="001D2314"/>
    <w:rsid w:val="001D3301"/>
    <w:rsid w:val="002100E8"/>
    <w:rsid w:val="00225A3C"/>
    <w:rsid w:val="00247834"/>
    <w:rsid w:val="00262BDA"/>
    <w:rsid w:val="00273884"/>
    <w:rsid w:val="00290A6F"/>
    <w:rsid w:val="00290F7D"/>
    <w:rsid w:val="002A538F"/>
    <w:rsid w:val="002F124B"/>
    <w:rsid w:val="0031179A"/>
    <w:rsid w:val="00347DDA"/>
    <w:rsid w:val="00383BE1"/>
    <w:rsid w:val="00384DA6"/>
    <w:rsid w:val="003A2B05"/>
    <w:rsid w:val="003A5992"/>
    <w:rsid w:val="003B1A44"/>
    <w:rsid w:val="003C0E5F"/>
    <w:rsid w:val="003D2ACE"/>
    <w:rsid w:val="00416E50"/>
    <w:rsid w:val="0042357C"/>
    <w:rsid w:val="004254C0"/>
    <w:rsid w:val="004544A0"/>
    <w:rsid w:val="0048080D"/>
    <w:rsid w:val="004D3D3B"/>
    <w:rsid w:val="004D7F27"/>
    <w:rsid w:val="004E63D7"/>
    <w:rsid w:val="004E6699"/>
    <w:rsid w:val="00541C16"/>
    <w:rsid w:val="005558F8"/>
    <w:rsid w:val="00591249"/>
    <w:rsid w:val="005D5321"/>
    <w:rsid w:val="005F6B46"/>
    <w:rsid w:val="00603106"/>
    <w:rsid w:val="00617DE6"/>
    <w:rsid w:val="00621AF7"/>
    <w:rsid w:val="00692926"/>
    <w:rsid w:val="00694FCF"/>
    <w:rsid w:val="006B0925"/>
    <w:rsid w:val="006B19F7"/>
    <w:rsid w:val="006B1FEE"/>
    <w:rsid w:val="006E0D21"/>
    <w:rsid w:val="006E4024"/>
    <w:rsid w:val="00712AEF"/>
    <w:rsid w:val="007410A1"/>
    <w:rsid w:val="00786671"/>
    <w:rsid w:val="007A14DC"/>
    <w:rsid w:val="007C2DAF"/>
    <w:rsid w:val="007E7481"/>
    <w:rsid w:val="007F34ED"/>
    <w:rsid w:val="007F7D2A"/>
    <w:rsid w:val="0080340F"/>
    <w:rsid w:val="008272FB"/>
    <w:rsid w:val="00840277"/>
    <w:rsid w:val="008463BB"/>
    <w:rsid w:val="008620D3"/>
    <w:rsid w:val="00885ABC"/>
    <w:rsid w:val="008B6C01"/>
    <w:rsid w:val="00903D7C"/>
    <w:rsid w:val="00906157"/>
    <w:rsid w:val="009103FD"/>
    <w:rsid w:val="00941A0A"/>
    <w:rsid w:val="00941E94"/>
    <w:rsid w:val="009505D1"/>
    <w:rsid w:val="00953977"/>
    <w:rsid w:val="00996538"/>
    <w:rsid w:val="009A7DBE"/>
    <w:rsid w:val="009D39F9"/>
    <w:rsid w:val="00A3574F"/>
    <w:rsid w:val="00A41CA2"/>
    <w:rsid w:val="00A43D49"/>
    <w:rsid w:val="00A521AC"/>
    <w:rsid w:val="00A548F0"/>
    <w:rsid w:val="00A6074C"/>
    <w:rsid w:val="00A64A3E"/>
    <w:rsid w:val="00A7401E"/>
    <w:rsid w:val="00AA194B"/>
    <w:rsid w:val="00AC5547"/>
    <w:rsid w:val="00AC5590"/>
    <w:rsid w:val="00AF2444"/>
    <w:rsid w:val="00B40611"/>
    <w:rsid w:val="00B42A4C"/>
    <w:rsid w:val="00B467BA"/>
    <w:rsid w:val="00B53DFC"/>
    <w:rsid w:val="00B560CE"/>
    <w:rsid w:val="00B720C7"/>
    <w:rsid w:val="00B845E1"/>
    <w:rsid w:val="00B93E0E"/>
    <w:rsid w:val="00BE3AF9"/>
    <w:rsid w:val="00BF1ED3"/>
    <w:rsid w:val="00C01920"/>
    <w:rsid w:val="00C0523B"/>
    <w:rsid w:val="00C154B8"/>
    <w:rsid w:val="00C321A1"/>
    <w:rsid w:val="00C734D9"/>
    <w:rsid w:val="00C73B3B"/>
    <w:rsid w:val="00C95E5D"/>
    <w:rsid w:val="00CC6F04"/>
    <w:rsid w:val="00D25086"/>
    <w:rsid w:val="00D25776"/>
    <w:rsid w:val="00D5709A"/>
    <w:rsid w:val="00D8670C"/>
    <w:rsid w:val="00DD1A75"/>
    <w:rsid w:val="00DE46ED"/>
    <w:rsid w:val="00E03840"/>
    <w:rsid w:val="00E04657"/>
    <w:rsid w:val="00E44A4B"/>
    <w:rsid w:val="00E564D4"/>
    <w:rsid w:val="00E66055"/>
    <w:rsid w:val="00E906D3"/>
    <w:rsid w:val="00EA153F"/>
    <w:rsid w:val="00EA2C97"/>
    <w:rsid w:val="00EC7232"/>
    <w:rsid w:val="00ED3B47"/>
    <w:rsid w:val="00ED78D5"/>
    <w:rsid w:val="00EE3C2F"/>
    <w:rsid w:val="00F07E86"/>
    <w:rsid w:val="00F54C14"/>
    <w:rsid w:val="00F75A56"/>
    <w:rsid w:val="00F822B1"/>
    <w:rsid w:val="00F95F26"/>
    <w:rsid w:val="00FD1C84"/>
    <w:rsid w:val="00FE45A4"/>
    <w:rsid w:val="01427513"/>
    <w:rsid w:val="021C1CD1"/>
    <w:rsid w:val="023175F6"/>
    <w:rsid w:val="03472883"/>
    <w:rsid w:val="035A08D4"/>
    <w:rsid w:val="043E60E5"/>
    <w:rsid w:val="044353B7"/>
    <w:rsid w:val="04445771"/>
    <w:rsid w:val="04B16F17"/>
    <w:rsid w:val="04D27709"/>
    <w:rsid w:val="05EB52BE"/>
    <w:rsid w:val="08011098"/>
    <w:rsid w:val="084E378E"/>
    <w:rsid w:val="08A27553"/>
    <w:rsid w:val="09152D91"/>
    <w:rsid w:val="09657434"/>
    <w:rsid w:val="09A228DE"/>
    <w:rsid w:val="0A2B721E"/>
    <w:rsid w:val="0B2240B4"/>
    <w:rsid w:val="0BE36F7D"/>
    <w:rsid w:val="0CE1665B"/>
    <w:rsid w:val="0D8211FB"/>
    <w:rsid w:val="0E5B6A37"/>
    <w:rsid w:val="0EA03C30"/>
    <w:rsid w:val="0ED50EC9"/>
    <w:rsid w:val="0F2B423C"/>
    <w:rsid w:val="11094C8A"/>
    <w:rsid w:val="11EF081B"/>
    <w:rsid w:val="12DA6698"/>
    <w:rsid w:val="137D3964"/>
    <w:rsid w:val="140830E5"/>
    <w:rsid w:val="15813DAC"/>
    <w:rsid w:val="16572D53"/>
    <w:rsid w:val="182E08BB"/>
    <w:rsid w:val="185537EF"/>
    <w:rsid w:val="18765555"/>
    <w:rsid w:val="18904609"/>
    <w:rsid w:val="1A4D5C8C"/>
    <w:rsid w:val="1A5A4A7F"/>
    <w:rsid w:val="1A6A5E0F"/>
    <w:rsid w:val="1A8C5B4B"/>
    <w:rsid w:val="1A9B1E8A"/>
    <w:rsid w:val="1B0808B7"/>
    <w:rsid w:val="1BA83F4D"/>
    <w:rsid w:val="1BF4530E"/>
    <w:rsid w:val="1CAA45F0"/>
    <w:rsid w:val="1DDD1B29"/>
    <w:rsid w:val="1FC573ED"/>
    <w:rsid w:val="208206D0"/>
    <w:rsid w:val="21C53406"/>
    <w:rsid w:val="22A9397E"/>
    <w:rsid w:val="235B3C3A"/>
    <w:rsid w:val="23687149"/>
    <w:rsid w:val="23B054A6"/>
    <w:rsid w:val="24F3732E"/>
    <w:rsid w:val="269246A6"/>
    <w:rsid w:val="2B401C9B"/>
    <w:rsid w:val="2B7E2BE1"/>
    <w:rsid w:val="2BA532A3"/>
    <w:rsid w:val="2CAA15D4"/>
    <w:rsid w:val="2D3B59AF"/>
    <w:rsid w:val="2DC85678"/>
    <w:rsid w:val="2DF974B1"/>
    <w:rsid w:val="2E016B8B"/>
    <w:rsid w:val="2E470960"/>
    <w:rsid w:val="2FD44A0C"/>
    <w:rsid w:val="301D1543"/>
    <w:rsid w:val="303C4EDB"/>
    <w:rsid w:val="303E26F6"/>
    <w:rsid w:val="30FC5D3E"/>
    <w:rsid w:val="318B21C8"/>
    <w:rsid w:val="329E24FB"/>
    <w:rsid w:val="32F35A40"/>
    <w:rsid w:val="34236D31"/>
    <w:rsid w:val="34B519E8"/>
    <w:rsid w:val="358B1B13"/>
    <w:rsid w:val="36724472"/>
    <w:rsid w:val="36A66572"/>
    <w:rsid w:val="36CC15FA"/>
    <w:rsid w:val="36F62CDD"/>
    <w:rsid w:val="37D27BEE"/>
    <w:rsid w:val="38865BFA"/>
    <w:rsid w:val="38F3706A"/>
    <w:rsid w:val="391B003F"/>
    <w:rsid w:val="3A5B065E"/>
    <w:rsid w:val="3B241322"/>
    <w:rsid w:val="3BE26D15"/>
    <w:rsid w:val="3CA43677"/>
    <w:rsid w:val="3CA462CE"/>
    <w:rsid w:val="3D5A2083"/>
    <w:rsid w:val="3E257BC1"/>
    <w:rsid w:val="3E8222C8"/>
    <w:rsid w:val="3F303F95"/>
    <w:rsid w:val="40CE3A18"/>
    <w:rsid w:val="42304E6A"/>
    <w:rsid w:val="42FB191D"/>
    <w:rsid w:val="4399424E"/>
    <w:rsid w:val="44B855DE"/>
    <w:rsid w:val="457E4C38"/>
    <w:rsid w:val="479559D1"/>
    <w:rsid w:val="479743D0"/>
    <w:rsid w:val="47FE2438"/>
    <w:rsid w:val="4BFB1865"/>
    <w:rsid w:val="4C423DF2"/>
    <w:rsid w:val="4E3F1601"/>
    <w:rsid w:val="4F02195D"/>
    <w:rsid w:val="4F1E5CBB"/>
    <w:rsid w:val="4FFB11C5"/>
    <w:rsid w:val="50C5099A"/>
    <w:rsid w:val="50DF153C"/>
    <w:rsid w:val="51533282"/>
    <w:rsid w:val="51CE4E43"/>
    <w:rsid w:val="528365E6"/>
    <w:rsid w:val="537E47F8"/>
    <w:rsid w:val="53877A48"/>
    <w:rsid w:val="56360AFF"/>
    <w:rsid w:val="59303A61"/>
    <w:rsid w:val="594823FB"/>
    <w:rsid w:val="59B74569"/>
    <w:rsid w:val="59FE4F42"/>
    <w:rsid w:val="5A0F163F"/>
    <w:rsid w:val="5B6A0515"/>
    <w:rsid w:val="5BDB1617"/>
    <w:rsid w:val="5CE92A69"/>
    <w:rsid w:val="604C09F6"/>
    <w:rsid w:val="60AA45DA"/>
    <w:rsid w:val="611500E3"/>
    <w:rsid w:val="6284312B"/>
    <w:rsid w:val="63F73F4E"/>
    <w:rsid w:val="643F3CEF"/>
    <w:rsid w:val="644C0D79"/>
    <w:rsid w:val="64AC6EB6"/>
    <w:rsid w:val="65F67B6A"/>
    <w:rsid w:val="663805AA"/>
    <w:rsid w:val="68E618F1"/>
    <w:rsid w:val="69640996"/>
    <w:rsid w:val="6985301C"/>
    <w:rsid w:val="6A12740C"/>
    <w:rsid w:val="6B1B5B89"/>
    <w:rsid w:val="6C071E63"/>
    <w:rsid w:val="6C43179E"/>
    <w:rsid w:val="6DB07F69"/>
    <w:rsid w:val="6DBF2751"/>
    <w:rsid w:val="6E067F3B"/>
    <w:rsid w:val="6E0E18EE"/>
    <w:rsid w:val="6E2340F9"/>
    <w:rsid w:val="6E6764DE"/>
    <w:rsid w:val="6F46306C"/>
    <w:rsid w:val="6FC70BF5"/>
    <w:rsid w:val="7005291A"/>
    <w:rsid w:val="70C81FA4"/>
    <w:rsid w:val="70D215D6"/>
    <w:rsid w:val="70F34F32"/>
    <w:rsid w:val="711A7F46"/>
    <w:rsid w:val="71C80221"/>
    <w:rsid w:val="73357908"/>
    <w:rsid w:val="7485672D"/>
    <w:rsid w:val="74C44169"/>
    <w:rsid w:val="76443671"/>
    <w:rsid w:val="7645082D"/>
    <w:rsid w:val="78163F80"/>
    <w:rsid w:val="7819191E"/>
    <w:rsid w:val="78A97AC0"/>
    <w:rsid w:val="79180014"/>
    <w:rsid w:val="79796385"/>
    <w:rsid w:val="7A514B74"/>
    <w:rsid w:val="7C0C2A5A"/>
    <w:rsid w:val="7D374087"/>
    <w:rsid w:val="7EA412BC"/>
    <w:rsid w:val="7F3173D8"/>
    <w:rsid w:val="B3FEE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 w:locked="1"/>
    <w:lsdException w:qFormat="1" w:unhideWhenUsed="0" w:uiPriority="99" w:semiHidden="0" w:name="heading 2"/>
    <w:lsdException w:qFormat="1" w:uiPriority="9" w:semiHidden="0" w:name="heading 3" w:locked="1"/>
    <w:lsdException w:qFormat="1" w:uiPriority="9" w:semiHidden="0" w:name="heading 4" w:locked="1"/>
    <w:lsdException w:qFormat="1" w:uiPriority="9" w:name="heading 5" w:locked="1"/>
    <w:lsdException w:qFormat="1" w:uiPriority="9" w:name="heading 6" w:locked="1"/>
    <w:lsdException w:qFormat="1" w:uiPriority="9" w:name="heading 7" w:locked="1"/>
    <w:lsdException w:qFormat="1" w:uiPriority="9" w:name="heading 8" w:locked="1"/>
    <w:lsdException w:qFormat="1" w:uiPriority="9" w:name="heading 9" w:locked="1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qFormat="1" w:unhideWhenUsed="0" w:uiPriority="39" w:semiHidden="0" w:name="toc 8"/>
    <w:lsdException w:qFormat="1" w:unhideWhenUsed="0" w:uiPriority="39" w:semiHidden="0" w:name="toc 9"/>
    <w:lsdException w:qFormat="1" w:unhideWhenUsed="0" w:uiPriority="0" w:semiHidden="0" w:name="Normal Indent" w:locked="1"/>
    <w:lsdException w:uiPriority="99" w:name="footnote text" w:locked="1"/>
    <w:lsdException w:qFormat="1" w:uiPriority="99" w:name="annotation text" w:locked="1"/>
    <w:lsdException w:qFormat="1" w:uiPriority="0" w:semiHidden="0" w:name="header" w:locked="1"/>
    <w:lsdException w:qFormat="1" w:uiPriority="0" w:semiHidden="0" w:name="footer" w:locked="1"/>
    <w:lsdException w:uiPriority="99" w:name="index heading" w:locked="1"/>
    <w:lsdException w:qFormat="1" w:uiPriority="35" w:semiHidden="0" w:name="caption" w:locked="1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uiPriority="99" w:name="annotation reference" w:locked="1"/>
    <w:lsdException w:uiPriority="99" w:name="line number" w:locked="1"/>
    <w:lsdException w:qFormat="1" w:unhideWhenUsed="0" w:uiPriority="0" w:semiHidden="0" w:name="page number" w:locked="1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0" w:semiHidden="0" w:name="Title" w:locked="1"/>
    <w:lsdException w:uiPriority="99" w:name="Closing" w:locked="1"/>
    <w:lsdException w:uiPriority="99" w:name="Signature" w:locked="1"/>
    <w:lsdException w:qFormat="1" w:uiPriority="1" w:semiHidden="0" w:name="Default Paragraph Font"/>
    <w:lsdException w:qFormat="1" w:unhideWhenUsed="0" w:uiPriority="0" w:semiHidden="0" w:name="Body Text" w:locked="1"/>
    <w:lsdException w:uiPriority="99" w:name="Body Text Indent" w:locked="1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11" w:semiHidden="0" w:name="Subtitle" w:locked="1"/>
    <w:lsdException w:uiPriority="99" w:name="Salutation" w:locked="1"/>
    <w:lsdException w:uiPriority="99" w:name="Date" w:locked="1"/>
    <w:lsdException w:uiPriority="99" w:name="Body Text First Indent" w:locked="1"/>
    <w:lsdException w:uiPriority="99" w:name="Body Text First Indent 2" w:locked="1"/>
    <w:lsdException w:uiPriority="99" w:name="Note Heading" w:locked="1"/>
    <w:lsdException w:uiPriority="99" w:name="Body Text 2" w:locked="1"/>
    <w:lsdException w:uiPriority="99" w:name="Body Text 3" w:locked="1"/>
    <w:lsdException w:uiPriority="99" w:name="Body Text Indent 2" w:locked="1"/>
    <w:lsdException w:uiPriority="99" w:name="Body Text Indent 3" w:locked="1"/>
    <w:lsdException w:uiPriority="99" w:name="Block Text" w:locked="1"/>
    <w:lsdException w:qFormat="1" w:uiPriority="99" w:semiHidden="0" w:name="Hyperlink" w:locked="1"/>
    <w:lsdException w:uiPriority="99" w:name="FollowedHyperlink" w:locked="1"/>
    <w:lsdException w:qFormat="1" w:unhideWhenUsed="0" w:uiPriority="22" w:semiHidden="0" w:name="Strong" w:locked="1"/>
    <w:lsdException w:qFormat="1" w:unhideWhenUsed="0" w:uiPriority="20" w:semiHidden="0" w:name="Emphasis" w:locked="1"/>
    <w:lsdException w:qFormat="1" w:uiPriority="99" w:semiHidden="0" w:name="Document Map" w:locked="1"/>
    <w:lsdException w:qFormat="1" w:uiPriority="99" w:semiHidden="0" w:name="Plain Text" w:locked="1"/>
    <w:lsdException w:uiPriority="99" w:name="E-mail Signature" w:locked="1"/>
    <w:lsdException w:uiPriority="99" w:name="Normal (Web)" w:locked="1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uiPriority="99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semiHidden="0" w:name="Normal Table"/>
    <w:lsdException w:uiPriority="99" w:name="annotation subject" w:locked="1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qFormat="1" w:uiPriority="99" w:semiHidden="0" w:name="Balloon Text" w:locked="1"/>
    <w:lsdException w:qFormat="1" w:unhideWhenUsed="0" w:uiPriority="0" w:semiHidden="0" w:name="Table Grid" w:locked="1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locked/>
    <w:uiPriority w:val="9"/>
    <w:pPr>
      <w:keepNext/>
      <w:keepLines/>
      <w:spacing w:before="240" w:after="120" w:line="420" w:lineRule="auto"/>
      <w:jc w:val="left"/>
      <w:outlineLvl w:val="0"/>
    </w:pPr>
    <w:rPr>
      <w:rFonts w:ascii="宋体" w:hAnsi="宋体" w:cs="宋体"/>
      <w:b/>
      <w:sz w:val="24"/>
      <w:szCs w:val="21"/>
    </w:rPr>
  </w:style>
  <w:style w:type="paragraph" w:styleId="5">
    <w:name w:val="heading 2"/>
    <w:basedOn w:val="1"/>
    <w:next w:val="1"/>
    <w:link w:val="30"/>
    <w:qFormat/>
    <w:uiPriority w:val="99"/>
    <w:pPr>
      <w:spacing w:beforeLines="50" w:afterLines="50"/>
      <w:jc w:val="left"/>
      <w:outlineLvl w:val="1"/>
    </w:pPr>
    <w:rPr>
      <w:rFonts w:ascii="宋体" w:hAnsi="宋体"/>
      <w:b/>
      <w:kern w:val="0"/>
      <w:sz w:val="36"/>
      <w:szCs w:val="36"/>
    </w:rPr>
  </w:style>
  <w:style w:type="paragraph" w:styleId="6">
    <w:name w:val="heading 3"/>
    <w:basedOn w:val="1"/>
    <w:next w:val="1"/>
    <w:unhideWhenUsed/>
    <w:qFormat/>
    <w:locked/>
    <w:uiPriority w:val="9"/>
    <w:pPr>
      <w:keepNext/>
      <w:keepLines/>
      <w:tabs>
        <w:tab w:val="left" w:pos="432"/>
        <w:tab w:val="left" w:pos="720"/>
      </w:tabs>
      <w:spacing w:line="413" w:lineRule="auto"/>
      <w:outlineLvl w:val="2"/>
    </w:pPr>
    <w:rPr>
      <w:rFonts w:ascii="Times New Roman" w:hAnsi="Times New Roman" w:eastAsia="黑体"/>
      <w:b/>
      <w:szCs w:val="20"/>
    </w:rPr>
  </w:style>
  <w:style w:type="paragraph" w:styleId="7">
    <w:name w:val="heading 4"/>
    <w:basedOn w:val="1"/>
    <w:next w:val="1"/>
    <w:unhideWhenUsed/>
    <w:qFormat/>
    <w:locked/>
    <w:uiPriority w:val="9"/>
    <w:pPr>
      <w:keepNext/>
      <w:keepLines/>
      <w:tabs>
        <w:tab w:val="left" w:pos="432"/>
        <w:tab w:val="left" w:pos="864"/>
      </w:tabs>
      <w:spacing w:line="372" w:lineRule="auto"/>
      <w:ind w:left="864" w:hanging="864"/>
      <w:outlineLvl w:val="3"/>
    </w:pPr>
    <w:rPr>
      <w:rFonts w:ascii="Arial" w:hAnsi="Arial" w:eastAsia="黑体"/>
      <w:szCs w:val="20"/>
    </w:rPr>
  </w:style>
  <w:style w:type="character" w:default="1" w:styleId="27">
    <w:name w:val="Default Paragraph Font"/>
    <w:unhideWhenUsed/>
    <w:qFormat/>
    <w:uiPriority w:val="1"/>
  </w:style>
  <w:style w:type="table" w:default="1" w:styleId="2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locked/>
    <w:uiPriority w:val="0"/>
    <w:pPr>
      <w:widowControl w:val="0"/>
      <w:spacing w:before="0" w:after="120" w:line="560" w:lineRule="exact"/>
      <w:ind w:left="0" w:right="0"/>
      <w:jc w:val="both"/>
    </w:pPr>
    <w:rPr>
      <w:rFonts w:ascii="仿宋_GB2312" w:hAnsi="仿宋_GB2312" w:cs="仿宋_GB2312"/>
      <w:snapToGrid w:val="0"/>
      <w:kern w:val="2"/>
      <w:szCs w:val="32"/>
    </w:rPr>
  </w:style>
  <w:style w:type="paragraph" w:styleId="3">
    <w:name w:val="Title"/>
    <w:basedOn w:val="1"/>
    <w:next w:val="1"/>
    <w:qFormat/>
    <w:locked/>
    <w:uiPriority w:val="0"/>
    <w:pPr>
      <w:spacing w:before="240" w:after="60"/>
      <w:jc w:val="center"/>
      <w:outlineLvl w:val="0"/>
    </w:pPr>
    <w:rPr>
      <w:rFonts w:ascii="Cambria" w:hAnsi="Cambria"/>
      <w:b/>
      <w:bCs/>
      <w:kern w:val="0"/>
      <w:sz w:val="32"/>
      <w:szCs w:val="32"/>
    </w:rPr>
  </w:style>
  <w:style w:type="paragraph" w:styleId="8">
    <w:name w:val="toc 7"/>
    <w:basedOn w:val="1"/>
    <w:next w:val="1"/>
    <w:qFormat/>
    <w:uiPriority w:val="39"/>
    <w:pPr>
      <w:ind w:left="2520" w:leftChars="1200"/>
    </w:pPr>
  </w:style>
  <w:style w:type="paragraph" w:styleId="9">
    <w:name w:val="Normal Indent"/>
    <w:basedOn w:val="1"/>
    <w:qFormat/>
    <w:locked/>
    <w:uiPriority w:val="0"/>
    <w:pPr>
      <w:ind w:firstLine="420" w:firstLineChars="200"/>
    </w:pPr>
  </w:style>
  <w:style w:type="paragraph" w:styleId="10">
    <w:name w:val="caption"/>
    <w:basedOn w:val="1"/>
    <w:next w:val="1"/>
    <w:unhideWhenUsed/>
    <w:qFormat/>
    <w:locked/>
    <w:uiPriority w:val="35"/>
    <w:rPr>
      <w:rFonts w:eastAsia="黑体" w:asciiTheme="majorHAnsi" w:hAnsiTheme="majorHAnsi" w:cstheme="majorBidi"/>
      <w:sz w:val="20"/>
      <w:szCs w:val="20"/>
    </w:rPr>
  </w:style>
  <w:style w:type="paragraph" w:styleId="11">
    <w:name w:val="Document Map"/>
    <w:basedOn w:val="1"/>
    <w:link w:val="47"/>
    <w:unhideWhenUsed/>
    <w:qFormat/>
    <w:locked/>
    <w:uiPriority w:val="99"/>
    <w:rPr>
      <w:rFonts w:ascii="宋体"/>
      <w:sz w:val="18"/>
      <w:szCs w:val="18"/>
    </w:rPr>
  </w:style>
  <w:style w:type="paragraph" w:styleId="12">
    <w:name w:val="annotation text"/>
    <w:basedOn w:val="1"/>
    <w:semiHidden/>
    <w:unhideWhenUsed/>
    <w:qFormat/>
    <w:locked/>
    <w:uiPriority w:val="99"/>
    <w:pPr>
      <w:jc w:val="left"/>
    </w:pPr>
  </w:style>
  <w:style w:type="paragraph" w:styleId="13">
    <w:name w:val="toc 5"/>
    <w:basedOn w:val="1"/>
    <w:next w:val="1"/>
    <w:qFormat/>
    <w:uiPriority w:val="39"/>
    <w:pPr>
      <w:ind w:left="1680" w:leftChars="800"/>
    </w:pPr>
  </w:style>
  <w:style w:type="paragraph" w:styleId="14">
    <w:name w:val="toc 3"/>
    <w:basedOn w:val="1"/>
    <w:next w:val="1"/>
    <w:qFormat/>
    <w:uiPriority w:val="39"/>
    <w:pPr>
      <w:ind w:left="840" w:leftChars="400"/>
    </w:pPr>
  </w:style>
  <w:style w:type="paragraph" w:styleId="15">
    <w:name w:val="Plain Text"/>
    <w:basedOn w:val="1"/>
    <w:unhideWhenUsed/>
    <w:qFormat/>
    <w:locked/>
    <w:uiPriority w:val="99"/>
    <w:rPr>
      <w:rFonts w:ascii="宋体" w:hAnsi="Courier New"/>
      <w:szCs w:val="20"/>
    </w:rPr>
  </w:style>
  <w:style w:type="paragraph" w:styleId="16">
    <w:name w:val="toc 8"/>
    <w:basedOn w:val="1"/>
    <w:next w:val="1"/>
    <w:qFormat/>
    <w:uiPriority w:val="39"/>
    <w:pPr>
      <w:ind w:left="2940" w:leftChars="1400"/>
    </w:pPr>
  </w:style>
  <w:style w:type="paragraph" w:styleId="17">
    <w:name w:val="Balloon Text"/>
    <w:basedOn w:val="1"/>
    <w:link w:val="44"/>
    <w:unhideWhenUsed/>
    <w:qFormat/>
    <w:locked/>
    <w:uiPriority w:val="99"/>
    <w:rPr>
      <w:sz w:val="18"/>
      <w:szCs w:val="18"/>
    </w:rPr>
  </w:style>
  <w:style w:type="paragraph" w:styleId="18">
    <w:name w:val="footer"/>
    <w:basedOn w:val="1"/>
    <w:link w:val="31"/>
    <w:unhideWhenUsed/>
    <w:qFormat/>
    <w:locked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9">
    <w:name w:val="header"/>
    <w:basedOn w:val="1"/>
    <w:link w:val="32"/>
    <w:unhideWhenUsed/>
    <w:qFormat/>
    <w:locked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20">
    <w:name w:val="toc 1"/>
    <w:basedOn w:val="1"/>
    <w:next w:val="1"/>
    <w:qFormat/>
    <w:uiPriority w:val="39"/>
    <w:pPr>
      <w:spacing w:line="360" w:lineRule="auto"/>
    </w:pPr>
    <w:rPr>
      <w:b/>
      <w:sz w:val="24"/>
    </w:rPr>
  </w:style>
  <w:style w:type="paragraph" w:styleId="21">
    <w:name w:val="toc 4"/>
    <w:basedOn w:val="1"/>
    <w:next w:val="1"/>
    <w:qFormat/>
    <w:uiPriority w:val="39"/>
    <w:pPr>
      <w:ind w:left="1260" w:leftChars="600"/>
    </w:pPr>
  </w:style>
  <w:style w:type="paragraph" w:styleId="22">
    <w:name w:val="toc 6"/>
    <w:basedOn w:val="1"/>
    <w:next w:val="1"/>
    <w:qFormat/>
    <w:uiPriority w:val="39"/>
    <w:pPr>
      <w:ind w:left="2100" w:leftChars="1000"/>
    </w:pPr>
  </w:style>
  <w:style w:type="paragraph" w:styleId="23">
    <w:name w:val="toc 2"/>
    <w:basedOn w:val="1"/>
    <w:next w:val="1"/>
    <w:qFormat/>
    <w:uiPriority w:val="39"/>
    <w:pPr>
      <w:ind w:left="420" w:leftChars="200"/>
    </w:pPr>
    <w:rPr>
      <w:b/>
      <w:sz w:val="24"/>
    </w:rPr>
  </w:style>
  <w:style w:type="paragraph" w:styleId="24">
    <w:name w:val="toc 9"/>
    <w:basedOn w:val="1"/>
    <w:next w:val="1"/>
    <w:qFormat/>
    <w:uiPriority w:val="39"/>
    <w:pPr>
      <w:ind w:left="3360" w:leftChars="1600"/>
    </w:pPr>
  </w:style>
  <w:style w:type="table" w:styleId="26">
    <w:name w:val="Table Grid"/>
    <w:basedOn w:val="25"/>
    <w:qFormat/>
    <w:locked/>
    <w:uiPriority w:val="0"/>
    <w:pPr>
      <w:widowControl w:val="0"/>
      <w:jc w:val="both"/>
    </w:pPr>
    <w:rPr>
      <w:rFonts w:asciiTheme="minorHAnsi" w:hAnsiTheme="minorHAnsi" w:eastAsiaTheme="minorEastAsia" w:cstheme="minorBid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8">
    <w:name w:val="page number"/>
    <w:basedOn w:val="27"/>
    <w:qFormat/>
    <w:locked/>
    <w:uiPriority w:val="0"/>
  </w:style>
  <w:style w:type="character" w:styleId="29">
    <w:name w:val="Hyperlink"/>
    <w:basedOn w:val="27"/>
    <w:unhideWhenUsed/>
    <w:qFormat/>
    <w:lock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30">
    <w:name w:val="标题 2 Char"/>
    <w:link w:val="5"/>
    <w:qFormat/>
    <w:locked/>
    <w:uiPriority w:val="99"/>
    <w:rPr>
      <w:rFonts w:ascii="宋体" w:hAnsi="宋体"/>
      <w:b/>
      <w:sz w:val="36"/>
      <w:szCs w:val="36"/>
    </w:rPr>
  </w:style>
  <w:style w:type="character" w:customStyle="1" w:styleId="31">
    <w:name w:val="页脚 Char"/>
    <w:link w:val="18"/>
    <w:qFormat/>
    <w:uiPriority w:val="99"/>
    <w:rPr>
      <w:rFonts w:ascii="Calibri" w:hAnsi="Calibri"/>
      <w:kern w:val="2"/>
      <w:sz w:val="18"/>
      <w:szCs w:val="24"/>
    </w:rPr>
  </w:style>
  <w:style w:type="character" w:customStyle="1" w:styleId="32">
    <w:name w:val="页眉 Char"/>
    <w:link w:val="19"/>
    <w:qFormat/>
    <w:uiPriority w:val="99"/>
    <w:rPr>
      <w:rFonts w:ascii="Calibri" w:hAnsi="Calibri"/>
      <w:kern w:val="2"/>
      <w:sz w:val="18"/>
      <w:szCs w:val="24"/>
    </w:rPr>
  </w:style>
  <w:style w:type="paragraph" w:customStyle="1" w:styleId="33">
    <w:name w:val="TOC 标题1"/>
    <w:basedOn w:val="4"/>
    <w:next w:val="1"/>
    <w:unhideWhenUsed/>
    <w:qFormat/>
    <w:uiPriority w:val="39"/>
    <w:pPr>
      <w:widowControl/>
      <w:spacing w:after="0" w:line="259" w:lineRule="auto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32"/>
      <w:szCs w:val="32"/>
    </w:rPr>
  </w:style>
  <w:style w:type="paragraph" w:customStyle="1" w:styleId="34">
    <w:name w:val="列出段落1"/>
    <w:basedOn w:val="1"/>
    <w:qFormat/>
    <w:uiPriority w:val="34"/>
    <w:pPr>
      <w:ind w:firstLine="420" w:firstLineChars="200"/>
    </w:pPr>
  </w:style>
  <w:style w:type="paragraph" w:customStyle="1" w:styleId="35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Calibri" w:eastAsia="黑体" w:cs="黑体"/>
      <w:color w:val="000000"/>
      <w:sz w:val="24"/>
      <w:szCs w:val="24"/>
      <w:lang w:val="en-US" w:eastAsia="zh-CN" w:bidi="ar-SA"/>
    </w:rPr>
  </w:style>
  <w:style w:type="paragraph" w:customStyle="1" w:styleId="36">
    <w:name w:val="一级条标题"/>
    <w:basedOn w:val="37"/>
    <w:next w:val="38"/>
    <w:qFormat/>
    <w:uiPriority w:val="0"/>
    <w:pPr>
      <w:numPr>
        <w:ilvl w:val="2"/>
      </w:numPr>
      <w:tabs>
        <w:tab w:val="left" w:pos="420"/>
        <w:tab w:val="left" w:pos="525"/>
      </w:tabs>
      <w:spacing w:beforeLines="0" w:afterLines="0"/>
      <w:outlineLvl w:val="2"/>
    </w:pPr>
  </w:style>
  <w:style w:type="paragraph" w:customStyle="1" w:styleId="37">
    <w:name w:val="章标题"/>
    <w:next w:val="38"/>
    <w:qFormat/>
    <w:uiPriority w:val="0"/>
    <w:pPr>
      <w:numPr>
        <w:ilvl w:val="1"/>
        <w:numId w:val="1"/>
      </w:numPr>
      <w:tabs>
        <w:tab w:val="left" w:pos="420"/>
        <w:tab w:val="clear" w:pos="360"/>
      </w:tabs>
      <w:spacing w:beforeLines="50" w:afterLines="50"/>
      <w:jc w:val="both"/>
      <w:outlineLvl w:val="1"/>
    </w:pPr>
    <w:rPr>
      <w:rFonts w:ascii="黑体" w:hAnsi="Times New Roman" w:eastAsia="黑体" w:cs="Times New Roman"/>
      <w:b/>
      <w:sz w:val="21"/>
      <w:lang w:val="en-US" w:eastAsia="zh-CN" w:bidi="ar-SA"/>
    </w:rPr>
  </w:style>
  <w:style w:type="paragraph" w:customStyle="1" w:styleId="38">
    <w:name w:val="段"/>
    <w:link w:val="46"/>
    <w:qFormat/>
    <w:uiPriority w:val="99"/>
    <w:pPr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39">
    <w:name w:val="表题 + (西文) 宋体 Char Char Char Char Char Char Char Char"/>
    <w:link w:val="40"/>
    <w:qFormat/>
    <w:uiPriority w:val="0"/>
    <w:rPr>
      <w:rFonts w:hAnsi="宋体" w:eastAsia="黑体" w:cstheme="minorBidi"/>
      <w:szCs w:val="22"/>
    </w:rPr>
  </w:style>
  <w:style w:type="paragraph" w:customStyle="1" w:styleId="40">
    <w:name w:val="表题 + (西文) 宋体 Char Char Char Char Char Char Char"/>
    <w:basedOn w:val="10"/>
    <w:link w:val="39"/>
    <w:qFormat/>
    <w:uiPriority w:val="0"/>
    <w:pPr>
      <w:adjustRightInd w:val="0"/>
      <w:spacing w:before="120" w:after="120" w:line="320" w:lineRule="exact"/>
      <w:jc w:val="center"/>
      <w:textAlignment w:val="baseline"/>
    </w:pPr>
    <w:rPr>
      <w:rFonts w:hAnsi="宋体" w:cstheme="minorBidi"/>
      <w:szCs w:val="22"/>
    </w:rPr>
  </w:style>
  <w:style w:type="character" w:customStyle="1" w:styleId="41">
    <w:name w:val="font01"/>
    <w:basedOn w:val="27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paragraph" w:customStyle="1" w:styleId="42">
    <w:name w:val="列出段落2"/>
    <w:basedOn w:val="1"/>
    <w:qFormat/>
    <w:uiPriority w:val="99"/>
    <w:pPr>
      <w:ind w:firstLine="420" w:firstLineChars="200"/>
    </w:pPr>
  </w:style>
  <w:style w:type="paragraph" w:customStyle="1" w:styleId="43">
    <w:name w:val="TOC 标题2"/>
    <w:basedOn w:val="4"/>
    <w:next w:val="1"/>
    <w:unhideWhenUsed/>
    <w:qFormat/>
    <w:uiPriority w:val="39"/>
    <w:pPr>
      <w:widowControl/>
      <w:spacing w:after="0" w:line="259" w:lineRule="auto"/>
      <w:outlineLvl w:val="9"/>
    </w:pPr>
    <w:rPr>
      <w:rFonts w:asciiTheme="majorHAnsi" w:hAnsiTheme="majorHAnsi" w:eastAsiaTheme="majorEastAsia" w:cstheme="majorBidi"/>
      <w:b w:val="0"/>
      <w:color w:val="376092" w:themeColor="accent1" w:themeShade="BF"/>
      <w:kern w:val="0"/>
      <w:sz w:val="32"/>
      <w:szCs w:val="32"/>
    </w:rPr>
  </w:style>
  <w:style w:type="character" w:customStyle="1" w:styleId="44">
    <w:name w:val="批注框文本 Char"/>
    <w:basedOn w:val="27"/>
    <w:link w:val="17"/>
    <w:semiHidden/>
    <w:qFormat/>
    <w:uiPriority w:val="99"/>
    <w:rPr>
      <w:rFonts w:ascii="Calibri" w:hAnsi="Calibri"/>
      <w:kern w:val="2"/>
      <w:sz w:val="18"/>
      <w:szCs w:val="18"/>
    </w:rPr>
  </w:style>
  <w:style w:type="paragraph" w:customStyle="1" w:styleId="45">
    <w:name w:val="字母编号列项（一级）"/>
    <w:qFormat/>
    <w:uiPriority w:val="0"/>
    <w:pPr>
      <w:tabs>
        <w:tab w:val="left" w:pos="840"/>
      </w:tabs>
      <w:ind w:left="315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46">
    <w:name w:val="段 Char"/>
    <w:link w:val="38"/>
    <w:qFormat/>
    <w:uiPriority w:val="99"/>
    <w:rPr>
      <w:rFonts w:ascii="宋体"/>
      <w:sz w:val="21"/>
    </w:rPr>
  </w:style>
  <w:style w:type="character" w:customStyle="1" w:styleId="47">
    <w:name w:val="文档结构图 Char"/>
    <w:basedOn w:val="27"/>
    <w:link w:val="11"/>
    <w:semiHidden/>
    <w:qFormat/>
    <w:uiPriority w:val="99"/>
    <w:rPr>
      <w:rFonts w:ascii="宋体" w:hAnsi="Calibri"/>
      <w:kern w:val="2"/>
      <w:sz w:val="18"/>
      <w:szCs w:val="18"/>
    </w:rPr>
  </w:style>
  <w:style w:type="paragraph" w:customStyle="1" w:styleId="48">
    <w:name w:val="marklang-paragraph"/>
    <w:basedOn w:val="1"/>
    <w:qFormat/>
    <w:uiPriority w:val="0"/>
    <w:pPr>
      <w:widowControl/>
      <w:spacing w:before="100" w:beforeAutospacing="1" w:after="100" w:afterAutospacing="1" w:line="240" w:lineRule="auto"/>
      <w:jc w:val="left"/>
    </w:pPr>
    <w:rPr>
      <w:rFonts w:ascii="宋体" w:hAnsi="宋体" w:cs="宋体"/>
      <w:kern w:val="0"/>
    </w:rPr>
  </w:style>
  <w:style w:type="paragraph" w:customStyle="1" w:styleId="49">
    <w:name w:val="首行缩进"/>
    <w:basedOn w:val="1"/>
    <w:qFormat/>
    <w:uiPriority w:val="0"/>
    <w:pPr>
      <w:spacing w:line="300" w:lineRule="auto"/>
      <w:ind w:firstLine="420" w:firstLineChars="200"/>
    </w:pPr>
    <w:rPr>
      <w:rFonts w:eastAsia="方正书宋简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0D87A2-F2D6-4812-9D52-4B228576FF4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3</Pages>
  <Words>630</Words>
  <Characters>674</Characters>
  <Lines>53</Lines>
  <Paragraphs>15</Paragraphs>
  <TotalTime>1</TotalTime>
  <ScaleCrop>false</ScaleCrop>
  <LinksUpToDate>false</LinksUpToDate>
  <CharactersWithSpaces>687</CharactersWithSpaces>
  <Application>WPS Office_12.1.2.23582_F1E327BC-269C-435d-A152-05C5408002CA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2018-09-26T10:24:00Z</dcterms:created>
  <dc:creator>emmy810</dc:creator>
  <cp:lastModifiedBy>xxcxpxj03</cp:lastModifiedBy>
  <dcterms:modified xsi:type="dcterms:W3CDTF">2026-10-30T16:07:19Z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2052-12.1.2.23582</vt:lpwstr>
  </property>
  <property fmtid="{D5CDD505-2E9C-101B-9397-08002B2CF9AE}" pid="3" name="ICV">
    <vt:lpwstr>D028BD6C85AFD2F83750E46A04ECF404_43</vt:lpwstr>
  </property>
  <property fmtid="{D5CDD505-2E9C-101B-9397-08002B2CF9AE}" pid="4" name="KSOTemplateDocerSaveRecord">
    <vt:lpwstr>eyJoZGlkIjoiMDljYzUzMWQ4OWI0YzBkYjYzMDRhZTY5ZjZkYmFmYTgiLCJ1c2VySWQiOiIxMTc5MjM4MTE1In0=</vt:lpwstr>
  </property>
</Properties>
</file>